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83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83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6"/>
        </w:rPr>
        <w:t>Migration Design Document</w:t>
      </w:r>
    </w:p>
    <w:p>
      <w:pPr>
        <w:jc w:val="center"/>
      </w:pPr>
      <w:r>
        <w:rPr>
          <w:color w:val="2E74B5"/>
          <w:sz w:val="32"/>
        </w:rPr>
        <w:t>WEBMETHODS  →  BOOMI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Project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gld_compliance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Source Platform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Webmethods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Target Platform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Boomi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Flows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0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Gaps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0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Document Date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June 30, 2026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Prepared By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TechStone LLC — MigrAlte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1. Architecture Overview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This document describes the migration of integrations from WEBMETHODS to BOOMI.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DEEFF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Note: webMethods IS INVOKE steps referencing custom packages require manual review.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Primary Flows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Sub-Flows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Connections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Gaps Found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Overall Complexity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2. Integration Flows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No integration flows found in spec.</w:t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3. Connections &amp; Dependencies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No connections defined in spec.</w:t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4. Known Gaps &amp; Risks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No gaps found — all flows are expected to migrate cleanly.</w:t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5. Implementation Guide</w:t>
      </w:r>
    </w:p>
    <w:p>
      <w:pPr>
        <w:spacing w:after="80"/>
        <w:ind w:left="360"/>
      </w:pPr>
      <w:r>
        <w:rPr>
          <w:color w:val="404040"/>
          <w:sz w:val="21"/>
        </w:rPr>
        <w:t>1.  Review all HIGH severity gaps in Section 4 and plan manual implementations.</w:t>
      </w:r>
    </w:p>
    <w:p>
      <w:pPr>
        <w:spacing w:after="80"/>
        <w:ind w:left="360"/>
      </w:pPr>
      <w:r>
        <w:rPr>
          <w:color w:val="404040"/>
          <w:sz w:val="21"/>
        </w:rPr>
        <w:t>2.  Configure connections on the BOOMI platform (see Section 3 for connection details).</w:t>
      </w:r>
    </w:p>
    <w:p>
      <w:pPr>
        <w:spacing w:after="80"/>
        <w:ind w:left="360"/>
      </w:pPr>
      <w:r>
        <w:rPr>
          <w:color w:val="404040"/>
          <w:sz w:val="21"/>
        </w:rPr>
        <w:t>3.  Deploy generated BOOMI components to a non-production environment.</w:t>
      </w:r>
    </w:p>
    <w:p>
      <w:pPr>
        <w:spacing w:after="80"/>
        <w:ind w:left="360"/>
      </w:pPr>
      <w:r>
        <w:rPr>
          <w:color w:val="404040"/>
          <w:sz w:val="21"/>
        </w:rPr>
        <w:t>4.  Run functional tests for each flow listed in Section 2.</w:t>
      </w:r>
    </w:p>
    <w:p>
      <w:pPr>
        <w:spacing w:after="80"/>
        <w:ind w:left="360"/>
      </w:pPr>
      <w:r>
        <w:rPr>
          <w:color w:val="404040"/>
          <w:sz w:val="21"/>
        </w:rPr>
        <w:t>5.  Validate error handling and retry behaviour end-to-end.</w:t>
      </w:r>
    </w:p>
    <w:p>
      <w:pPr>
        <w:spacing w:after="80"/>
        <w:ind w:left="360"/>
      </w:pPr>
      <w:r>
        <w:rPr>
          <w:color w:val="404040"/>
          <w:sz w:val="21"/>
        </w:rPr>
        <w:t>6.  Obtain sign-off from business stakeholders before promoting to production.</w:t>
      </w:r>
    </w:p>
    <w:p>
      <w:pPr>
        <w:spacing w:after="80"/>
        <w:ind w:left="360"/>
      </w:pPr>
      <w:r>
        <w:rPr>
          <w:color w:val="404040"/>
          <w:sz w:val="21"/>
        </w:rPr>
        <w:t>7.  Decommission WEBMETHODS flows after successful parallel-run validation.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