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1873377" cy="1005840"/>
            <wp:docPr id="1" name="Picture 1"/>
            <wp:cNvGraphicFramePr>
              <a:graphicFrameLocks noChangeAspect="1"/>
            </wp:cNvGraphicFramePr>
            <a:graphic>
              <a:graphicData uri="http://schemas.openxmlformats.org/drawingml/2006/picture">
                <pic:pic>
                  <pic:nvPicPr>
                    <pic:cNvPr id="0" name="TechStone.png"/>
                    <pic:cNvPicPr/>
                  </pic:nvPicPr>
                  <pic:blipFill>
                    <a:blip r:embed="rId11"/>
                    <a:stretch>
                      <a:fillRect/>
                    </a:stretch>
                  </pic:blipFill>
                  <pic:spPr>
                    <a:xfrm>
                      <a:off x="0" y="0"/>
                      <a:ext cx="1873377" cy="1005840"/>
                    </a:xfrm>
                    <a:prstGeom prst="rect"/>
                  </pic:spPr>
                </pic:pic>
              </a:graphicData>
            </a:graphic>
          </wp:inline>
        </w:drawing>
      </w:r>
    </w:p>
    <w:p>
      <w:pPr>
        <w:spacing w:before="560"/>
        <w:jc w:val="center"/>
      </w:pPr>
      <w:r>
        <w:rPr>
          <w:rFonts w:ascii="Calibri" w:hAnsi="Calibri"/>
          <w:b/>
          <w:color w:val="1F4E79"/>
          <w:sz w:val="48"/>
        </w:rPr>
        <w:t>GLD Compliance Adapter Services</w:t>
      </w:r>
    </w:p>
    <w:p>
      <w:pPr>
        <w:jc w:val="center"/>
      </w:pPr>
      <w:r>
        <w:rPr>
          <w:rFonts w:ascii="Calibri" w:hAnsi="Calibri"/>
          <w:b w:val="0"/>
          <w:color w:val="2E74B5"/>
          <w:sz w:val="32"/>
        </w:rPr>
        <w:t>Migration Business Review</w:t>
      </w:r>
    </w:p>
    <w:p>
      <w:pPr>
        <w:spacing w:before="280"/>
        <w:jc w:val="center"/>
        <w:pBdr>
          <w:bottom w:val="single" w:sz="12" w:space="1" w:color="2E74B5"/>
        </w:pBdr>
      </w:pPr>
    </w:p>
    <w:p>
      <w:pPr>
        <w:spacing w:before="160"/>
        <w:jc w:val="center"/>
      </w:pPr>
      <w:r>
        <w:rPr>
          <w:rFonts w:ascii="Calibri" w:hAnsi="Calibri"/>
          <w:b/>
          <w:color w:val="1F4E79"/>
          <w:sz w:val="22"/>
        </w:rPr>
        <w:t xml:space="preserve">Integration:  </w:t>
      </w:r>
      <w:r>
        <w:rPr>
          <w:rFonts w:ascii="Calibri" w:hAnsi="Calibri"/>
          <w:color w:val="404040"/>
          <w:sz w:val="22"/>
        </w:rPr>
        <w:t>GLDComplianceAdapterServices → Boomi</w:t>
      </w:r>
    </w:p>
    <w:p>
      <w:pPr>
        <w:spacing w:before="160"/>
        <w:jc w:val="center"/>
      </w:pPr>
      <w:r>
        <w:rPr>
          <w:rFonts w:ascii="Calibri" w:hAnsi="Calibri"/>
          <w:b/>
          <w:color w:val="1F4E79"/>
          <w:sz w:val="22"/>
        </w:rPr>
        <w:t xml:space="preserve">Original Platform:  </w:t>
      </w:r>
      <w:r>
        <w:rPr>
          <w:rFonts w:ascii="Calibri" w:hAnsi="Calibri"/>
          <w:color w:val="404040"/>
          <w:sz w:val="22"/>
        </w:rPr>
        <w:t>webMethods Integration Server 6.5 (KeyBank, 2008)</w:t>
      </w:r>
    </w:p>
    <w:p>
      <w:pPr>
        <w:spacing w:before="160"/>
        <w:jc w:val="center"/>
      </w:pPr>
      <w:r>
        <w:rPr>
          <w:rFonts w:ascii="Calibri" w:hAnsi="Calibri"/>
          <w:b/>
          <w:color w:val="1F4E79"/>
          <w:sz w:val="22"/>
        </w:rPr>
        <w:t xml:space="preserve">Target Platform:  </w:t>
      </w:r>
      <w:r>
        <w:rPr>
          <w:rFonts w:ascii="Calibri" w:hAnsi="Calibri"/>
          <w:color w:val="404040"/>
          <w:sz w:val="22"/>
        </w:rPr>
        <w:t>Boomi AtomSphere</w:t>
      </w:r>
    </w:p>
    <w:p>
      <w:pPr>
        <w:spacing w:before="160"/>
        <w:jc w:val="center"/>
      </w:pPr>
      <w:r>
        <w:rPr>
          <w:rFonts w:ascii="Calibri" w:hAnsi="Calibri"/>
          <w:b/>
          <w:color w:val="1F4E79"/>
          <w:sz w:val="22"/>
        </w:rPr>
        <w:t xml:space="preserve">Prepared by:  </w:t>
      </w:r>
      <w:r>
        <w:rPr>
          <w:rFonts w:ascii="Calibri" w:hAnsi="Calibri"/>
          <w:color w:val="404040"/>
          <w:sz w:val="22"/>
        </w:rPr>
        <w:t>TechStone LLC</w:t>
      </w:r>
    </w:p>
    <w:p>
      <w:pPr>
        <w:spacing w:before="160"/>
        <w:jc w:val="center"/>
      </w:pPr>
      <w:r>
        <w:rPr>
          <w:rFonts w:ascii="Calibri" w:hAnsi="Calibri"/>
          <w:b/>
          <w:color w:val="1F4E79"/>
          <w:sz w:val="22"/>
        </w:rPr>
        <w:t xml:space="preserve">Review Status:  </w:t>
      </w:r>
      <w:r>
        <w:rPr>
          <w:rFonts w:ascii="Calibri" w:hAnsi="Calibri"/>
          <w:color w:val="404040"/>
          <w:sz w:val="22"/>
        </w:rPr>
        <w:t>Awaiting Approval</w:t>
      </w:r>
    </w:p>
    <w:p>
      <w:pPr>
        <w:spacing w:before="800"/>
        <w:jc w:val="center"/>
      </w:pPr>
      <w:r>
        <w:rPr>
          <w:rFonts w:ascii="Calibri" w:hAnsi="Calibri"/>
          <w:i/>
          <w:color w:val="808080"/>
          <w:sz w:val="18"/>
        </w:rPr>
        <w:t>CONFIDENTIAL — For Internal Review Only</w:t>
      </w:r>
    </w:p>
    <w:p>
      <w:r>
        <w:br w:type="page"/>
      </w:r>
    </w:p>
    <w:p>
      <w:pPr>
        <w:spacing w:before="360" w:after="120"/>
        <w:pBdr>
          <w:bottom w:val="single" w:sz="4" w:space="2" w:color="2E74B5"/>
        </w:pBdr>
      </w:pPr>
      <w:r>
        <w:rPr>
          <w:rFonts w:ascii="Calibri" w:hAnsi="Calibri"/>
          <w:b/>
          <w:color w:val="1F4E79"/>
          <w:sz w:val="32"/>
        </w:rPr>
        <w:t>1.  What Does This Integration Do?</w:t>
      </w:r>
    </w:p>
    <w:p>
      <w:pPr>
        <w:shd w:val="clear" w:color="auto" w:fill="DDEEFF"/>
        <w:spacing w:before="80" w:after="120"/>
        <w:ind w:left="288" w:right="288"/>
      </w:pPr>
      <w:r>
        <w:rPr>
          <w:color w:val="404040"/>
          <w:sz w:val="21"/>
        </w:rPr>
        <w:t>When a customer applies for a GLD product (loan, account, line of credit, etc.), the bank is legally required to run a compliance check through an external system called the CIU (Compliance Identity Unit). This integration is responsible for everything that happens in the Oracle database around that compliance check.</w:t>
      </w:r>
    </w:p>
    <w:p>
      <w:pPr>
        <w:pStyle w:val="ListBullet"/>
      </w:pPr>
      <w:r>
        <w:rPr>
          <w:rFonts w:ascii="Calibri" w:hAnsi="Calibri"/>
          <w:color w:val="404040"/>
          <w:sz w:val="21"/>
        </w:rPr>
        <w:t>Saves the customer's information before the check is sent</w:t>
      </w:r>
    </w:p>
    <w:p>
      <w:pPr>
        <w:pStyle w:val="ListBullet"/>
      </w:pPr>
      <w:r>
        <w:rPr>
          <w:rFonts w:ascii="Calibri" w:hAnsi="Calibri"/>
          <w:color w:val="404040"/>
          <w:sz w:val="21"/>
        </w:rPr>
        <w:t>Archives the raw request for regulatory audit purposes</w:t>
      </w:r>
    </w:p>
    <w:p>
      <w:pPr>
        <w:pStyle w:val="ListBullet"/>
      </w:pPr>
      <w:r>
        <w:rPr>
          <w:rFonts w:ascii="Calibri" w:hAnsi="Calibri"/>
          <w:color w:val="404040"/>
          <w:sz w:val="21"/>
        </w:rPr>
        <w:t>Stores the reference number returned by the CIU system</w:t>
      </w:r>
    </w:p>
    <w:p>
      <w:pPr>
        <w:pStyle w:val="ListBullet"/>
      </w:pPr>
      <w:r>
        <w:rPr>
          <w:rFonts w:ascii="Calibri" w:hAnsi="Calibri"/>
          <w:color w:val="404040"/>
          <w:sz w:val="21"/>
        </w:rPr>
        <w:t>Records whether the check passed or failed</w:t>
      </w:r>
    </w:p>
    <w:p>
      <w:pPr>
        <w:pStyle w:val="ListBullet"/>
      </w:pPr>
      <w:r>
        <w:rPr>
          <w:rFonts w:ascii="Calibri" w:hAnsi="Calibri"/>
          <w:color w:val="404040"/>
          <w:sz w:val="21"/>
        </w:rPr>
        <w:t>Logs any errors that occur during the process</w:t>
      </w:r>
    </w:p>
    <w:p>
      <w:pPr>
        <w:pStyle w:val="ListBullet"/>
      </w:pPr>
      <w:r>
        <w:rPr>
          <w:rFonts w:ascii="Calibri" w:hAnsi="Calibri"/>
          <w:color w:val="404040"/>
          <w:sz w:val="21"/>
        </w:rPr>
        <w:t>Retrieves full customer context when a CIU response arrives</w:t>
      </w:r>
    </w:p>
    <w:p>
      <w:pPr>
        <w:pStyle w:val="ListBullet"/>
      </w:pPr>
      <w:r>
        <w:rPr>
          <w:rFonts w:ascii="Calibri" w:hAnsi="Calibri"/>
          <w:color w:val="404040"/>
          <w:sz w:val="21"/>
        </w:rPr>
        <w:t>Cleans up old records on a scheduled maintenance cycle</w:t>
      </w:r>
    </w:p>
    <w:p>
      <w:pPr>
        <w:spacing w:before="160"/>
      </w:pPr>
      <w:r>
        <w:rPr>
          <w:b/>
          <w:color w:val="1F4E79"/>
          <w:sz w:val="21"/>
        </w:rPr>
        <w:t xml:space="preserve">Important: </w:t>
      </w:r>
      <w:r>
        <w:rPr>
          <w:color w:val="404040"/>
          <w:sz w:val="21"/>
        </w:rPr>
        <w:t>This integration does not make the compliance decision. It records everything before, during, and after the decision made by the external CIU system.</w:t>
      </w:r>
    </w:p>
    <w:p>
      <w:pPr>
        <w:spacing w:before="360" w:after="120"/>
        <w:pBdr>
          <w:bottom w:val="single" w:sz="4" w:space="2" w:color="2E74B5"/>
        </w:pBdr>
      </w:pPr>
      <w:r>
        <w:rPr>
          <w:rFonts w:ascii="Calibri" w:hAnsi="Calibri"/>
          <w:b/>
          <w:color w:val="1F4E79"/>
          <w:sz w:val="32"/>
        </w:rPr>
        <w:t>2.  Integration Flow — Step by Step</w:t>
      </w:r>
    </w:p>
    <w:p>
      <w:pPr>
        <w:spacing w:before="200" w:after="40"/>
        <w:ind w:left="360"/>
      </w:pPr>
      <w:r>
        <w:rPr>
          <w:rFonts w:ascii="Calibri" w:hAnsi="Calibri"/>
          <w:b/>
          <w:color w:val="2E74B5"/>
          <w:sz w:val="22"/>
        </w:rPr>
        <w:t xml:space="preserve">Step 1  </w:t>
      </w:r>
      <w:r>
        <w:rPr>
          <w:rFonts w:ascii="Calibri" w:hAnsi="Calibri"/>
          <w:b/>
          <w:color w:val="1F4E79"/>
          <w:sz w:val="22"/>
        </w:rPr>
        <w:t>Receive the Compliance Request</w:t>
      </w:r>
    </w:p>
    <w:p>
      <w:pPr>
        <w:spacing w:after="40"/>
        <w:ind w:left="720"/>
      </w:pPr>
      <w:r>
        <w:rPr>
          <w:rFonts w:ascii="Calibri" w:hAnsi="Calibri"/>
          <w:color w:val="404040"/>
          <w:sz w:val="21"/>
        </w:rPr>
        <w:t>The process starts when it receives a compliance check request containing the customer's personal and application details (name, address, SSN/TIN, DOB, product information).</w:t>
      </w:r>
    </w:p>
    <w:p>
      <w:pPr>
        <w:spacing w:before="200" w:after="40"/>
        <w:ind w:left="360"/>
      </w:pPr>
      <w:r>
        <w:rPr>
          <w:rFonts w:ascii="Calibri" w:hAnsi="Calibri"/>
          <w:b/>
          <w:color w:val="2E74B5"/>
          <w:sz w:val="22"/>
        </w:rPr>
        <w:t xml:space="preserve">Step 2  </w:t>
      </w:r>
      <w:r>
        <w:rPr>
          <w:rFonts w:ascii="Calibri" w:hAnsi="Calibri"/>
          <w:b/>
          <w:color w:val="1F4E79"/>
          <w:sz w:val="22"/>
        </w:rPr>
        <w:t>Save Request to Database</w:t>
      </w:r>
    </w:p>
    <w:p>
      <w:pPr>
        <w:spacing w:after="40"/>
        <w:ind w:left="720"/>
      </w:pPr>
      <w:r>
        <w:rPr>
          <w:rFonts w:ascii="Calibri" w:hAnsi="Calibri"/>
          <w:color w:val="404040"/>
          <w:sz w:val="21"/>
        </w:rPr>
        <w:t>All 25 fields from the incoming request are written to the Oracle database. Oracle generates a unique Request ID used to track this compliance check throughout its lifecycle.</w:t>
      </w:r>
    </w:p>
    <w:p>
      <w:pPr>
        <w:spacing w:before="200" w:after="40"/>
        <w:ind w:left="360"/>
      </w:pPr>
      <w:r>
        <w:rPr>
          <w:rFonts w:ascii="Calibri" w:hAnsi="Calibri"/>
          <w:b/>
          <w:color w:val="2E74B5"/>
          <w:sz w:val="22"/>
        </w:rPr>
        <w:t xml:space="preserve">Step 3  </w:t>
      </w:r>
      <w:r>
        <w:rPr>
          <w:rFonts w:ascii="Calibri" w:hAnsi="Calibri"/>
          <w:b/>
          <w:color w:val="1F4E79"/>
          <w:sz w:val="22"/>
        </w:rPr>
        <w:t>Archive the Raw Request</w:t>
      </w:r>
    </w:p>
    <w:p>
      <w:pPr>
        <w:spacing w:after="40"/>
        <w:ind w:left="720"/>
      </w:pPr>
      <w:r>
        <w:rPr>
          <w:rFonts w:ascii="Calibri" w:hAnsi="Calibri"/>
          <w:color w:val="404040"/>
          <w:sz w:val="21"/>
        </w:rPr>
        <w:t>The full XML payload of the original request is saved to the database for regulatory audit. This is a write-only step — it produces no output used by the process.</w:t>
      </w:r>
    </w:p>
    <w:p>
      <w:pPr>
        <w:spacing w:before="200" w:after="40"/>
        <w:ind w:left="360"/>
      </w:pPr>
      <w:r>
        <w:rPr>
          <w:rFonts w:ascii="Calibri" w:hAnsi="Calibri"/>
          <w:b/>
          <w:color w:val="2E74B5"/>
          <w:sz w:val="22"/>
        </w:rPr>
        <w:t xml:space="preserve">Step 4  </w:t>
      </w:r>
      <w:r>
        <w:rPr>
          <w:rFonts w:ascii="Calibri" w:hAnsi="Calibri"/>
          <w:b/>
          <w:color w:val="1F4E79"/>
          <w:sz w:val="22"/>
        </w:rPr>
        <w:t>Send to External CIU System  ⚠</w:t>
      </w:r>
    </w:p>
    <w:p>
      <w:pPr>
        <w:spacing w:after="40"/>
        <w:ind w:left="720"/>
      </w:pPr>
      <w:r>
        <w:rPr>
          <w:rFonts w:ascii="Calibri" w:hAnsi="Calibri"/>
          <w:color w:val="404040"/>
          <w:sz w:val="21"/>
        </w:rPr>
        <w:t>The compliance check request is forwarded to the external CIU compliance system. CIU returns a reference number linking the external record to our internal record. Note: The CIU endpoint is not defined in this package — it must be provided separately.</w:t>
      </w:r>
    </w:p>
    <w:p>
      <w:pPr>
        <w:spacing w:before="200" w:after="40"/>
        <w:ind w:left="360"/>
      </w:pPr>
      <w:r>
        <w:rPr>
          <w:rFonts w:ascii="Calibri" w:hAnsi="Calibri"/>
          <w:b/>
          <w:color w:val="2E74B5"/>
          <w:sz w:val="22"/>
        </w:rPr>
        <w:t xml:space="preserve">Step 5  </w:t>
      </w:r>
      <w:r>
        <w:rPr>
          <w:rFonts w:ascii="Calibri" w:hAnsi="Calibri"/>
          <w:b/>
          <w:color w:val="1F4E79"/>
          <w:sz w:val="22"/>
        </w:rPr>
        <w:t>Save CIU Reference Number</w:t>
      </w:r>
    </w:p>
    <w:p>
      <w:pPr>
        <w:spacing w:after="40"/>
        <w:ind w:left="720"/>
      </w:pPr>
      <w:r>
        <w:rPr>
          <w:rFonts w:ascii="Calibri" w:hAnsi="Calibri"/>
          <w:color w:val="404040"/>
          <w:sz w:val="21"/>
        </w:rPr>
        <w:t>The CIU reference number returned in Step 4 is written back into the original request record so both records are permanently linked.</w:t>
      </w:r>
    </w:p>
    <w:p>
      <w:pPr>
        <w:spacing w:before="200" w:after="40"/>
        <w:ind w:left="360"/>
      </w:pPr>
      <w:r>
        <w:rPr>
          <w:rFonts w:ascii="Calibri" w:hAnsi="Calibri"/>
          <w:b/>
          <w:color w:val="2E74B5"/>
          <w:sz w:val="22"/>
        </w:rPr>
        <w:t xml:space="preserve">Step 6  </w:t>
      </w:r>
      <w:r>
        <w:rPr>
          <w:rFonts w:ascii="Calibri" w:hAnsi="Calibri"/>
          <w:b/>
          <w:color w:val="1F4E79"/>
          <w:sz w:val="22"/>
        </w:rPr>
        <w:t>Wait for the Compliance Result</w:t>
      </w:r>
    </w:p>
    <w:p>
      <w:pPr>
        <w:spacing w:after="40"/>
        <w:ind w:left="720"/>
      </w:pPr>
      <w:r>
        <w:rPr>
          <w:rFonts w:ascii="Calibri" w:hAnsi="Calibri"/>
          <w:color w:val="404040"/>
          <w:sz w:val="21"/>
        </w:rPr>
        <w:t>The CIU system processes the request and returns a pass or fail result. This response arrives asynchronously (the process pauses here until CIU responds).</w:t>
      </w:r>
    </w:p>
    <w:p>
      <w:pPr>
        <w:spacing w:before="200" w:after="40"/>
        <w:ind w:left="360"/>
      </w:pPr>
      <w:r>
        <w:rPr>
          <w:rFonts w:ascii="Calibri" w:hAnsi="Calibri"/>
          <w:b/>
          <w:color w:val="2E74B5"/>
          <w:sz w:val="22"/>
        </w:rPr>
        <w:t xml:space="preserve">Step 7  </w:t>
      </w:r>
      <w:r>
        <w:rPr>
          <w:rFonts w:ascii="Calibri" w:hAnsi="Calibri"/>
          <w:b/>
          <w:color w:val="1F4E79"/>
          <w:sz w:val="22"/>
        </w:rPr>
        <w:t>Retrieve Full Customer Record</w:t>
      </w:r>
    </w:p>
    <w:p>
      <w:pPr>
        <w:spacing w:after="40"/>
        <w:ind w:left="720"/>
      </w:pPr>
      <w:r>
        <w:rPr>
          <w:rFonts w:ascii="Calibri" w:hAnsi="Calibri"/>
          <w:color w:val="404040"/>
          <w:sz w:val="21"/>
        </w:rPr>
        <w:t>Using the CIU reference number, the process looks up the complete customer and request details from the Oracle database.</w:t>
      </w:r>
    </w:p>
    <w:p>
      <w:pPr>
        <w:spacing w:before="200" w:after="40"/>
        <w:ind w:left="360"/>
      </w:pPr>
      <w:r>
        <w:rPr>
          <w:rFonts w:ascii="Calibri" w:hAnsi="Calibri"/>
          <w:b/>
          <w:color w:val="2E74B5"/>
          <w:sz w:val="22"/>
        </w:rPr>
        <w:t xml:space="preserve">Step 8a  </w:t>
      </w:r>
      <w:r>
        <w:rPr>
          <w:rFonts w:ascii="Calibri" w:hAnsi="Calibri"/>
          <w:b/>
          <w:color w:val="1F4E79"/>
          <w:sz w:val="22"/>
        </w:rPr>
        <w:t>Record the Result — PASS</w:t>
      </w:r>
    </w:p>
    <w:p>
      <w:pPr>
        <w:spacing w:after="40"/>
        <w:ind w:left="720"/>
      </w:pPr>
      <w:r>
        <w:rPr>
          <w:rFonts w:ascii="Calibri" w:hAnsi="Calibri"/>
          <w:color w:val="404040"/>
          <w:sz w:val="21"/>
        </w:rPr>
        <w:t>If the compliance check passed: the success result is logged with the Check Type and CIU Reference Number.</w:t>
      </w:r>
    </w:p>
    <w:p>
      <w:pPr>
        <w:spacing w:before="200" w:after="40"/>
        <w:ind w:left="360"/>
      </w:pPr>
      <w:r>
        <w:rPr>
          <w:rFonts w:ascii="Calibri" w:hAnsi="Calibri"/>
          <w:b/>
          <w:color w:val="2E74B5"/>
          <w:sz w:val="22"/>
        </w:rPr>
        <w:t xml:space="preserve">Step 8b  </w:t>
      </w:r>
      <w:r>
        <w:rPr>
          <w:rFonts w:ascii="Calibri" w:hAnsi="Calibri"/>
          <w:b/>
          <w:color w:val="1F4E79"/>
          <w:sz w:val="22"/>
        </w:rPr>
        <w:t>Record the Result — FAIL / ERROR</w:t>
      </w:r>
    </w:p>
    <w:p>
      <w:pPr>
        <w:spacing w:after="40"/>
        <w:ind w:left="720"/>
      </w:pPr>
      <w:r>
        <w:rPr>
          <w:rFonts w:ascii="Calibri" w:hAnsi="Calibri"/>
          <w:color w:val="404040"/>
          <w:sz w:val="21"/>
        </w:rPr>
        <w:t>If the compliance check failed or an error occurred: the error type, error code, and description are logged with the CIU Reference Number.</w:t>
      </w:r>
    </w:p>
    <w:p>
      <w:pPr>
        <w:spacing w:before="200" w:after="40"/>
        <w:ind w:left="360"/>
      </w:pPr>
      <w:r>
        <w:rPr>
          <w:rFonts w:ascii="Calibri" w:hAnsi="Calibri"/>
          <w:b/>
          <w:color w:val="2E74B5"/>
          <w:sz w:val="22"/>
        </w:rPr>
        <w:t xml:space="preserve">Step 9  </w:t>
      </w:r>
      <w:r>
        <w:rPr>
          <w:rFonts w:ascii="Calibri" w:hAnsi="Calibri"/>
          <w:b/>
          <w:color w:val="1F4E79"/>
          <w:sz w:val="22"/>
        </w:rPr>
        <w:t>Maintenance — Purge Old Records</w:t>
      </w:r>
    </w:p>
    <w:p>
      <w:pPr>
        <w:spacing w:after="40"/>
        <w:ind w:left="720"/>
      </w:pPr>
      <w:r>
        <w:rPr>
          <w:rFonts w:ascii="Calibri" w:hAnsi="Calibri"/>
          <w:color w:val="404040"/>
          <w:sz w:val="21"/>
        </w:rPr>
        <w:t>On a scheduled basis (independent of live checks), old compliance records are deleted from the Oracle database. The age threshold is controlled by the database stored procedure.</w:t>
      </w:r>
    </w:p>
    <w:p>
      <w:r>
        <w:br w:type="page"/>
      </w:r>
    </w:p>
    <w:p>
      <w:pPr>
        <w:spacing w:before="360" w:after="120"/>
        <w:pBdr>
          <w:bottom w:val="single" w:sz="4" w:space="2" w:color="2E74B5"/>
        </w:pBdr>
      </w:pPr>
      <w:r>
        <w:rPr>
          <w:rFonts w:ascii="Calibri" w:hAnsi="Calibri"/>
          <w:b/>
          <w:color w:val="1F4E79"/>
          <w:sz w:val="32"/>
        </w:rPr>
        <w:t>3.  The 7 Database Operations</w:t>
      </w:r>
    </w:p>
    <w:p>
      <w:pPr>
        <w:spacing w:after="80" w:before="0"/>
      </w:pPr>
      <w:r>
        <w:rPr>
          <w:rFonts w:ascii="Calibri" w:hAnsi="Calibri"/>
          <w:b w:val="0"/>
          <w:i w:val="0"/>
          <w:color w:val="404040"/>
          <w:sz w:val="21"/>
        </w:rPr>
        <w:t>Each of the following operations is a call from Boomi into the Oracle database. The underlying database stored procedures remain unchanged — Boomi simply calls them with the same inputs webMethods used.</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t>
            </w:r>
          </w:p>
        </w:tc>
        <w:tc>
          <w:tcPr>
            <w:tcW w:type="dxa" w:w="259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Operation</w:t>
            </w:r>
          </w:p>
        </w:tc>
        <w:tc>
          <w:tcPr>
            <w:tcW w:type="dxa" w:w="288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What It Does</w:t>
            </w:r>
          </w:p>
        </w:tc>
        <w:tc>
          <w:tcPr>
            <w:tcW w:type="dxa" w:w="3168"/>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Data In</w:t>
            </w:r>
          </w:p>
        </w:tc>
        <w:tc>
          <w:tcPr>
            <w:tcW w:type="dxa" w:w="259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Data Out</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1</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Log Check Request</w:t>
            </w:r>
          </w:p>
        </w:tc>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Saves a new compliance check request to Oracle</w:t>
            </w:r>
          </w:p>
        </w:tc>
        <w:tc>
          <w:tcPr>
            <w:tcW w:type="dxa" w:w="31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Customer name, address, DOB, SSN/TIN, product details (25 fields)</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Internal Request ID (auto-generated)</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2</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Log Check Request XML</w:t>
            </w:r>
          </w:p>
        </w:tc>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Saves the raw XML payload for audit trail</w:t>
            </w:r>
          </w:p>
        </w:tc>
        <w:tc>
          <w:tcPr>
            <w:tcW w:type="dxa" w:w="31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Application ID, full XML string, 3 identifiers</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Nothing (write-only)</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3</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Log Check Reply</w:t>
            </w:r>
          </w:p>
        </w:tc>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Records the compliance check result</w:t>
            </w:r>
          </w:p>
        </w:tc>
        <w:tc>
          <w:tcPr>
            <w:tcW w:type="dxa" w:w="31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CIU Reference Number, Check Type, Pass/Fail</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Nothing (write-only)</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4</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Log Check Reply Error</w:t>
            </w:r>
          </w:p>
        </w:tc>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Records error details if the check fails</w:t>
            </w:r>
          </w:p>
        </w:tc>
        <w:tc>
          <w:tcPr>
            <w:tcW w:type="dxa" w:w="31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Error type, error code, description, CIU Reference</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Nothing (write-only)</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5</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Select Customer and Request</w:t>
            </w:r>
          </w:p>
        </w:tc>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Retrieves the full customer + request record</w:t>
            </w:r>
          </w:p>
        </w:tc>
        <w:tc>
          <w:tcPr>
            <w:tcW w:type="dxa" w:w="31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CIU Reference Number</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All 28 customer + request fields</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6</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Update CIU Reference Number</w:t>
            </w:r>
          </w:p>
        </w:tc>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Links our internal record to the CIU external record</w:t>
            </w:r>
          </w:p>
        </w:tc>
        <w:tc>
          <w:tcPr>
            <w:tcW w:type="dxa" w:w="31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Internal Request ID + CIU Reference Number</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Nothing (write-only)</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7</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Purge Data</w:t>
            </w:r>
          </w:p>
        </w:tc>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Deletes old/expired compliance records</w:t>
            </w:r>
          </w:p>
        </w:tc>
        <w:tc>
          <w:tcPr>
            <w:tcW w:type="dxa" w:w="31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None (threshold built into Oracle procedure)</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Nothing (housekeeping)</w:t>
            </w:r>
          </w:p>
        </w:tc>
      </w:tr>
    </w:tbl>
    <w:p/>
    <w:p>
      <w:r>
        <w:br w:type="page"/>
      </w:r>
    </w:p>
    <w:p>
      <w:pPr>
        <w:spacing w:before="360" w:after="120"/>
        <w:pBdr>
          <w:bottom w:val="single" w:sz="4" w:space="2" w:color="2E74B5"/>
        </w:pBdr>
      </w:pPr>
      <w:r>
        <w:rPr>
          <w:rFonts w:ascii="Calibri" w:hAnsi="Calibri"/>
          <w:b/>
          <w:color w:val="1F4E79"/>
          <w:sz w:val="32"/>
        </w:rPr>
        <w:t>4.  Data Handled by This Integration</w:t>
      </w:r>
    </w:p>
    <w:p>
      <w:pPr>
        <w:spacing w:before="280" w:after="80"/>
      </w:pPr>
      <w:r>
        <w:rPr>
          <w:rFonts w:ascii="Calibri" w:hAnsi="Calibri"/>
          <w:b/>
          <w:color w:val="2E74B5"/>
          <w:sz w:val="24"/>
        </w:rPr>
        <w:t>4.1  Customer Information Sent to the Database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Category</w:t>
            </w:r>
          </w:p>
        </w:tc>
        <w:tc>
          <w:tcPr>
            <w:tcW w:type="dxa" w:w="720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Fields</w:t>
            </w:r>
          </w:p>
        </w:tc>
      </w:tr>
      <w:tr>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Identity</w:t>
            </w:r>
          </w:p>
        </w:tc>
        <w:tc>
          <w:tcPr>
            <w:tcW w:type="dxa" w:w="72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First Name, Middle Name, Last Name, Business Name</w:t>
            </w:r>
          </w:p>
        </w:tc>
      </w:tr>
      <w:tr>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Address</w:t>
            </w:r>
          </w:p>
        </w:tc>
        <w:tc>
          <w:tcPr>
            <w:tcW w:type="dxa" w:w="72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Address Lines 1–4, City, State (2 chars), ZIP, Country Code</w:t>
            </w:r>
          </w:p>
        </w:tc>
      </w:tr>
      <w:tr>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Sensitive / PII ⚠</w:t>
            </w:r>
          </w:p>
        </w:tc>
        <w:tc>
          <w:tcPr>
            <w:tcW w:type="dxa" w:w="72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SSN or Tax ID (SSNTIN),  Date of Birth (DOB)</w:t>
            </w:r>
          </w:p>
        </w:tc>
      </w:tr>
      <w:tr>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Contact</w:t>
            </w:r>
          </w:p>
        </w:tc>
        <w:tc>
          <w:tcPr>
            <w:tcW w:type="dxa" w:w="72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Compliance Reply Email</w:t>
            </w:r>
          </w:p>
        </w:tc>
      </w:tr>
      <w:tr>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Account</w:t>
            </w:r>
          </w:p>
        </w:tc>
        <w:tc>
          <w:tcPr>
            <w:tcW w:type="dxa" w:w="72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Customer Number, Customer Type, Party Type</w:t>
            </w:r>
          </w:p>
        </w:tc>
      </w:tr>
      <w:tr>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Product/Application</w:t>
            </w:r>
          </w:p>
        </w:tc>
        <w:tc>
          <w:tcPr>
            <w:tcW w:type="dxa" w:w="72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Application Number, Channel, Line of Business, Product Code, Sub-Product Code, Post-Back URL</w:t>
            </w:r>
          </w:p>
        </w:tc>
      </w:tr>
    </w:tbl>
    <w:p/>
    <w:p>
      <w:pPr>
        <w:spacing w:before="280" w:after="80"/>
      </w:pPr>
      <w:r>
        <w:rPr>
          <w:rFonts w:ascii="Calibri" w:hAnsi="Calibri"/>
          <w:b/>
          <w:color w:val="2E74B5"/>
          <w:sz w:val="24"/>
        </w:rPr>
        <w:t>4.2  Tracking Information Generated During the Process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Field</w:t>
            </w:r>
          </w:p>
        </w:tc>
        <w:tc>
          <w:tcPr>
            <w:tcW w:type="dxa" w:w="360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When It Appears</w:t>
            </w:r>
          </w:p>
        </w:tc>
        <w:tc>
          <w:tcPr>
            <w:tcW w:type="dxa" w:w="432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What It Is</w:t>
            </w:r>
          </w:p>
        </w:tc>
      </w:tr>
      <w:tr>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Internal Request ID</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After Step 2 — Save to Database</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Oracle-generated unique ID for the compliance record</w:t>
            </w:r>
          </w:p>
        </w:tc>
      </w:tr>
      <w:tr>
        <w:tc>
          <w:tcPr>
            <w:tcW w:type="dxa" w:w="288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CIU Reference Number</w:t>
            </w:r>
          </w:p>
        </w:tc>
        <w:tc>
          <w:tcPr>
            <w:tcW w:type="dxa" w:w="36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After Step 4 — CIU responds</w:t>
            </w:r>
          </w:p>
        </w:tc>
        <w:tc>
          <w:tcPr>
            <w:tcW w:type="dxa" w:w="432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Reference assigned by the external compliance system</w:t>
            </w:r>
          </w:p>
        </w:tc>
      </w:tr>
      <w:tr>
        <w:tc>
          <w:tcPr>
            <w:tcW w:type="dxa" w:w="288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Compliance Result</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After Step 6 — Result arrives</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TRUE (passed) or FALSE (failed)</w:t>
            </w:r>
          </w:p>
        </w:tc>
      </w:tr>
    </w:tbl>
    <w:p/>
    <w:p>
      <w:pPr>
        <w:spacing w:before="280" w:after="80"/>
      </w:pPr>
      <w:r>
        <w:rPr>
          <w:rFonts w:ascii="Calibri" w:hAnsi="Calibri"/>
          <w:b/>
          <w:color w:val="2E74B5"/>
          <w:sz w:val="24"/>
        </w:rPr>
        <w:t>4.3  Database Tables</w:t>
      </w:r>
    </w:p>
    <w:p>
      <w:pPr>
        <w:spacing w:after="80" w:before="0"/>
      </w:pPr>
      <w:r>
        <w:rPr>
          <w:rFonts w:ascii="Calibri" w:hAnsi="Calibri"/>
          <w:b w:val="0"/>
          <w:i w:val="0"/>
          <w:color w:val="404040"/>
          <w:sz w:val="21"/>
        </w:rPr>
        <w:t>Two Oracle tables are written to and read from by this integration:</w:t>
      </w:r>
    </w:p>
    <w:p>
      <w:pPr>
        <w:spacing w:before="120"/>
      </w:pPr>
      <w:r>
        <w:rPr>
          <w:b/>
          <w:color w:val="1F4E79"/>
          <w:sz w:val="21"/>
        </w:rPr>
        <w:t>ACCCUSTOMER — Customer Master</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Column</w:t>
            </w:r>
          </w:p>
        </w:tc>
        <w:tc>
          <w:tcPr>
            <w:tcW w:type="dxa" w:w="6768"/>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Meaning</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ACCCUSTOMERID</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Unique customer ID (generated by Oracle)</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CUSTOMERNBR</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Customer number from source system</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FIRSTNAME / MIDDLENAME / LASTNAME</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Customer full name</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ADDRESSLINE1–4, CITY, STATE, ZIP</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Full mailing address</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SSNTIN</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Social Security Number or Tax ID  — sensitive data</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DOB</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Date of birth  — sensitive data</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CUSTOMERTYPE, PARTYTYPE, BUSINESSNAME</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Classification and business details</w:t>
            </w:r>
          </w:p>
        </w:tc>
      </w:tr>
    </w:tbl>
    <w:p/>
    <w:p>
      <w:r>
        <w:rPr>
          <w:b/>
          <w:color w:val="1F4E79"/>
          <w:sz w:val="21"/>
        </w:rPr>
        <w:t>ACCCHECKREQUEST — Compliance Request Log</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Column</w:t>
            </w:r>
          </w:p>
        </w:tc>
        <w:tc>
          <w:tcPr>
            <w:tcW w:type="dxa" w:w="6768"/>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Meaning</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ACCCHECKREQUESTID</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Unique request ID (generated by Oracle)</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ACCCUSTOMERID</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Links back to ACCCUSTOMER (foreign key)</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APPLICATIONNBR, CHANNEL, LOB</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What product/channel triggered the check</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PRODUCTCODE, SUBPRODUCTCODE</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Product details</w:t>
            </w:r>
          </w:p>
        </w:tc>
      </w:tr>
      <w:tr>
        <w:tc>
          <w:tcPr>
            <w:tcW w:type="dxa" w:w="40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CIUREFNBR</w:t>
            </w:r>
          </w:p>
        </w:tc>
        <w:tc>
          <w:tcPr>
            <w:tcW w:type="dxa" w:w="676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Filled in after CIU responds (empty on initial insert)</w:t>
            </w:r>
          </w:p>
        </w:tc>
      </w:tr>
      <w:tr>
        <w:tc>
          <w:tcPr>
            <w:tcW w:type="dxa" w:w="40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REQUESTTIMESTAMP</w:t>
            </w:r>
          </w:p>
        </w:tc>
        <w:tc>
          <w:tcPr>
            <w:tcW w:type="dxa" w:w="676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Date and time when the check was submitted</w:t>
            </w:r>
          </w:p>
        </w:tc>
      </w:tr>
    </w:tbl>
    <w:p/>
    <w:p>
      <w:r>
        <w:br w:type="page"/>
      </w:r>
    </w:p>
    <w:p>
      <w:pPr>
        <w:spacing w:before="360" w:after="120"/>
        <w:pBdr>
          <w:bottom w:val="single" w:sz="4" w:space="2" w:color="2E74B5"/>
        </w:pBdr>
      </w:pPr>
      <w:r>
        <w:rPr>
          <w:rFonts w:ascii="Calibri" w:hAnsi="Calibri"/>
          <w:b/>
          <w:color w:val="1F4E79"/>
          <w:sz w:val="32"/>
        </w:rPr>
        <w:t>5.  Data Transformations</w:t>
      </w:r>
    </w:p>
    <w:p>
      <w:pPr>
        <w:spacing w:after="80" w:before="0"/>
      </w:pPr>
      <w:r>
        <w:rPr>
          <w:rFonts w:ascii="Calibri" w:hAnsi="Calibri"/>
          <w:b w:val="0"/>
          <w:i w:val="0"/>
          <w:color w:val="404040"/>
          <w:sz w:val="21"/>
        </w:rPr>
        <w:t>The large majority of fields pass through this integration unchanged (direct copy). Two fields require a format conversion:</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Field</w:t>
            </w:r>
          </w:p>
        </w:tc>
        <w:tc>
          <w:tcPr>
            <w:tcW w:type="dxa" w:w="360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Change Made</w:t>
            </w:r>
          </w:p>
        </w:tc>
        <w:tc>
          <w:tcPr>
            <w:tcW w:type="dxa" w:w="504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Reason</w:t>
            </w:r>
          </w:p>
        </w:tc>
      </w:tr>
      <w:tr>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Date of Birth (DOB)</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Text string 'yyyy-MM-dd'  →  Oracle DATE type</w:t>
            </w:r>
          </w:p>
        </w:tc>
        <w:tc>
          <w:tcPr>
            <w:tcW w:type="dxa" w:w="504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Oracle's stored procedure expects a native Oracle date, not a text string. Boomi applies a built-in date conversion function.</w:t>
            </w:r>
          </w:p>
        </w:tc>
      </w:tr>
      <w:tr>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Compliance Result</w:t>
            </w:r>
          </w:p>
        </w:tc>
        <w:tc>
          <w:tcPr>
            <w:tcW w:type="dxa" w:w="36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Boolean true/false  →  Text 'TRUE' / 'FALSE'</w:t>
            </w:r>
          </w:p>
        </w:tc>
        <w:tc>
          <w:tcPr>
            <w:tcW w:type="dxa" w:w="504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The Oracle procedure expects text; webMethods passed a Boolean. Boomi converts this before calling the database.</w:t>
            </w:r>
          </w:p>
        </w:tc>
      </w:tr>
    </w:tbl>
    <w:p/>
    <w:p>
      <w:pPr>
        <w:spacing w:before="360" w:after="120"/>
        <w:pBdr>
          <w:bottom w:val="single" w:sz="4" w:space="2" w:color="2E74B5"/>
        </w:pBdr>
      </w:pPr>
      <w:r>
        <w:rPr>
          <w:rFonts w:ascii="Calibri" w:hAnsi="Calibri"/>
          <w:b/>
          <w:color w:val="1F4E79"/>
          <w:sz w:val="32"/>
        </w:rPr>
        <w:t>6.  Risks and Considerations</w:t>
      </w:r>
    </w:p>
    <w:p>
      <w:pPr>
        <w:spacing w:before="160"/>
      </w:pPr>
      <w:r>
        <w:rPr>
          <w:rFonts w:ascii="Calibri" w:hAnsi="Calibri"/>
          <w:b/>
          <w:color w:val="1F4E79"/>
          <w:sz w:val="22"/>
        </w:rPr>
        <w:t>⚠  Sensitive Data (PII)</w:t>
      </w:r>
    </w:p>
    <w:p>
      <w:pPr>
        <w:shd w:val="clear" w:color="auto" w:fill="FFF2CC"/>
        <w:spacing w:before="80" w:after="120"/>
        <w:ind w:left="288" w:right="288"/>
      </w:pPr>
      <w:r>
        <w:rPr>
          <w:color w:val="404040"/>
          <w:sz w:val="21"/>
        </w:rPr>
        <w:t>SSN/TIN and Date of Birth flow through the Boomi integration and are stored in Oracle. Boomi process logging will be disabled to prevent these values from appearing in integration audit logs. The database-level controls (encryption, access, masking) remain the same — Boomi calls the same Oracle stored procedures as webMethods did.</w:t>
      </w:r>
    </w:p>
    <w:p>
      <w:pPr>
        <w:spacing w:before="160"/>
      </w:pPr>
      <w:r>
        <w:rPr>
          <w:rFonts w:ascii="Calibri" w:hAnsi="Calibri"/>
          <w:b/>
          <w:color w:val="1F4E79"/>
          <w:sz w:val="22"/>
        </w:rPr>
        <w:t>⚠  External CIU System (Step 4)</w:t>
      </w:r>
    </w:p>
    <w:p>
      <w:pPr>
        <w:shd w:val="clear" w:color="auto" w:fill="FFF2CC"/>
        <w:spacing w:before="80" w:after="120"/>
        <w:ind w:left="288" w:right="288"/>
      </w:pPr>
      <w:r>
        <w:rPr>
          <w:color w:val="404040"/>
          <w:sz w:val="21"/>
        </w:rPr>
        <w:t>The external compliance system URL, credentials, and request format are not part of this package. In webMethods, this was handled by a separate companion package (GLDComplianceCheck). Without the CIU endpoint, Step 4 of the Boomi process will be built with a placeholder. This is the most significant open item.</w:t>
      </w:r>
    </w:p>
    <w:p>
      <w:pPr>
        <w:spacing w:before="160"/>
      </w:pPr>
      <w:r>
        <w:rPr>
          <w:rFonts w:ascii="Calibri" w:hAnsi="Calibri"/>
          <w:b/>
          <w:color w:val="1F4E79"/>
          <w:sz w:val="22"/>
        </w:rPr>
        <w:t>✅  Database Credentials</w:t>
      </w:r>
    </w:p>
    <w:p>
      <w:pPr>
        <w:shd w:val="clear" w:color="auto" w:fill="E2EFDA"/>
        <w:spacing w:before="80" w:after="120"/>
        <w:ind w:left="288" w:right="288"/>
      </w:pPr>
      <w:r>
        <w:rPr>
          <w:color w:val="404040"/>
          <w:sz w:val="21"/>
        </w:rPr>
        <w:t>The Oracle database password is not stored in the Boomi integration. It will be configured separately through Boomi's secure Environment Extensions — equivalent to a secrets vault.</w:t>
      </w:r>
    </w:p>
    <w:p>
      <w:pPr>
        <w:spacing w:before="160"/>
      </w:pPr>
      <w:r>
        <w:rPr>
          <w:rFonts w:ascii="Calibri" w:hAnsi="Calibri"/>
          <w:b/>
          <w:color w:val="1F4E79"/>
          <w:sz w:val="22"/>
        </w:rPr>
        <w:t>✅  Stored Procedure Logic</w:t>
      </w:r>
    </w:p>
    <w:p>
      <w:pPr>
        <w:shd w:val="clear" w:color="auto" w:fill="E2EFDA"/>
        <w:spacing w:before="80" w:after="120"/>
        <w:ind w:left="288" w:right="288"/>
      </w:pPr>
      <w:r>
        <w:rPr>
          <w:color w:val="404040"/>
          <w:sz w:val="21"/>
        </w:rPr>
        <w:t>The business logic inside each Oracle stored procedure (INSERT rules, validation, error handling) is not visible to the migration team — it runs entirely on the Oracle server. Boomi's role is to call the procedures with the correct inputs. The procedure bodies are unchanged.</w:t>
      </w:r>
    </w:p>
    <w:p>
      <w:r>
        <w:br w:type="page"/>
      </w:r>
    </w:p>
    <w:p>
      <w:pPr>
        <w:spacing w:before="360" w:after="120"/>
        <w:pBdr>
          <w:bottom w:val="single" w:sz="4" w:space="2" w:color="2E74B5"/>
        </w:pBdr>
      </w:pPr>
      <w:r>
        <w:rPr>
          <w:rFonts w:ascii="Calibri" w:hAnsi="Calibri"/>
          <w:b/>
          <w:color w:val="1F4E79"/>
          <w:sz w:val="32"/>
        </w:rPr>
        <w:t>7.  Before vs. After Comparison</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2E74B5"/>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Aspect</w:t>
            </w:r>
          </w:p>
        </w:tc>
        <w:tc>
          <w:tcPr>
            <w:tcW w:type="dxa" w:w="3600"/>
            <w:shd w:val="clear" w:color="auto" w:fill="2E74B5"/>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webMethods (Before)</w:t>
            </w:r>
          </w:p>
        </w:tc>
        <w:tc>
          <w:tcPr>
            <w:tcW w:type="dxa" w:w="4320"/>
            <w:shd w:val="clear" w:color="auto" w:fill="2E74B5"/>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Boomi (After)</w:t>
            </w:r>
          </w:p>
        </w:tc>
      </w:tr>
      <w:tr>
        <w:tc>
          <w:tcPr>
            <w:tcW w:type="dxa" w:w="2736"/>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Platform</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webMethods IS 6.5 (2008, decommissioning)</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Boomi AtomSphere (current, cloud-native)</w:t>
            </w:r>
          </w:p>
        </w:tc>
      </w:tr>
      <w:tr>
        <w:tc>
          <w:tcPr>
            <w:tcW w:type="dxa" w:w="2736"/>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Database Calls</w:t>
            </w:r>
          </w:p>
        </w:tc>
        <w:tc>
          <w:tcPr>
            <w:tcW w:type="dxa" w:w="36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7 JDBC Adapter Services</w:t>
            </w:r>
          </w:p>
        </w:tc>
        <w:tc>
          <w:tcPr>
            <w:tcW w:type="dxa" w:w="432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7 DatabaseV2 Operations (same Oracle stored procedures)</w:t>
            </w:r>
          </w:p>
        </w:tc>
      </w:tr>
      <w:tr>
        <w:tc>
          <w:tcPr>
            <w:tcW w:type="dxa" w:w="2736"/>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Connection</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GLDComplianceAdapterEnv:ExpressOS alias</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Boomi DatabaseV2 Connection component (same JDBC URL)</w:t>
            </w:r>
          </w:p>
        </w:tc>
      </w:tr>
      <w:tr>
        <w:tc>
          <w:tcPr>
            <w:tcW w:type="dxa" w:w="2736"/>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PII Logging</w:t>
            </w:r>
          </w:p>
        </w:tc>
        <w:tc>
          <w:tcPr>
            <w:tcW w:type="dxa" w:w="36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Dependent on IS server logging config</w:t>
            </w:r>
          </w:p>
        </w:tc>
        <w:tc>
          <w:tcPr>
            <w:tcW w:type="dxa" w:w="432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Explicitly disabled in Boomi process config</w:t>
            </w:r>
          </w:p>
        </w:tc>
      </w:tr>
      <w:tr>
        <w:tc>
          <w:tcPr>
            <w:tcW w:type="dxa" w:w="2736"/>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Credentials</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Stored in webMethods adapter config</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Stored in Boomi Environment Extensions (secure)</w:t>
            </w:r>
          </w:p>
        </w:tc>
      </w:tr>
      <w:tr>
        <w:tc>
          <w:tcPr>
            <w:tcW w:type="dxa" w:w="2736"/>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Maintenance Purge</w:t>
            </w:r>
          </w:p>
        </w:tc>
        <w:tc>
          <w:tcPr>
            <w:tcW w:type="dxa" w:w="360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Scheduled IS trigger</w:t>
            </w:r>
          </w:p>
        </w:tc>
        <w:tc>
          <w:tcPr>
            <w:tcW w:type="dxa" w:w="432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Boomi scheduled process (same SP called)</w:t>
            </w:r>
          </w:p>
        </w:tc>
      </w:tr>
      <w:tr>
        <w:tc>
          <w:tcPr>
            <w:tcW w:type="dxa" w:w="2736"/>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color w:val="404040"/>
                <w:sz w:val="20"/>
              </w:rPr>
              <w:t>Functionality</w:t>
            </w:r>
          </w:p>
        </w:tc>
        <w:tc>
          <w:tcPr>
            <w:tcW w:type="dxa" w:w="360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100% baseline</w:t>
            </w:r>
          </w:p>
        </w:tc>
        <w:tc>
          <w:tcPr>
            <w:tcW w:type="dxa" w:w="432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100% of database operations preserved</w:t>
            </w:r>
          </w:p>
        </w:tc>
      </w:tr>
    </w:tbl>
    <w:p/>
    <w:p>
      <w:pPr>
        <w:spacing w:before="360" w:after="120"/>
        <w:pBdr>
          <w:bottom w:val="single" w:sz="4" w:space="2" w:color="2E74B5"/>
        </w:pBdr>
      </w:pPr>
      <w:r>
        <w:rPr>
          <w:rFonts w:ascii="Calibri" w:hAnsi="Calibri"/>
          <w:b/>
          <w:color w:val="1F4E79"/>
          <w:sz w:val="32"/>
        </w:rPr>
        <w:t>8.  Sign-Off Checklist</w:t>
      </w:r>
    </w:p>
    <w:p>
      <w:pPr>
        <w:spacing w:after="80" w:before="0"/>
      </w:pPr>
      <w:r>
        <w:rPr>
          <w:rFonts w:ascii="Calibri" w:hAnsi="Calibri"/>
          <w:b w:val="0"/>
          <w:i w:val="0"/>
          <w:color w:val="404040"/>
          <w:sz w:val="21"/>
        </w:rPr>
        <w:t>The following items require a decision or confirmation before the Boomi build can be completed. Please review each item and indicate your response: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t>
            </w:r>
          </w:p>
        </w:tc>
        <w:tc>
          <w:tcPr>
            <w:tcW w:type="dxa" w:w="5040"/>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Item</w:t>
            </w:r>
          </w:p>
        </w:tc>
        <w:tc>
          <w:tcPr>
            <w:tcW w:type="dxa" w:w="2304"/>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Owner</w:t>
            </w:r>
          </w:p>
        </w:tc>
        <w:tc>
          <w:tcPr>
            <w:tcW w:type="dxa" w:w="1224"/>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Priority</w:t>
            </w:r>
          </w:p>
        </w:tc>
        <w:tc>
          <w:tcPr>
            <w:tcW w:type="dxa" w:w="1224"/>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Status</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1</w:t>
            </w:r>
          </w:p>
        </w:tc>
        <w:tc>
          <w:tcPr>
            <w:tcW w:type="dxa" w:w="504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CIU system endpoint URL, credentials, and request/response format — must be provided before Step 4 can be built</w:t>
            </w:r>
          </w:p>
        </w:tc>
        <w:tc>
          <w:tcPr>
            <w:tcW w:type="dxa" w:w="230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Architecture / Business</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HIGH</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Open</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2</w:t>
            </w:r>
          </w:p>
        </w:tc>
        <w:tc>
          <w:tcPr>
            <w:tcW w:type="dxa" w:w="504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Confirm target database host: is CSC06DSHORA1S:1522/ILMSUM correct for the migrated environment?</w:t>
            </w:r>
          </w:p>
        </w:tc>
        <w:tc>
          <w:tcPr>
            <w:tcW w:type="dxa" w:w="230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Infrastructure / DBA</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High</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Open</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3</w:t>
            </w:r>
          </w:p>
        </w:tc>
        <w:tc>
          <w:tcPr>
            <w:tcW w:type="dxa" w:w="504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Provide Oracle database password (via Boomi Environment Extensions — not written into the integration)</w:t>
            </w:r>
          </w:p>
        </w:tc>
        <w:tc>
          <w:tcPr>
            <w:tcW w:type="dxa" w:w="230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DBA / Security</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High</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Open</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4</w:t>
            </w:r>
          </w:p>
        </w:tc>
        <w:tc>
          <w:tcPr>
            <w:tcW w:type="dxa" w:w="5040"/>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Confirm that disabling Boomi audit logging for SSN/TIN fields meets compliance requirements</w:t>
            </w:r>
          </w:p>
        </w:tc>
        <w:tc>
          <w:tcPr>
            <w:tcW w:type="dxa" w:w="230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Security / Compliance</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Medium</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Open</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5</w:t>
            </w:r>
          </w:p>
        </w:tc>
        <w:tc>
          <w:tcPr>
            <w:tcW w:type="dxa" w:w="5040"/>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Confirm purge data date threshold: does ACCPURGEDATA retain the correct threshold for the new environment?</w:t>
            </w:r>
          </w:p>
        </w:tc>
        <w:tc>
          <w:tcPr>
            <w:tcW w:type="dxa" w:w="230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DBA</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Low</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Open</w:t>
            </w:r>
          </w:p>
        </w:tc>
      </w:tr>
    </w:tbl>
    <w:p/>
    <w:p/>
    <w:p>
      <w:pPr>
        <w:shd w:val="clear" w:color="auto" w:fill="DDEEFF"/>
        <w:spacing w:before="80" w:after="120"/>
        <w:ind w:left="288" w:right="288"/>
      </w:pPr>
      <w:r>
        <w:rPr>
          <w:b/>
          <w:sz w:val="21"/>
        </w:rPr>
        <w:t xml:space="preserve">Next Step:  </w:t>
      </w:r>
      <w:r>
        <w:rPr>
          <w:color w:val="404040"/>
          <w:sz w:val="21"/>
        </w:rPr>
        <w:t>Once all 5 items above are resolved, the 9 Boomi components can be built and tested. Post-build, the Oracle password configuration and CIU connector wiring will be completed in the Boomi UI by the developer.</w:t>
      </w:r>
    </w:p>
    <w:p>
      <w:pPr>
        <w:spacing w:before="360" w:after="120"/>
        <w:pBdr>
          <w:bottom w:val="single" w:sz="4" w:space="2" w:color="2E74B5"/>
        </w:pBdr>
      </w:pPr>
      <w:r>
        <w:rPr>
          <w:rFonts w:ascii="Calibri" w:hAnsi="Calibri"/>
          <w:b/>
          <w:color w:val="1F4E79"/>
          <w:sz w:val="32"/>
        </w:rPr>
        <w:t>9.  Known Gaps — Items Requiring Input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t>
            </w:r>
          </w:p>
        </w:tc>
        <w:tc>
          <w:tcPr>
            <w:tcW w:type="dxa" w:w="5328"/>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Gap</w:t>
            </w:r>
          </w:p>
        </w:tc>
        <w:tc>
          <w:tcPr>
            <w:tcW w:type="dxa" w:w="2592"/>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Who Needs to Act</w:t>
            </w:r>
          </w:p>
        </w:tc>
        <w:tc>
          <w:tcPr>
            <w:tcW w:type="dxa" w:w="1224"/>
            <w:shd w:val="clear" w:color="auto" w:fill="1F4E79"/>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left"/>
            </w:pPr>
            <w:r/>
            <w:r>
              <w:rPr>
                <w:rFonts w:ascii="Calibri" w:hAnsi="Calibri"/>
                <w:b/>
                <w:color w:val="FFFFFF"/>
                <w:sz w:val="20"/>
              </w:rPr>
              <w:t>Priority</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1</w:t>
            </w:r>
          </w:p>
        </w:tc>
        <w:tc>
          <w:tcPr>
            <w:tcW w:type="dxa" w:w="532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CIU external service URL and credentials are unknown — blocks Step 4</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Business / Architecture</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HIGH</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2</w:t>
            </w:r>
          </w:p>
        </w:tc>
        <w:tc>
          <w:tcPr>
            <w:tcW w:type="dxa" w:w="532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Stored procedure bodies not available — only the call signatures are known (SP logic runs on Oracle server unchanged)</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DBA team</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Medium</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3</w:t>
            </w:r>
          </w:p>
        </w:tc>
        <w:tc>
          <w:tcPr>
            <w:tcW w:type="dxa" w:w="532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Database table DDL (exact schema definition) inferred from adapter metadata, not confirmed from DBA</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DBA team</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Medium</w:t>
            </w:r>
          </w:p>
        </w:tc>
      </w:tr>
      <w:tr>
        <w:tc>
          <w:tcPr>
            <w:tcW w:type="dxa" w:w="43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4</w:t>
            </w:r>
          </w:p>
        </w:tc>
        <w:tc>
          <w:tcPr>
            <w:tcW w:type="dxa" w:w="5328"/>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DOB input format — confirm it is always yyyy-MM-dd coming into the Boomi process</w:t>
            </w:r>
          </w:p>
        </w:tc>
        <w:tc>
          <w:tcPr>
            <w:tcW w:type="dxa" w:w="2592"/>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Source system team</w:t>
            </w:r>
          </w:p>
        </w:tc>
        <w:tc>
          <w:tcPr>
            <w:tcW w:type="dxa" w:w="1224"/>
            <w:shd w:val="clear" w:color="auto" w:fill="F2F7FD"/>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Low</w:t>
            </w:r>
          </w:p>
        </w:tc>
      </w:tr>
      <w:tr>
        <w:tc>
          <w:tcPr>
            <w:tcW w:type="dxa" w:w="43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5</w:t>
            </w:r>
          </w:p>
        </w:tc>
        <w:tc>
          <w:tcPr>
            <w:tcW w:type="dxa" w:w="5328"/>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Purge data threshold — confirm what date range ACCPURGEDATA currently uses</w:t>
            </w:r>
          </w:p>
        </w:tc>
        <w:tc>
          <w:tcPr>
            <w:tcW w:type="dxa" w:w="2592"/>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DBA team</w:t>
            </w:r>
          </w:p>
        </w:tc>
        <w:tc>
          <w:tcPr>
            <w:tcW w:type="dxa" w:w="1224"/>
            <w:shd w:val="clear" w:color="auto" w:fill="FFFFFF"/>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r/>
            <w:r>
              <w:rPr>
                <w:rFonts w:ascii="Calibri" w:hAnsi="Calibri"/>
                <w:b w:val="0"/>
                <w:color w:val="404040"/>
                <w:sz w:val="20"/>
              </w:rPr>
              <w:t>Low</w:t>
            </w:r>
          </w:p>
        </w:tc>
      </w:tr>
    </w:tbl>
    <w:p/>
    <w:sectPr w:rsidR="00FC693F" w:rsidRPr="0006063C" w:rsidSect="00034616">
      <w:headerReference w:type="default" r:id="rId9"/>
      <w:footerReference w:type="default" r:id="rId10"/>
      <w:pgSz w:w="12240" w:h="15840"/>
      <w:pgMar w:top="1417" w:right="1417" w:bottom="1134" w:left="141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color w:val="808080"/>
      </w:rPr>
      <w:t>Page </w:t>
    </w:r>
    <w:r>
      <w:fldChar w:fldCharType="begin"/>
    </w:r>
    <w:r>
      <w:instrText xml:space="preserve">PAGE</w:instrText>
    </w:r>
    <w:r>
      <w:fldChar w:fldCharType="end"/>
    </w:r>
    <w:r>
      <w:rPr>
        <w:sz w:val="16"/>
        <w:color w:val="808080"/>
      </w:rPr>
      <w:t>  |  GLD Compliance Adapter Services — Business Review  |  TechStone LLC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2E74B5"/>
      </w:pBdr>
    </w:pPr>
    <w:r>
      <w:drawing>
        <wp:inline xmlns:a="http://schemas.openxmlformats.org/drawingml/2006/main" xmlns:pic="http://schemas.openxmlformats.org/drawingml/2006/picture">
          <wp:extent cx="681228" cy="365760"/>
          <wp:docPr id="1" name="Picture 1"/>
          <wp:cNvGraphicFramePr>
            <a:graphicFrameLocks noChangeAspect="1"/>
          </wp:cNvGraphicFramePr>
          <a:graphic>
            <a:graphicData uri="http://schemas.openxmlformats.org/drawingml/2006/picture">
              <pic:pic>
                <pic:nvPicPr>
                  <pic:cNvPr id="0" name="TechStone.png"/>
                  <pic:cNvPicPr/>
                </pic:nvPicPr>
                <pic:blipFill>
                  <a:blip r:embed="rId1"/>
                  <a:stretch>
                    <a:fillRect/>
                  </a:stretch>
                </pic:blipFill>
                <pic:spPr>
                  <a:xfrm>
                    <a:off x="0" y="0"/>
                    <a:ext cx="681228"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