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4E79"/>
          <w:sz w:val="32"/>
          <w:szCs w:val="32"/>
        </w:rPr>
        <w:t xml:space="preserve">Solving the Travelling Salesman Problem: A Comparison of Hill Climbing with Random Restarts and a Genetic Algorithm</w:t>
      </w:r>
    </w:p>
    <w:p>
      <w:pPr>
        <w:spacing w:after="40" w:line="300"/>
        <w:jc w:val="center"/>
      </w:pPr>
      <w:r>
        <w:rPr>
          <w:i/>
          <w:iCs/>
          <w:sz w:val="22"/>
          <w:szCs w:val="22"/>
        </w:rPr>
        <w:t xml:space="preserve">UFCEL1-15-M — AI for Search and Optimisation</w:t>
      </w:r>
    </w:p>
    <w:p>
      <w:pPr>
        <w:spacing w:after="240" w:line="300"/>
        <w:jc w:val="center"/>
      </w:pPr>
      <w:r>
        <w:rPr>
          <w:color w:val="888888"/>
          <w:sz w:val="20"/>
          <w:szCs w:val="20"/>
        </w:rPr>
        <w:t xml:space="preserve">[Your name] | [Student number] | [Date]</w:t>
      </w:r>
    </w:p>
    <w:p>
      <w:pPr>
        <w:pStyle w:val="Heading1"/>
        <w:spacing w:after="130" w:before="260"/>
      </w:pPr>
      <w:r>
        <w:rPr>
          <w:b/>
          <w:bCs/>
          <w:color w:val="1F4E79"/>
          <w:sz w:val="28"/>
          <w:szCs w:val="28"/>
        </w:rPr>
        <w:t xml:space="preserve">1. Introduction</w:t>
      </w:r>
    </w:p>
    <w:p>
      <w:pPr>
        <w:spacing w:after="140" w:line="300"/>
      </w:pPr>
      <w:r>
        <w:rPr>
          <w:sz w:val="22"/>
          <w:szCs w:val="22"/>
        </w:rPr>
        <w:t xml:space="preserve">The Travelling Salesman Problem asks for the shortest closed tour visiting each of n cities once. It is NP-hard: the symmetric case admits (n−1)!/2 tours, so a 50-city instance has roughly 3×10⁶² candidates. Exhaustive search is impossible, and the problem is a standard proving ground for heuristic search (Johnson and McGeoch, 1997).</w:t>
      </w:r>
    </w:p>
    <w:p>
      <w:pPr>
        <w:spacing w:after="140" w:line="300"/>
      </w:pPr>
      <w:r>
        <w:rPr>
          <w:sz w:val="22"/>
          <w:szCs w:val="22"/>
        </w:rPr>
        <w:t xml:space="preserve">This report compares two heuristics on the supplied 50-city Euclidean instance: hill climbing with random restarts (single-solution local search) and a genetic algorithm (population-based evolutionary search). Both were implemented from first principles. The hill climber proves better on every metric measured, by margins that are statistically significant and practically large.</w:t>
      </w:r>
    </w:p>
    <w:p>
      <w:pPr>
        <w:pStyle w:val="Heading1"/>
        <w:spacing w:after="130" w:before="260"/>
      </w:pPr>
      <w:r>
        <w:rPr>
          <w:b/>
          <w:bCs/>
          <w:color w:val="1F4E79"/>
          <w:sz w:val="28"/>
          <w:szCs w:val="28"/>
        </w:rPr>
        <w:t xml:space="preserve">2. Algorithm selection and design</w:t>
      </w:r>
    </w:p>
    <w:p>
      <w:pPr>
        <w:pStyle w:val="Heading2"/>
        <w:spacing w:after="130" w:before="260"/>
      </w:pPr>
      <w:r>
        <w:rPr>
          <w:b/>
          <w:bCs/>
          <w:color w:val="1F4E79"/>
          <w:sz w:val="24"/>
          <w:szCs w:val="24"/>
        </w:rPr>
        <w:t xml:space="preserve">2.1 Why hill climbing rather than simulated annealing or tabu search</w:t>
      </w:r>
    </w:p>
    <w:p>
      <w:pPr>
        <w:spacing w:after="140" w:line="300"/>
      </w:pPr>
      <w:r>
        <w:rPr>
          <w:sz w:val="22"/>
          <w:szCs w:val="22"/>
        </w:rPr>
        <w:t xml:space="preserve">Hill climbing with random restarts was chosen over simulated annealing and tabu search for two reasons. The Euclidean 2-opt landscape is benign: local optima are numerous but shallow, so a random restart recovers most of what a more sophisticated acceptance rule would buy. Also, annealing and tabu search each add parameters needing their own tuning (a cooling schedule; a tenure and aspiration criterion), and that budget is better spent on the far more parameter-sensitive GA. Restarts give comparable escape capability for one parameter instead of three.</w:t>
      </w:r>
    </w:p>
    <w:p>
      <w:pPr>
        <w:pStyle w:val="Heading2"/>
        <w:spacing w:after="130" w:before="260"/>
      </w:pPr>
      <w:r>
        <w:rPr>
          <w:b/>
          <w:bCs/>
          <w:color w:val="1F4E79"/>
          <w:sz w:val="24"/>
          <w:szCs w:val="24"/>
        </w:rPr>
        <w:t xml:space="preserve">2.2 Design choices</w:t>
      </w:r>
    </w:p>
    <w:tbl>
      <w:tblPr>
        <w:tblW w:type="dxa" w:w="9360"/>
        <w:tblBorders>
          <w:top w:val="single" w:color="BFCEDD" w:sz="4"/>
          <w:left w:val="single" w:color="BFCEDD" w:sz="4"/>
          <w:bottom w:val="single" w:color="BFCEDD" w:sz="4"/>
          <w:right w:val="single" w:color="BFCEDD" w:sz="4"/>
          <w:insideH w:val="single" w:color="D6E0EA" w:sz="2"/>
          <w:insideV w:val="single" w:color="D6E0EA" w:sz="2"/>
        </w:tblBorders>
      </w:tblPr>
      <w:tblGrid>
        <w:gridCol w:w="1700"/>
        <w:gridCol w:w="1900"/>
        <w:gridCol w:w="5760"/>
      </w:tblGrid>
      <w:tr>
        <w:trPr>
          <w:tblHeader/>
        </w:trPr>
        <w:tc>
          <w:tcPr>
            <w:tcW w:type="dxa" w:w="1700"/>
            <w:shd w:fill="EAF1F8" w:color="auto" w:val="clear"/>
            <w:tcMar>
              <w:top w:type="dxa" w:w="60"/>
              <w:left w:type="dxa" w:w="90"/>
              <w:bottom w:type="dxa" w:w="60"/>
              <w:right w:type="dxa" w:w="90"/>
            </w:tcMar>
          </w:tcPr>
          <w:p>
            <w:pPr>
              <w:spacing w:after="0" w:line="260"/>
            </w:pPr>
            <w:r>
              <w:rPr>
                <w:b/>
                <w:bCs/>
                <w:color w:val="1F4E79"/>
                <w:sz w:val="19"/>
                <w:szCs w:val="19"/>
              </w:rPr>
              <w:t xml:space="preserve">Component</w:t>
            </w:r>
          </w:p>
        </w:tc>
        <w:tc>
          <w:tcPr>
            <w:tcW w:type="dxa" w:w="1900"/>
            <w:shd w:fill="EAF1F8" w:color="auto" w:val="clear"/>
            <w:tcMar>
              <w:top w:type="dxa" w:w="60"/>
              <w:left w:type="dxa" w:w="90"/>
              <w:bottom w:type="dxa" w:w="60"/>
              <w:right w:type="dxa" w:w="90"/>
            </w:tcMar>
          </w:tcPr>
          <w:p>
            <w:pPr>
              <w:spacing w:after="0" w:line="260"/>
            </w:pPr>
            <w:r>
              <w:rPr>
                <w:b/>
                <w:bCs/>
                <w:color w:val="1F4E79"/>
                <w:sz w:val="19"/>
                <w:szCs w:val="19"/>
              </w:rPr>
              <w:t xml:space="preserve">Choice</w:t>
            </w:r>
          </w:p>
        </w:tc>
        <w:tc>
          <w:tcPr>
            <w:tcW w:type="dxa" w:w="5760"/>
            <w:shd w:fill="EAF1F8" w:color="auto" w:val="clear"/>
            <w:tcMar>
              <w:top w:type="dxa" w:w="60"/>
              <w:left w:type="dxa" w:w="90"/>
              <w:bottom w:type="dxa" w:w="60"/>
              <w:right w:type="dxa" w:w="90"/>
            </w:tcMar>
          </w:tcPr>
          <w:p>
            <w:pPr>
              <w:spacing w:after="0" w:line="260"/>
            </w:pPr>
            <w:r>
              <w:rPr>
                <w:b/>
                <w:bCs/>
                <w:color w:val="1F4E79"/>
                <w:sz w:val="19"/>
                <w:szCs w:val="19"/>
              </w:rPr>
              <w:t xml:space="preserve">Justification</w:t>
            </w:r>
          </w:p>
        </w:tc>
      </w:tr>
      <w:tr>
        <w:tc>
          <w:tcPr>
            <w:tcW w:type="dxa" w:w="1700"/>
            <w:tcMar>
              <w:top w:type="dxa" w:w="60"/>
              <w:left w:type="dxa" w:w="90"/>
              <w:bottom w:type="dxa" w:w="60"/>
              <w:right w:type="dxa" w:w="90"/>
            </w:tcMar>
          </w:tcPr>
          <w:p>
            <w:pPr>
              <w:spacing w:after="0" w:line="260"/>
            </w:pPr>
            <w:r>
              <w:rPr>
                <w:b w:val="false"/>
                <w:bCs w:val="false"/>
                <w:sz w:val="19"/>
                <w:szCs w:val="19"/>
              </w:rPr>
              <w:t xml:space="preserve">Adjustment method</w:t>
            </w:r>
          </w:p>
        </w:tc>
        <w:tc>
          <w:tcPr>
            <w:tcW w:type="dxa" w:w="1900"/>
            <w:tcMar>
              <w:top w:type="dxa" w:w="60"/>
              <w:left w:type="dxa" w:w="90"/>
              <w:bottom w:type="dxa" w:w="60"/>
              <w:right w:type="dxa" w:w="90"/>
            </w:tcMar>
          </w:tcPr>
          <w:p>
            <w:pPr>
              <w:spacing w:after="0" w:line="260"/>
            </w:pPr>
            <w:r>
              <w:rPr>
                <w:b w:val="false"/>
                <w:bCs w:val="false"/>
                <w:sz w:val="19"/>
                <w:szCs w:val="19"/>
              </w:rPr>
              <w:t xml:space="preserve">Steepest ascent</w:t>
            </w:r>
          </w:p>
        </w:tc>
        <w:tc>
          <w:tcPr>
            <w:tcW w:type="dxa" w:w="5760"/>
            <w:tcMar>
              <w:top w:type="dxa" w:w="60"/>
              <w:left w:type="dxa" w:w="90"/>
              <w:bottom w:type="dxa" w:w="60"/>
              <w:right w:type="dxa" w:w="90"/>
            </w:tcMar>
          </w:tcPr>
          <w:p>
            <w:pPr>
              <w:spacing w:after="0" w:line="260"/>
            </w:pPr>
            <w:r>
              <w:rPr>
                <w:b w:val="false"/>
                <w:bCs w:val="false"/>
                <w:sz w:val="19"/>
                <w:szCs w:val="19"/>
              </w:rPr>
              <w:t xml:space="preserve">Each 2-opt move is scored in constant time by a delta calculation, so sweeping all ~1,200 moves is cheap and taking the best gives fastest descent.</w:t>
            </w:r>
          </w:p>
        </w:tc>
      </w:tr>
      <w:tr>
        <w:tc>
          <w:tcPr>
            <w:tcW w:type="dxa" w:w="1700"/>
            <w:tcMar>
              <w:top w:type="dxa" w:w="60"/>
              <w:left w:type="dxa" w:w="90"/>
              <w:bottom w:type="dxa" w:w="60"/>
              <w:right w:type="dxa" w:w="90"/>
            </w:tcMar>
          </w:tcPr>
          <w:p>
            <w:pPr>
              <w:spacing w:after="0" w:line="260"/>
            </w:pPr>
            <w:r>
              <w:rPr>
                <w:b w:val="false"/>
                <w:bCs w:val="false"/>
                <w:sz w:val="19"/>
                <w:szCs w:val="19"/>
              </w:rPr>
              <w:t xml:space="preserve">Neighbourhood</w:t>
            </w:r>
          </w:p>
        </w:tc>
        <w:tc>
          <w:tcPr>
            <w:tcW w:type="dxa" w:w="1900"/>
            <w:tcMar>
              <w:top w:type="dxa" w:w="60"/>
              <w:left w:type="dxa" w:w="90"/>
              <w:bottom w:type="dxa" w:w="60"/>
              <w:right w:type="dxa" w:w="90"/>
            </w:tcMar>
          </w:tcPr>
          <w:p>
            <w:pPr>
              <w:spacing w:after="0" w:line="260"/>
            </w:pPr>
            <w:r>
              <w:rPr>
                <w:b w:val="false"/>
                <w:bCs w:val="false"/>
                <w:sz w:val="19"/>
                <w:szCs w:val="19"/>
              </w:rPr>
              <w:t xml:space="preserve">2-opt (segment reversal)</w:t>
            </w:r>
          </w:p>
        </w:tc>
        <w:tc>
          <w:tcPr>
            <w:tcW w:type="dxa" w:w="5760"/>
            <w:tcMar>
              <w:top w:type="dxa" w:w="60"/>
              <w:left w:type="dxa" w:w="90"/>
              <w:bottom w:type="dxa" w:w="60"/>
              <w:right w:type="dxa" w:w="90"/>
            </w:tcMar>
          </w:tcPr>
          <w:p>
            <w:pPr>
              <w:spacing w:after="0" w:line="260"/>
            </w:pPr>
            <w:r>
              <w:rPr>
                <w:b w:val="false"/>
                <w:bCs w:val="false"/>
                <w:sz w:val="19"/>
                <w:szCs w:val="19"/>
              </w:rPr>
              <w:t xml:space="preserve">2-opt is precisely the move that removes a pair of crossing edges (Croes, 1958). Pairwise swap disturbs four edges at once and fits the geometry worse.</w:t>
            </w:r>
          </w:p>
        </w:tc>
      </w:tr>
      <w:tr>
        <w:tc>
          <w:tcPr>
            <w:tcW w:type="dxa" w:w="1700"/>
            <w:tcMar>
              <w:top w:type="dxa" w:w="60"/>
              <w:left w:type="dxa" w:w="90"/>
              <w:bottom w:type="dxa" w:w="60"/>
              <w:right w:type="dxa" w:w="90"/>
            </w:tcMar>
          </w:tcPr>
          <w:p>
            <w:pPr>
              <w:spacing w:after="0" w:line="260"/>
            </w:pPr>
            <w:r>
              <w:rPr>
                <w:b w:val="false"/>
                <w:bCs w:val="false"/>
                <w:sz w:val="19"/>
                <w:szCs w:val="19"/>
              </w:rPr>
              <w:t xml:space="preserve">Exploration vs exploitation</w:t>
            </w:r>
          </w:p>
        </w:tc>
        <w:tc>
          <w:tcPr>
            <w:tcW w:type="dxa" w:w="1900"/>
            <w:tcMar>
              <w:top w:type="dxa" w:w="60"/>
              <w:left w:type="dxa" w:w="90"/>
              <w:bottom w:type="dxa" w:w="60"/>
              <w:right w:type="dxa" w:w="90"/>
            </w:tcMar>
          </w:tcPr>
          <w:p>
            <w:pPr>
              <w:spacing w:after="0" w:line="260"/>
            </w:pPr>
            <w:r>
              <w:rPr>
                <w:b w:val="false"/>
                <w:bCs w:val="false"/>
                <w:sz w:val="19"/>
                <w:szCs w:val="19"/>
              </w:rPr>
              <w:t xml:space="preserve">20 random restarts</w:t>
            </w:r>
          </w:p>
        </w:tc>
        <w:tc>
          <w:tcPr>
            <w:tcW w:type="dxa" w:w="5760"/>
            <w:tcMar>
              <w:top w:type="dxa" w:w="60"/>
              <w:left w:type="dxa" w:w="90"/>
              <w:bottom w:type="dxa" w:w="60"/>
              <w:right w:type="dxa" w:w="90"/>
            </w:tcMar>
          </w:tcPr>
          <w:p>
            <w:pPr>
              <w:spacing w:after="0" w:line="260"/>
            </w:pPr>
            <w:r>
              <w:rPr>
                <w:b w:val="false"/>
                <w:bCs w:val="false"/>
                <w:sz w:val="19"/>
                <w:szCs w:val="19"/>
              </w:rPr>
              <w:t xml:space="preserve">The climber is pure exploitation and halts at the first local optimum. Exploration is reintroduced at the outer level; beyond 20 restarts the improvement curve flattens.</w:t>
            </w:r>
          </w:p>
        </w:tc>
      </w:tr>
    </w:tbl>
    <w:p>
      <w:pPr>
        <w:spacing w:after="100" w:line="300"/>
      </w:pPr>
      <w:r>
        <w:rPr>
          <w:sz w:val="22"/>
          <w:szCs w:val="22"/>
        </w:rPr>
        <w:t xml:space="preserve"/>
      </w:r>
    </w:p>
    <w:tbl>
      <w:tblPr>
        <w:tblW w:type="dxa" w:w="9360"/>
        <w:tblBorders>
          <w:top w:val="single" w:color="BFCEDD" w:sz="4"/>
          <w:left w:val="single" w:color="BFCEDD" w:sz="4"/>
          <w:bottom w:val="single" w:color="BFCEDD" w:sz="4"/>
          <w:right w:val="single" w:color="BFCEDD" w:sz="4"/>
          <w:insideH w:val="single" w:color="D6E0EA" w:sz="2"/>
          <w:insideV w:val="single" w:color="D6E0EA" w:sz="2"/>
        </w:tblBorders>
      </w:tblPr>
      <w:tblGrid>
        <w:gridCol w:w="1700"/>
        <w:gridCol w:w="1900"/>
        <w:gridCol w:w="5760"/>
      </w:tblGrid>
      <w:tr>
        <w:trPr>
          <w:tblHeader/>
        </w:trPr>
        <w:tc>
          <w:tcPr>
            <w:tcW w:type="dxa" w:w="1700"/>
            <w:shd w:fill="EAF1F8" w:color="auto" w:val="clear"/>
            <w:tcMar>
              <w:top w:type="dxa" w:w="60"/>
              <w:left w:type="dxa" w:w="90"/>
              <w:bottom w:type="dxa" w:w="60"/>
              <w:right w:type="dxa" w:w="90"/>
            </w:tcMar>
          </w:tcPr>
          <w:p>
            <w:pPr>
              <w:spacing w:after="0" w:line="260"/>
            </w:pPr>
            <w:r>
              <w:rPr>
                <w:b/>
                <w:bCs/>
                <w:color w:val="1F4E79"/>
                <w:sz w:val="19"/>
                <w:szCs w:val="19"/>
              </w:rPr>
              <w:t xml:space="preserve">GA component</w:t>
            </w:r>
          </w:p>
        </w:tc>
        <w:tc>
          <w:tcPr>
            <w:tcW w:type="dxa" w:w="1900"/>
            <w:shd w:fill="EAF1F8" w:color="auto" w:val="clear"/>
            <w:tcMar>
              <w:top w:type="dxa" w:w="60"/>
              <w:left w:type="dxa" w:w="90"/>
              <w:bottom w:type="dxa" w:w="60"/>
              <w:right w:type="dxa" w:w="90"/>
            </w:tcMar>
          </w:tcPr>
          <w:p>
            <w:pPr>
              <w:spacing w:after="0" w:line="260"/>
            </w:pPr>
            <w:r>
              <w:rPr>
                <w:b/>
                <w:bCs/>
                <w:color w:val="1F4E79"/>
                <w:sz w:val="19"/>
                <w:szCs w:val="19"/>
              </w:rPr>
              <w:t xml:space="preserve">Choice</w:t>
            </w:r>
          </w:p>
        </w:tc>
        <w:tc>
          <w:tcPr>
            <w:tcW w:type="dxa" w:w="5760"/>
            <w:shd w:fill="EAF1F8" w:color="auto" w:val="clear"/>
            <w:tcMar>
              <w:top w:type="dxa" w:w="60"/>
              <w:left w:type="dxa" w:w="90"/>
              <w:bottom w:type="dxa" w:w="60"/>
              <w:right w:type="dxa" w:w="90"/>
            </w:tcMar>
          </w:tcPr>
          <w:p>
            <w:pPr>
              <w:spacing w:after="0" w:line="260"/>
            </w:pPr>
            <w:r>
              <w:rPr>
                <w:b/>
                <w:bCs/>
                <w:color w:val="1F4E79"/>
                <w:sz w:val="19"/>
                <w:szCs w:val="19"/>
              </w:rPr>
              <w:t xml:space="preserve">Justification</w:t>
            </w:r>
          </w:p>
        </w:tc>
      </w:tr>
      <w:tr>
        <w:tc>
          <w:tcPr>
            <w:tcW w:type="dxa" w:w="1700"/>
            <w:tcMar>
              <w:top w:type="dxa" w:w="60"/>
              <w:left w:type="dxa" w:w="90"/>
              <w:bottom w:type="dxa" w:w="60"/>
              <w:right w:type="dxa" w:w="90"/>
            </w:tcMar>
          </w:tcPr>
          <w:p>
            <w:pPr>
              <w:spacing w:after="0" w:line="260"/>
            </w:pPr>
            <w:r>
              <w:rPr>
                <w:b w:val="false"/>
                <w:bCs w:val="false"/>
                <w:sz w:val="19"/>
                <w:szCs w:val="19"/>
              </w:rPr>
              <w:t xml:space="preserve">Representation</w:t>
            </w:r>
          </w:p>
        </w:tc>
        <w:tc>
          <w:tcPr>
            <w:tcW w:type="dxa" w:w="1900"/>
            <w:tcMar>
              <w:top w:type="dxa" w:w="60"/>
              <w:left w:type="dxa" w:w="90"/>
              <w:bottom w:type="dxa" w:w="60"/>
              <w:right w:type="dxa" w:w="90"/>
            </w:tcMar>
          </w:tcPr>
          <w:p>
            <w:pPr>
              <w:spacing w:after="0" w:line="260"/>
            </w:pPr>
            <w:r>
              <w:rPr>
                <w:b w:val="false"/>
                <w:bCs w:val="false"/>
                <w:sz w:val="19"/>
                <w:szCs w:val="19"/>
              </w:rPr>
              <w:t xml:space="preserve">Path (permutation)</w:t>
            </w:r>
          </w:p>
        </w:tc>
        <w:tc>
          <w:tcPr>
            <w:tcW w:type="dxa" w:w="5760"/>
            <w:tcMar>
              <w:top w:type="dxa" w:w="60"/>
              <w:left w:type="dxa" w:w="90"/>
              <w:bottom w:type="dxa" w:w="60"/>
              <w:right w:type="dxa" w:w="90"/>
            </w:tcMar>
          </w:tcPr>
          <w:p>
            <w:pPr>
              <w:spacing w:after="0" w:line="260"/>
            </w:pPr>
            <w:r>
              <w:rPr>
                <w:b w:val="false"/>
                <w:bCs w:val="false"/>
                <w:sz w:val="19"/>
                <w:szCs w:val="19"/>
              </w:rPr>
              <w:t xml:space="preserve">Every chromosome is a valid tour by construction; no repair operator needed.</w:t>
            </w:r>
          </w:p>
        </w:tc>
      </w:tr>
      <w:tr>
        <w:tc>
          <w:tcPr>
            <w:tcW w:type="dxa" w:w="1700"/>
            <w:tcMar>
              <w:top w:type="dxa" w:w="60"/>
              <w:left w:type="dxa" w:w="90"/>
              <w:bottom w:type="dxa" w:w="60"/>
              <w:right w:type="dxa" w:w="90"/>
            </w:tcMar>
          </w:tcPr>
          <w:p>
            <w:pPr>
              <w:spacing w:after="0" w:line="260"/>
            </w:pPr>
            <w:r>
              <w:rPr>
                <w:b w:val="false"/>
                <w:bCs w:val="false"/>
                <w:sz w:val="19"/>
                <w:szCs w:val="19"/>
              </w:rPr>
              <w:t xml:space="preserve">Selection</w:t>
            </w:r>
          </w:p>
        </w:tc>
        <w:tc>
          <w:tcPr>
            <w:tcW w:type="dxa" w:w="1900"/>
            <w:tcMar>
              <w:top w:type="dxa" w:w="60"/>
              <w:left w:type="dxa" w:w="90"/>
              <w:bottom w:type="dxa" w:w="60"/>
              <w:right w:type="dxa" w:w="90"/>
            </w:tcMar>
          </w:tcPr>
          <w:p>
            <w:pPr>
              <w:spacing w:after="0" w:line="260"/>
            </w:pPr>
            <w:r>
              <w:rPr>
                <w:b w:val="false"/>
                <w:bCs w:val="false"/>
                <w:sz w:val="19"/>
                <w:szCs w:val="19"/>
              </w:rPr>
              <w:t xml:space="preserve">Tournament, k = 5</w:t>
            </w:r>
          </w:p>
        </w:tc>
        <w:tc>
          <w:tcPr>
            <w:tcW w:type="dxa" w:w="5760"/>
            <w:tcMar>
              <w:top w:type="dxa" w:w="60"/>
              <w:left w:type="dxa" w:w="90"/>
              <w:bottom w:type="dxa" w:w="60"/>
              <w:right w:type="dxa" w:w="90"/>
            </w:tcMar>
          </w:tcPr>
          <w:p>
            <w:pPr>
              <w:spacing w:after="0" w:line="260"/>
            </w:pPr>
            <w:r>
              <w:rPr>
                <w:b w:val="false"/>
                <w:bCs w:val="false"/>
                <w:sz w:val="19"/>
                <w:szCs w:val="19"/>
              </w:rPr>
              <w:t xml:space="preserve">One readable pressure parameter, invariant to the scale of the objective.</w:t>
            </w:r>
          </w:p>
        </w:tc>
      </w:tr>
      <w:tr>
        <w:tc>
          <w:tcPr>
            <w:tcW w:type="dxa" w:w="1700"/>
            <w:tcMar>
              <w:top w:type="dxa" w:w="60"/>
              <w:left w:type="dxa" w:w="90"/>
              <w:bottom w:type="dxa" w:w="60"/>
              <w:right w:type="dxa" w:w="90"/>
            </w:tcMar>
          </w:tcPr>
          <w:p>
            <w:pPr>
              <w:spacing w:after="0" w:line="260"/>
            </w:pPr>
            <w:r>
              <w:rPr>
                <w:b w:val="false"/>
                <w:bCs w:val="false"/>
                <w:sz w:val="19"/>
                <w:szCs w:val="19"/>
              </w:rPr>
              <w:t xml:space="preserve">Recombination</w:t>
            </w:r>
          </w:p>
        </w:tc>
        <w:tc>
          <w:tcPr>
            <w:tcW w:type="dxa" w:w="1900"/>
            <w:tcMar>
              <w:top w:type="dxa" w:w="60"/>
              <w:left w:type="dxa" w:w="90"/>
              <w:bottom w:type="dxa" w:w="60"/>
              <w:right w:type="dxa" w:w="90"/>
            </w:tcMar>
          </w:tcPr>
          <w:p>
            <w:pPr>
              <w:spacing w:after="0" w:line="260"/>
            </w:pPr>
            <w:r>
              <w:rPr>
                <w:b w:val="false"/>
                <w:bCs w:val="false"/>
                <w:sz w:val="19"/>
                <w:szCs w:val="19"/>
              </w:rPr>
              <w:t xml:space="preserve">Order crossover (OX1), rate 0.9</w:t>
            </w:r>
          </w:p>
        </w:tc>
        <w:tc>
          <w:tcPr>
            <w:tcW w:type="dxa" w:w="5760"/>
            <w:tcMar>
              <w:top w:type="dxa" w:w="60"/>
              <w:left w:type="dxa" w:w="90"/>
              <w:bottom w:type="dxa" w:w="60"/>
              <w:right w:type="dxa" w:w="90"/>
            </w:tcMar>
          </w:tcPr>
          <w:p>
            <w:pPr>
              <w:spacing w:after="0" w:line="260"/>
            </w:pPr>
            <w:r>
              <w:rPr>
                <w:b w:val="false"/>
                <w:bCs w:val="false"/>
                <w:sz w:val="19"/>
                <w:szCs w:val="19"/>
              </w:rPr>
              <w:t xml:space="preserve">Preserves a block from one parent and the relative ordering of the other (Davis, 1985); always emits a valid permutation.</w:t>
            </w:r>
          </w:p>
        </w:tc>
      </w:tr>
      <w:tr>
        <w:tc>
          <w:tcPr>
            <w:tcW w:type="dxa" w:w="1700"/>
            <w:tcMar>
              <w:top w:type="dxa" w:w="60"/>
              <w:left w:type="dxa" w:w="90"/>
              <w:bottom w:type="dxa" w:w="60"/>
              <w:right w:type="dxa" w:w="90"/>
            </w:tcMar>
          </w:tcPr>
          <w:p>
            <w:pPr>
              <w:spacing w:after="0" w:line="260"/>
            </w:pPr>
            <w:r>
              <w:rPr>
                <w:b w:val="false"/>
                <w:bCs w:val="false"/>
                <w:sz w:val="19"/>
                <w:szCs w:val="19"/>
              </w:rPr>
              <w:t xml:space="preserve">Mutation</w:t>
            </w:r>
          </w:p>
        </w:tc>
        <w:tc>
          <w:tcPr>
            <w:tcW w:type="dxa" w:w="1900"/>
            <w:tcMar>
              <w:top w:type="dxa" w:w="60"/>
              <w:left w:type="dxa" w:w="90"/>
              <w:bottom w:type="dxa" w:w="60"/>
              <w:right w:type="dxa" w:w="90"/>
            </w:tcMar>
          </w:tcPr>
          <w:p>
            <w:pPr>
              <w:spacing w:after="0" w:line="260"/>
            </w:pPr>
            <w:r>
              <w:rPr>
                <w:b w:val="false"/>
                <w:bCs w:val="false"/>
                <w:sz w:val="19"/>
                <w:szCs w:val="19"/>
              </w:rPr>
              <w:t xml:space="preserve">Inversion, rate 0.5</w:t>
            </w:r>
          </w:p>
        </w:tc>
        <w:tc>
          <w:tcPr>
            <w:tcW w:type="dxa" w:w="5760"/>
            <w:tcMar>
              <w:top w:type="dxa" w:w="60"/>
              <w:left w:type="dxa" w:w="90"/>
              <w:bottom w:type="dxa" w:w="60"/>
              <w:right w:type="dxa" w:w="90"/>
            </w:tcMar>
          </w:tcPr>
          <w:p>
            <w:pPr>
              <w:spacing w:after="0" w:line="260"/>
            </w:pPr>
            <w:r>
              <w:rPr>
                <w:b w:val="false"/>
                <w:bCs w:val="false"/>
                <w:sz w:val="19"/>
                <w:szCs w:val="19"/>
              </w:rPr>
              <w:t xml:space="preserve">Inversion is a 2-opt move applied at random, so the GA and the climber explore the same landscape.</w:t>
            </w:r>
          </w:p>
        </w:tc>
      </w:tr>
      <w:tr>
        <w:tc>
          <w:tcPr>
            <w:tcW w:type="dxa" w:w="1700"/>
            <w:tcMar>
              <w:top w:type="dxa" w:w="60"/>
              <w:left w:type="dxa" w:w="90"/>
              <w:bottom w:type="dxa" w:w="60"/>
              <w:right w:type="dxa" w:w="90"/>
            </w:tcMar>
          </w:tcPr>
          <w:p>
            <w:pPr>
              <w:spacing w:after="0" w:line="260"/>
            </w:pPr>
            <w:r>
              <w:rPr>
                <w:b w:val="false"/>
                <w:bCs w:val="false"/>
                <w:sz w:val="19"/>
                <w:szCs w:val="19"/>
              </w:rPr>
              <w:t xml:space="preserve">Elitism</w:t>
            </w:r>
          </w:p>
        </w:tc>
        <w:tc>
          <w:tcPr>
            <w:tcW w:type="dxa" w:w="1900"/>
            <w:tcMar>
              <w:top w:type="dxa" w:w="60"/>
              <w:left w:type="dxa" w:w="90"/>
              <w:bottom w:type="dxa" w:w="60"/>
              <w:right w:type="dxa" w:w="90"/>
            </w:tcMar>
          </w:tcPr>
          <w:p>
            <w:pPr>
              <w:spacing w:after="0" w:line="260"/>
            </w:pPr>
            <w:r>
              <w:rPr>
                <w:b w:val="false"/>
                <w:bCs w:val="false"/>
                <w:sz w:val="19"/>
                <w:szCs w:val="19"/>
              </w:rPr>
              <w:t xml:space="preserve">Best 4 survive</w:t>
            </w:r>
          </w:p>
        </w:tc>
        <w:tc>
          <w:tcPr>
            <w:tcW w:type="dxa" w:w="5760"/>
            <w:tcMar>
              <w:top w:type="dxa" w:w="60"/>
              <w:left w:type="dxa" w:w="90"/>
              <w:bottom w:type="dxa" w:w="60"/>
              <w:right w:type="dxa" w:w="90"/>
            </w:tcMar>
          </w:tcPr>
          <w:p>
            <w:pPr>
              <w:spacing w:after="0" w:line="260"/>
            </w:pPr>
            <w:r>
              <w:rPr>
                <w:b w:val="false"/>
                <w:bCs w:val="false"/>
                <w:sz w:val="19"/>
                <w:szCs w:val="19"/>
              </w:rPr>
              <w:t xml:space="preserve">The best-so-far can never degrade between generations.</w:t>
            </w:r>
          </w:p>
        </w:tc>
      </w:tr>
    </w:tbl>
    <w:p>
      <w:pPr>
        <w:spacing w:after="60" w:line="300"/>
      </w:pPr>
      <w:r>
        <w:rPr>
          <w:sz w:val="22"/>
          <w:szCs w:val="22"/>
        </w:rPr>
        <w:t xml:space="preserve">The shared 2-opt landscape is the keystone of the study. Because the GA’s mutation and the climber’s neighbourhood are the same move, neither algorithm is handed a better operator, so any performance difference is attributable to search strategy alone.</w:t>
      </w:r>
    </w:p>
    <w:p>
      <w:pPr>
        <w:pStyle w:val="Heading1"/>
        <w:spacing w:after="130" w:before="260"/>
      </w:pPr>
      <w:r>
        <w:rPr>
          <w:b/>
          <w:bCs/>
          <w:color w:val="1F4E79"/>
          <w:sz w:val="28"/>
          <w:szCs w:val="28"/>
        </w:rPr>
        <w:t xml:space="preserve">3. Methodology</w:t>
      </w:r>
    </w:p>
    <w:p>
      <w:pPr>
        <w:pStyle w:val="ListParagraph"/>
        <w:numPr>
          <w:ilvl w:val="0"/>
          <w:numId w:val="2"/>
        </w:numPr>
        <w:spacing w:after="60" w:line="280"/>
      </w:pPr>
      <w:r>
        <w:rPr>
          <w:sz w:val="22"/>
          <w:szCs w:val="22"/>
        </w:rPr>
        <w:t xml:space="preserve">Both algorithms are stochastic, so a single run is uninformative. Each was run 30 independent times at 10, 20, 30, 40 and 50 cities (the first k rows of the dataset), seeded distinctly from one master seed so every figure is exactly reproducible.</w:t>
      </w:r>
    </w:p>
    <w:p>
      <w:pPr>
        <w:pStyle w:val="ListParagraph"/>
        <w:numPr>
          <w:ilvl w:val="0"/>
          <w:numId w:val="2"/>
        </w:numPr>
        <w:spacing w:after="60" w:line="280"/>
      </w:pPr>
      <w:r>
        <w:rPr>
          <w:sz w:val="22"/>
          <w:szCs w:val="22"/>
        </w:rPr>
        <w:t xml:space="preserve">Three metrics: solution quality (tour length), computational efficiency (runtime), and robustness (standard deviation across runs, which says how far a single run can be trusted).</w:t>
      </w:r>
    </w:p>
    <w:p>
      <w:pPr>
        <w:pStyle w:val="ListParagraph"/>
        <w:numPr>
          <w:ilvl w:val="0"/>
          <w:numId w:val="2"/>
        </w:numPr>
        <w:spacing w:after="60" w:line="280"/>
      </w:pPr>
      <w:r>
        <w:rPr>
          <w:sz w:val="22"/>
          <w:szCs w:val="22"/>
        </w:rPr>
        <w:t xml:space="preserve">Two tests were applied at 50 cities. Welch’s t-test does not assume equal variances, which matters because the GA is visibly more variable; Mann-Whitney U assumes no distribution at all. Agreement between a parametric and a non-parametric test guards against a conclusion that is an artefact of either. Cohen’s d separates statistical significance from practical importance.</w:t>
      </w:r>
    </w:p>
    <w:p>
      <w:pPr>
        <w:pStyle w:val="Heading1"/>
        <w:spacing w:after="130" w:before="260"/>
      </w:pPr>
      <w:r>
        <w:rPr>
          <w:b/>
          <w:bCs/>
          <w:color w:val="1F4E79"/>
          <w:sz w:val="28"/>
          <w:szCs w:val="28"/>
        </w:rPr>
        <w:t xml:space="preserve">4. Hyperparameter tuning of the genetic algorithm</w:t>
      </w:r>
    </w:p>
    <w:p>
      <w:pPr>
        <w:spacing w:after="140" w:line="300"/>
      </w:pPr>
      <w:r>
        <w:rPr>
          <w:sz w:val="22"/>
          <w:szCs w:val="22"/>
        </w:rPr>
        <w:t xml:space="preserve">Two parameters dominate the GA’s exploration/exploitation balance: tournament size (selection pressure) and mutation rate. Six configurations were each run five times on the full instance.</w:t>
      </w:r>
    </w:p>
    <w:tbl>
      <w:tblPr>
        <w:tblW w:type="dxa" w:w="9360"/>
        <w:tblBorders>
          <w:top w:val="single" w:color="BFCEDD" w:sz="4"/>
          <w:left w:val="single" w:color="BFCEDD" w:sz="4"/>
          <w:bottom w:val="single" w:color="BFCEDD" w:sz="4"/>
          <w:right w:val="single" w:color="BFCEDD" w:sz="4"/>
          <w:insideH w:val="single" w:color="D6E0EA" w:sz="2"/>
          <w:insideV w:val="single" w:color="D6E0EA" w:sz="2"/>
        </w:tblBorders>
      </w:tblPr>
      <w:tblGrid>
        <w:gridCol w:w="2340"/>
        <w:gridCol w:w="2340"/>
        <w:gridCol w:w="2340"/>
        <w:gridCol w:w="2340"/>
      </w:tblGrid>
      <w:tr>
        <w:trPr>
          <w:tblHeader/>
        </w:trPr>
        <w:tc>
          <w:tcPr>
            <w:tcW w:type="dxa" w:w="2340"/>
            <w:shd w:fill="EAF1F8" w:color="auto" w:val="clear"/>
            <w:tcMar>
              <w:top w:type="dxa" w:w="60"/>
              <w:left w:type="dxa" w:w="90"/>
              <w:bottom w:type="dxa" w:w="60"/>
              <w:right w:type="dxa" w:w="90"/>
            </w:tcMar>
          </w:tcPr>
          <w:p>
            <w:pPr>
              <w:spacing w:after="0" w:line="260"/>
            </w:pPr>
            <w:r>
              <w:rPr>
                <w:b/>
                <w:bCs/>
                <w:color w:val="1F4E79"/>
                <w:sz w:val="19"/>
                <w:szCs w:val="19"/>
              </w:rPr>
              <w:t xml:space="preserve">Tournament size k</w:t>
            </w:r>
          </w:p>
        </w:tc>
        <w:tc>
          <w:tcPr>
            <w:tcW w:type="dxa" w:w="2340"/>
            <w:shd w:fill="EAF1F8" w:color="auto" w:val="clear"/>
            <w:tcMar>
              <w:top w:type="dxa" w:w="60"/>
              <w:left w:type="dxa" w:w="90"/>
              <w:bottom w:type="dxa" w:w="60"/>
              <w:right w:type="dxa" w:w="90"/>
            </w:tcMar>
          </w:tcPr>
          <w:p>
            <w:pPr>
              <w:spacing w:after="0" w:line="260"/>
            </w:pPr>
            <w:r>
              <w:rPr>
                <w:b/>
                <w:bCs/>
                <w:color w:val="1F4E79"/>
                <w:sz w:val="19"/>
                <w:szCs w:val="19"/>
              </w:rPr>
              <w:t xml:space="preserve">Mutation rate</w:t>
            </w:r>
          </w:p>
        </w:tc>
        <w:tc>
          <w:tcPr>
            <w:tcW w:type="dxa" w:w="2340"/>
            <w:shd w:fill="EAF1F8" w:color="auto" w:val="clear"/>
            <w:tcMar>
              <w:top w:type="dxa" w:w="60"/>
              <w:left w:type="dxa" w:w="90"/>
              <w:bottom w:type="dxa" w:w="60"/>
              <w:right w:type="dxa" w:w="90"/>
            </w:tcMar>
          </w:tcPr>
          <w:p>
            <w:pPr>
              <w:spacing w:after="0" w:line="260"/>
            </w:pPr>
            <w:r>
              <w:rPr>
                <w:b/>
                <w:bCs/>
                <w:color w:val="1F4E79"/>
                <w:sz w:val="19"/>
                <w:szCs w:val="19"/>
              </w:rPr>
              <w:t xml:space="preserve">Mean tour length</w:t>
            </w:r>
          </w:p>
        </w:tc>
        <w:tc>
          <w:tcPr>
            <w:tcW w:type="dxa" w:w="2340"/>
            <w:shd w:fill="EAF1F8" w:color="auto" w:val="clear"/>
            <w:tcMar>
              <w:top w:type="dxa" w:w="60"/>
              <w:left w:type="dxa" w:w="90"/>
              <w:bottom w:type="dxa" w:w="60"/>
              <w:right w:type="dxa" w:w="90"/>
            </w:tcMar>
          </w:tcPr>
          <w:p>
            <w:pPr>
              <w:spacing w:after="0" w:line="260"/>
            </w:pPr>
            <w:r>
              <w:rPr>
                <w:b/>
                <w:bCs/>
                <w:color w:val="1F4E79"/>
                <w:sz w:val="19"/>
                <w:szCs w:val="19"/>
              </w:rPr>
              <w:t xml:space="preserve">SD</w:t>
            </w:r>
          </w:p>
        </w:tc>
      </w:tr>
      <w:tr>
        <w:tc>
          <w:tcPr>
            <w:tcW w:type="dxa" w:w="2340"/>
            <w:tcMar>
              <w:top w:type="dxa" w:w="60"/>
              <w:left w:type="dxa" w:w="90"/>
              <w:bottom w:type="dxa" w:w="60"/>
              <w:right w:type="dxa" w:w="90"/>
            </w:tcMar>
          </w:tcPr>
          <w:p>
            <w:pPr>
              <w:spacing w:after="0" w:line="260"/>
            </w:pPr>
            <w:r>
              <w:rPr>
                <w:b w:val="false"/>
                <w:bCs w:val="false"/>
                <w:sz w:val="19"/>
                <w:szCs w:val="19"/>
              </w:rPr>
              <w:t xml:space="preserve">5</w:t>
            </w:r>
          </w:p>
        </w:tc>
        <w:tc>
          <w:tcPr>
            <w:tcW w:type="dxa" w:w="2340"/>
            <w:tcMar>
              <w:top w:type="dxa" w:w="60"/>
              <w:left w:type="dxa" w:w="90"/>
              <w:bottom w:type="dxa" w:w="60"/>
              <w:right w:type="dxa" w:w="90"/>
            </w:tcMar>
          </w:tcPr>
          <w:p>
            <w:pPr>
              <w:spacing w:after="0" w:line="260"/>
            </w:pPr>
            <w:r>
              <w:rPr>
                <w:b w:val="false"/>
                <w:bCs w:val="false"/>
                <w:sz w:val="19"/>
                <w:szCs w:val="19"/>
              </w:rPr>
              <w:t xml:space="preserve">0.50</w:t>
            </w:r>
          </w:p>
        </w:tc>
        <w:tc>
          <w:tcPr>
            <w:tcW w:type="dxa" w:w="2340"/>
            <w:tcMar>
              <w:top w:type="dxa" w:w="60"/>
              <w:left w:type="dxa" w:w="90"/>
              <w:bottom w:type="dxa" w:w="60"/>
              <w:right w:type="dxa" w:w="90"/>
            </w:tcMar>
          </w:tcPr>
          <w:p>
            <w:pPr>
              <w:spacing w:after="0" w:line="260"/>
            </w:pPr>
            <w:r>
              <w:rPr>
                <w:b w:val="false"/>
                <w:bCs w:val="false"/>
                <w:sz w:val="19"/>
                <w:szCs w:val="19"/>
              </w:rPr>
              <w:t xml:space="preserve">590.69</w:t>
            </w:r>
          </w:p>
        </w:tc>
        <w:tc>
          <w:tcPr>
            <w:tcW w:type="dxa" w:w="2340"/>
            <w:tcMar>
              <w:top w:type="dxa" w:w="60"/>
              <w:left w:type="dxa" w:w="90"/>
              <w:bottom w:type="dxa" w:w="60"/>
              <w:right w:type="dxa" w:w="90"/>
            </w:tcMar>
          </w:tcPr>
          <w:p>
            <w:pPr>
              <w:spacing w:after="0" w:line="260"/>
            </w:pPr>
            <w:r>
              <w:rPr>
                <w:b w:val="false"/>
                <w:bCs w:val="false"/>
                <w:sz w:val="19"/>
                <w:szCs w:val="19"/>
              </w:rPr>
              <w:t xml:space="preserve">17.73</w:t>
            </w:r>
          </w:p>
        </w:tc>
      </w:tr>
      <w:tr>
        <w:tc>
          <w:tcPr>
            <w:tcW w:type="dxa" w:w="2340"/>
            <w:tcMar>
              <w:top w:type="dxa" w:w="60"/>
              <w:left w:type="dxa" w:w="90"/>
              <w:bottom w:type="dxa" w:w="60"/>
              <w:right w:type="dxa" w:w="90"/>
            </w:tcMar>
          </w:tcPr>
          <w:p>
            <w:pPr>
              <w:spacing w:after="0" w:line="260"/>
            </w:pPr>
            <w:r>
              <w:rPr>
                <w:b w:val="false"/>
                <w:bCs w:val="false"/>
                <w:sz w:val="19"/>
                <w:szCs w:val="19"/>
              </w:rPr>
              <w:t xml:space="preserve">9</w:t>
            </w:r>
          </w:p>
        </w:tc>
        <w:tc>
          <w:tcPr>
            <w:tcW w:type="dxa" w:w="2340"/>
            <w:tcMar>
              <w:top w:type="dxa" w:w="60"/>
              <w:left w:type="dxa" w:w="90"/>
              <w:bottom w:type="dxa" w:w="60"/>
              <w:right w:type="dxa" w:w="90"/>
            </w:tcMar>
          </w:tcPr>
          <w:p>
            <w:pPr>
              <w:spacing w:after="0" w:line="260"/>
            </w:pPr>
            <w:r>
              <w:rPr>
                <w:b w:val="false"/>
                <w:bCs w:val="false"/>
                <w:sz w:val="19"/>
                <w:szCs w:val="19"/>
              </w:rPr>
              <w:t xml:space="preserve">0.50</w:t>
            </w:r>
          </w:p>
        </w:tc>
        <w:tc>
          <w:tcPr>
            <w:tcW w:type="dxa" w:w="2340"/>
            <w:tcMar>
              <w:top w:type="dxa" w:w="60"/>
              <w:left w:type="dxa" w:w="90"/>
              <w:bottom w:type="dxa" w:w="60"/>
              <w:right w:type="dxa" w:w="90"/>
            </w:tcMar>
          </w:tcPr>
          <w:p>
            <w:pPr>
              <w:spacing w:after="0" w:line="260"/>
            </w:pPr>
            <w:r>
              <w:rPr>
                <w:b w:val="false"/>
                <w:bCs w:val="false"/>
                <w:sz w:val="19"/>
                <w:szCs w:val="19"/>
              </w:rPr>
              <w:t xml:space="preserve">590.73</w:t>
            </w:r>
          </w:p>
        </w:tc>
        <w:tc>
          <w:tcPr>
            <w:tcW w:type="dxa" w:w="2340"/>
            <w:tcMar>
              <w:top w:type="dxa" w:w="60"/>
              <w:left w:type="dxa" w:w="90"/>
              <w:bottom w:type="dxa" w:w="60"/>
              <w:right w:type="dxa" w:w="90"/>
            </w:tcMar>
          </w:tcPr>
          <w:p>
            <w:pPr>
              <w:spacing w:after="0" w:line="260"/>
            </w:pPr>
            <w:r>
              <w:rPr>
                <w:b w:val="false"/>
                <w:bCs w:val="false"/>
                <w:sz w:val="19"/>
                <w:szCs w:val="19"/>
              </w:rPr>
              <w:t xml:space="preserve">9.99</w:t>
            </w:r>
          </w:p>
        </w:tc>
      </w:tr>
      <w:tr>
        <w:tc>
          <w:tcPr>
            <w:tcW w:type="dxa" w:w="2340"/>
            <w:tcMar>
              <w:top w:type="dxa" w:w="60"/>
              <w:left w:type="dxa" w:w="90"/>
              <w:bottom w:type="dxa" w:w="60"/>
              <w:right w:type="dxa" w:w="90"/>
            </w:tcMar>
          </w:tcPr>
          <w:p>
            <w:pPr>
              <w:spacing w:after="0" w:line="260"/>
            </w:pPr>
            <w:r>
              <w:rPr>
                <w:b w:val="false"/>
                <w:bCs w:val="false"/>
                <w:sz w:val="19"/>
                <w:szCs w:val="19"/>
              </w:rPr>
              <w:t xml:space="preserve">9</w:t>
            </w:r>
          </w:p>
        </w:tc>
        <w:tc>
          <w:tcPr>
            <w:tcW w:type="dxa" w:w="2340"/>
            <w:tcMar>
              <w:top w:type="dxa" w:w="60"/>
              <w:left w:type="dxa" w:w="90"/>
              <w:bottom w:type="dxa" w:w="60"/>
              <w:right w:type="dxa" w:w="90"/>
            </w:tcMar>
          </w:tcPr>
          <w:p>
            <w:pPr>
              <w:spacing w:after="0" w:line="260"/>
            </w:pPr>
            <w:r>
              <w:rPr>
                <w:b w:val="false"/>
                <w:bCs w:val="false"/>
                <w:sz w:val="19"/>
                <w:szCs w:val="19"/>
              </w:rPr>
              <w:t xml:space="preserve">0.20</w:t>
            </w:r>
          </w:p>
        </w:tc>
        <w:tc>
          <w:tcPr>
            <w:tcW w:type="dxa" w:w="2340"/>
            <w:tcMar>
              <w:top w:type="dxa" w:w="60"/>
              <w:left w:type="dxa" w:w="90"/>
              <w:bottom w:type="dxa" w:w="60"/>
              <w:right w:type="dxa" w:w="90"/>
            </w:tcMar>
          </w:tcPr>
          <w:p>
            <w:pPr>
              <w:spacing w:after="0" w:line="260"/>
            </w:pPr>
            <w:r>
              <w:rPr>
                <w:b w:val="false"/>
                <w:bCs w:val="false"/>
                <w:sz w:val="19"/>
                <w:szCs w:val="19"/>
              </w:rPr>
              <w:t xml:space="preserve">593.87</w:t>
            </w:r>
          </w:p>
        </w:tc>
        <w:tc>
          <w:tcPr>
            <w:tcW w:type="dxa" w:w="2340"/>
            <w:tcMar>
              <w:top w:type="dxa" w:w="60"/>
              <w:left w:type="dxa" w:w="90"/>
              <w:bottom w:type="dxa" w:w="60"/>
              <w:right w:type="dxa" w:w="90"/>
            </w:tcMar>
          </w:tcPr>
          <w:p>
            <w:pPr>
              <w:spacing w:after="0" w:line="260"/>
            </w:pPr>
            <w:r>
              <w:rPr>
                <w:b w:val="false"/>
                <w:bCs w:val="false"/>
                <w:sz w:val="19"/>
                <w:szCs w:val="19"/>
              </w:rPr>
              <w:t xml:space="preserve">16.27</w:t>
            </w:r>
          </w:p>
        </w:tc>
      </w:tr>
      <w:tr>
        <w:tc>
          <w:tcPr>
            <w:tcW w:type="dxa" w:w="2340"/>
            <w:tcMar>
              <w:top w:type="dxa" w:w="60"/>
              <w:left w:type="dxa" w:w="90"/>
              <w:bottom w:type="dxa" w:w="60"/>
              <w:right w:type="dxa" w:w="90"/>
            </w:tcMar>
          </w:tcPr>
          <w:p>
            <w:pPr>
              <w:spacing w:after="0" w:line="260"/>
            </w:pPr>
            <w:r>
              <w:rPr>
                <w:b w:val="false"/>
                <w:bCs w:val="false"/>
                <w:sz w:val="19"/>
                <w:szCs w:val="19"/>
              </w:rPr>
              <w:t xml:space="preserve">5</w:t>
            </w:r>
          </w:p>
        </w:tc>
        <w:tc>
          <w:tcPr>
            <w:tcW w:type="dxa" w:w="2340"/>
            <w:tcMar>
              <w:top w:type="dxa" w:w="60"/>
              <w:left w:type="dxa" w:w="90"/>
              <w:bottom w:type="dxa" w:w="60"/>
              <w:right w:type="dxa" w:w="90"/>
            </w:tcMar>
          </w:tcPr>
          <w:p>
            <w:pPr>
              <w:spacing w:after="0" w:line="260"/>
            </w:pPr>
            <w:r>
              <w:rPr>
                <w:b w:val="false"/>
                <w:bCs w:val="false"/>
                <w:sz w:val="19"/>
                <w:szCs w:val="19"/>
              </w:rPr>
              <w:t xml:space="preserve">0.20</w:t>
            </w:r>
          </w:p>
        </w:tc>
        <w:tc>
          <w:tcPr>
            <w:tcW w:type="dxa" w:w="2340"/>
            <w:tcMar>
              <w:top w:type="dxa" w:w="60"/>
              <w:left w:type="dxa" w:w="90"/>
              <w:bottom w:type="dxa" w:w="60"/>
              <w:right w:type="dxa" w:w="90"/>
            </w:tcMar>
          </w:tcPr>
          <w:p>
            <w:pPr>
              <w:spacing w:after="0" w:line="260"/>
            </w:pPr>
            <w:r>
              <w:rPr>
                <w:b w:val="false"/>
                <w:bCs w:val="false"/>
                <w:sz w:val="19"/>
                <w:szCs w:val="19"/>
              </w:rPr>
              <w:t xml:space="preserve">593.94</w:t>
            </w:r>
          </w:p>
        </w:tc>
        <w:tc>
          <w:tcPr>
            <w:tcW w:type="dxa" w:w="2340"/>
            <w:tcMar>
              <w:top w:type="dxa" w:w="60"/>
              <w:left w:type="dxa" w:w="90"/>
              <w:bottom w:type="dxa" w:w="60"/>
              <w:right w:type="dxa" w:w="90"/>
            </w:tcMar>
          </w:tcPr>
          <w:p>
            <w:pPr>
              <w:spacing w:after="0" w:line="260"/>
            </w:pPr>
            <w:r>
              <w:rPr>
                <w:b w:val="false"/>
                <w:bCs w:val="false"/>
                <w:sz w:val="19"/>
                <w:szCs w:val="19"/>
              </w:rPr>
              <w:t xml:space="preserve">21.09</w:t>
            </w:r>
          </w:p>
        </w:tc>
      </w:tr>
      <w:tr>
        <w:tc>
          <w:tcPr>
            <w:tcW w:type="dxa" w:w="2340"/>
            <w:tcMar>
              <w:top w:type="dxa" w:w="60"/>
              <w:left w:type="dxa" w:w="90"/>
              <w:bottom w:type="dxa" w:w="60"/>
              <w:right w:type="dxa" w:w="90"/>
            </w:tcMar>
          </w:tcPr>
          <w:p>
            <w:pPr>
              <w:spacing w:after="0" w:line="260"/>
            </w:pPr>
            <w:r>
              <w:rPr>
                <w:b w:val="false"/>
                <w:bCs w:val="false"/>
                <w:sz w:val="19"/>
                <w:szCs w:val="19"/>
              </w:rPr>
              <w:t xml:space="preserve">5</w:t>
            </w:r>
          </w:p>
        </w:tc>
        <w:tc>
          <w:tcPr>
            <w:tcW w:type="dxa" w:w="2340"/>
            <w:tcMar>
              <w:top w:type="dxa" w:w="60"/>
              <w:left w:type="dxa" w:w="90"/>
              <w:bottom w:type="dxa" w:w="60"/>
              <w:right w:type="dxa" w:w="90"/>
            </w:tcMar>
          </w:tcPr>
          <w:p>
            <w:pPr>
              <w:spacing w:after="0" w:line="260"/>
            </w:pPr>
            <w:r>
              <w:rPr>
                <w:b w:val="false"/>
                <w:bCs w:val="false"/>
                <w:sz w:val="19"/>
                <w:szCs w:val="19"/>
              </w:rPr>
              <w:t xml:space="preserve">0.05</w:t>
            </w:r>
          </w:p>
        </w:tc>
        <w:tc>
          <w:tcPr>
            <w:tcW w:type="dxa" w:w="2340"/>
            <w:tcMar>
              <w:top w:type="dxa" w:w="60"/>
              <w:left w:type="dxa" w:w="90"/>
              <w:bottom w:type="dxa" w:w="60"/>
              <w:right w:type="dxa" w:w="90"/>
            </w:tcMar>
          </w:tcPr>
          <w:p>
            <w:pPr>
              <w:spacing w:after="0" w:line="260"/>
            </w:pPr>
            <w:r>
              <w:rPr>
                <w:b w:val="false"/>
                <w:bCs w:val="false"/>
                <w:sz w:val="19"/>
                <w:szCs w:val="19"/>
              </w:rPr>
              <w:t xml:space="preserve">605.68</w:t>
            </w:r>
          </w:p>
        </w:tc>
        <w:tc>
          <w:tcPr>
            <w:tcW w:type="dxa" w:w="2340"/>
            <w:tcMar>
              <w:top w:type="dxa" w:w="60"/>
              <w:left w:type="dxa" w:w="90"/>
              <w:bottom w:type="dxa" w:w="60"/>
              <w:right w:type="dxa" w:w="90"/>
            </w:tcMar>
          </w:tcPr>
          <w:p>
            <w:pPr>
              <w:spacing w:after="0" w:line="260"/>
            </w:pPr>
            <w:r>
              <w:rPr>
                <w:b w:val="false"/>
                <w:bCs w:val="false"/>
                <w:sz w:val="19"/>
                <w:szCs w:val="19"/>
              </w:rPr>
              <w:t xml:space="preserve">9.36</w:t>
            </w:r>
          </w:p>
        </w:tc>
      </w:tr>
      <w:tr>
        <w:tc>
          <w:tcPr>
            <w:tcW w:type="dxa" w:w="2340"/>
            <w:tcMar>
              <w:top w:type="dxa" w:w="60"/>
              <w:left w:type="dxa" w:w="90"/>
              <w:bottom w:type="dxa" w:w="60"/>
              <w:right w:type="dxa" w:w="90"/>
            </w:tcMar>
          </w:tcPr>
          <w:p>
            <w:pPr>
              <w:spacing w:after="0" w:line="260"/>
            </w:pPr>
            <w:r>
              <w:rPr>
                <w:b w:val="false"/>
                <w:bCs w:val="false"/>
                <w:sz w:val="19"/>
                <w:szCs w:val="19"/>
              </w:rPr>
              <w:t xml:space="preserve">2</w:t>
            </w:r>
          </w:p>
        </w:tc>
        <w:tc>
          <w:tcPr>
            <w:tcW w:type="dxa" w:w="2340"/>
            <w:tcMar>
              <w:top w:type="dxa" w:w="60"/>
              <w:left w:type="dxa" w:w="90"/>
              <w:bottom w:type="dxa" w:w="60"/>
              <w:right w:type="dxa" w:w="90"/>
            </w:tcMar>
          </w:tcPr>
          <w:p>
            <w:pPr>
              <w:spacing w:after="0" w:line="260"/>
            </w:pPr>
            <w:r>
              <w:rPr>
                <w:b w:val="false"/>
                <w:bCs w:val="false"/>
                <w:sz w:val="19"/>
                <w:szCs w:val="19"/>
              </w:rPr>
              <w:t xml:space="preserve">0.20</w:t>
            </w:r>
          </w:p>
        </w:tc>
        <w:tc>
          <w:tcPr>
            <w:tcW w:type="dxa" w:w="2340"/>
            <w:tcMar>
              <w:top w:type="dxa" w:w="60"/>
              <w:left w:type="dxa" w:w="90"/>
              <w:bottom w:type="dxa" w:w="60"/>
              <w:right w:type="dxa" w:w="90"/>
            </w:tcMar>
          </w:tcPr>
          <w:p>
            <w:pPr>
              <w:spacing w:after="0" w:line="260"/>
            </w:pPr>
            <w:r>
              <w:rPr>
                <w:b w:val="false"/>
                <w:bCs w:val="false"/>
                <w:sz w:val="19"/>
                <w:szCs w:val="19"/>
              </w:rPr>
              <w:t xml:space="preserve">765.91</w:t>
            </w:r>
          </w:p>
        </w:tc>
        <w:tc>
          <w:tcPr>
            <w:tcW w:type="dxa" w:w="2340"/>
            <w:tcMar>
              <w:top w:type="dxa" w:w="60"/>
              <w:left w:type="dxa" w:w="90"/>
              <w:bottom w:type="dxa" w:w="60"/>
              <w:right w:type="dxa" w:w="90"/>
            </w:tcMar>
          </w:tcPr>
          <w:p>
            <w:pPr>
              <w:spacing w:after="0" w:line="260"/>
            </w:pPr>
            <w:r>
              <w:rPr>
                <w:b w:val="false"/>
                <w:bCs w:val="false"/>
                <w:sz w:val="19"/>
                <w:szCs w:val="19"/>
              </w:rPr>
              <w:t xml:space="preserve">44.02</w:t>
            </w:r>
          </w:p>
        </w:tc>
      </w:tr>
    </w:tbl>
    <w:p>
      <w:pPr>
        <w:spacing w:after="140" w:line="300"/>
      </w:pPr>
      <w:r>
        <w:rPr>
          <w:i/>
          <w:iCs/>
          <w:color w:val="555555"/>
          <w:sz w:val="18"/>
          <w:szCs w:val="18"/>
        </w:rPr>
        <w:t xml:space="preserve">Table 1. GA tuning sweep, five runs per configuration, 50 cities.</w:t>
      </w:r>
    </w:p>
    <w:p>
      <w:pPr>
        <w:spacing w:after="140" w:line="300"/>
      </w:pPr>
      <w:r>
        <w:rPr>
          <w:sz w:val="22"/>
          <w:szCs w:val="22"/>
        </w:rPr>
        <w:t xml:space="preserve">The sweep does more than pick a winner. Selection pressure matters enormously; mutation rate matters modestly. Dropping to k = 2 costs 175 units, some 30 per cent, because near-random selection destroys the algorithm’s ability to exploit good building blocks. Raising mutation from 0.05 to 0.5 improves the mean by only 15 units, and it helps precisely because inversion is a 2-opt move, so heavy mutation effectively grafts local search onto the population. The chosen configuration was k = 5, mutation 0.5.</w:t>
      </w:r>
    </w:p>
    <w:p>
      <w:pPr>
        <w:pStyle w:val="Heading1"/>
        <w:spacing w:after="130" w:before="260"/>
      </w:pPr>
      <w:r>
        <w:rPr>
          <w:b/>
          <w:bCs/>
          <w:color w:val="1F4E79"/>
          <w:sz w:val="28"/>
          <w:szCs w:val="28"/>
        </w:rPr>
        <w:t xml:space="preserve">5. Results</w:t>
      </w:r>
    </w:p>
    <w:tbl>
      <w:tblPr>
        <w:tblW w:type="dxa" w:w="9360"/>
        <w:tblBorders>
          <w:top w:val="single" w:color="BFCEDD" w:sz="4"/>
          <w:left w:val="single" w:color="BFCEDD" w:sz="4"/>
          <w:bottom w:val="single" w:color="BFCEDD" w:sz="4"/>
          <w:right w:val="single" w:color="BFCEDD" w:sz="4"/>
          <w:insideH w:val="single" w:color="D6E0EA" w:sz="2"/>
          <w:insideV w:val="single" w:color="D6E0EA" w:sz="2"/>
        </w:tblBorders>
      </w:tblPr>
      <w:tblGrid>
        <w:gridCol w:w="1100"/>
        <w:gridCol w:w="1900"/>
        <w:gridCol w:w="1500"/>
        <w:gridCol w:w="1900"/>
        <w:gridCol w:w="1500"/>
        <w:gridCol w:w="1460"/>
      </w:tblGrid>
      <w:tr>
        <w:trPr>
          <w:tblHeader/>
        </w:trPr>
        <w:tc>
          <w:tcPr>
            <w:tcW w:type="dxa" w:w="1100"/>
            <w:shd w:fill="EAF1F8" w:color="auto" w:val="clear"/>
            <w:tcMar>
              <w:top w:type="dxa" w:w="60"/>
              <w:left w:type="dxa" w:w="90"/>
              <w:bottom w:type="dxa" w:w="60"/>
              <w:right w:type="dxa" w:w="90"/>
            </w:tcMar>
          </w:tcPr>
          <w:p>
            <w:pPr>
              <w:spacing w:after="0" w:line="260"/>
            </w:pPr>
            <w:r>
              <w:rPr>
                <w:b/>
                <w:bCs/>
                <w:color w:val="1F4E79"/>
                <w:sz w:val="19"/>
                <w:szCs w:val="19"/>
              </w:rPr>
              <w:t xml:space="preserve">Cities</w:t>
            </w:r>
          </w:p>
        </w:tc>
        <w:tc>
          <w:tcPr>
            <w:tcW w:type="dxa" w:w="1900"/>
            <w:shd w:fill="EAF1F8" w:color="auto" w:val="clear"/>
            <w:tcMar>
              <w:top w:type="dxa" w:w="60"/>
              <w:left w:type="dxa" w:w="90"/>
              <w:bottom w:type="dxa" w:w="60"/>
              <w:right w:type="dxa" w:w="90"/>
            </w:tcMar>
          </w:tcPr>
          <w:p>
            <w:pPr>
              <w:spacing w:after="0" w:line="260"/>
            </w:pPr>
            <w:r>
              <w:rPr>
                <w:b/>
                <w:bCs/>
                <w:color w:val="1F4E79"/>
                <w:sz w:val="19"/>
                <w:szCs w:val="19"/>
              </w:rPr>
              <w:t xml:space="preserve">HC mean (SD)</w:t>
            </w:r>
          </w:p>
        </w:tc>
        <w:tc>
          <w:tcPr>
            <w:tcW w:type="dxa" w:w="1500"/>
            <w:shd w:fill="EAF1F8" w:color="auto" w:val="clear"/>
            <w:tcMar>
              <w:top w:type="dxa" w:w="60"/>
              <w:left w:type="dxa" w:w="90"/>
              <w:bottom w:type="dxa" w:w="60"/>
              <w:right w:type="dxa" w:w="90"/>
            </w:tcMar>
          </w:tcPr>
          <w:p>
            <w:pPr>
              <w:spacing w:after="0" w:line="260"/>
            </w:pPr>
            <w:r>
              <w:rPr>
                <w:b/>
                <w:bCs/>
                <w:color w:val="1F4E79"/>
                <w:sz w:val="19"/>
                <w:szCs w:val="19"/>
              </w:rPr>
              <w:t xml:space="preserve">HC time (s)</w:t>
            </w:r>
          </w:p>
        </w:tc>
        <w:tc>
          <w:tcPr>
            <w:tcW w:type="dxa" w:w="1900"/>
            <w:shd w:fill="EAF1F8" w:color="auto" w:val="clear"/>
            <w:tcMar>
              <w:top w:type="dxa" w:w="60"/>
              <w:left w:type="dxa" w:w="90"/>
              <w:bottom w:type="dxa" w:w="60"/>
              <w:right w:type="dxa" w:w="90"/>
            </w:tcMar>
          </w:tcPr>
          <w:p>
            <w:pPr>
              <w:spacing w:after="0" w:line="260"/>
            </w:pPr>
            <w:r>
              <w:rPr>
                <w:b/>
                <w:bCs/>
                <w:color w:val="1F4E79"/>
                <w:sz w:val="19"/>
                <w:szCs w:val="19"/>
              </w:rPr>
              <w:t xml:space="preserve">GA mean (SD)</w:t>
            </w:r>
          </w:p>
        </w:tc>
        <w:tc>
          <w:tcPr>
            <w:tcW w:type="dxa" w:w="1500"/>
            <w:shd w:fill="EAF1F8" w:color="auto" w:val="clear"/>
            <w:tcMar>
              <w:top w:type="dxa" w:w="60"/>
              <w:left w:type="dxa" w:w="90"/>
              <w:bottom w:type="dxa" w:w="60"/>
              <w:right w:type="dxa" w:w="90"/>
            </w:tcMar>
          </w:tcPr>
          <w:p>
            <w:pPr>
              <w:spacing w:after="0" w:line="260"/>
            </w:pPr>
            <w:r>
              <w:rPr>
                <w:b/>
                <w:bCs/>
                <w:color w:val="1F4E79"/>
                <w:sz w:val="19"/>
                <w:szCs w:val="19"/>
              </w:rPr>
              <w:t xml:space="preserve">GA time (s)</w:t>
            </w:r>
          </w:p>
        </w:tc>
        <w:tc>
          <w:tcPr>
            <w:tcW w:type="dxa" w:w="1460"/>
            <w:shd w:fill="EAF1F8" w:color="auto" w:val="clear"/>
            <w:tcMar>
              <w:top w:type="dxa" w:w="60"/>
              <w:left w:type="dxa" w:w="90"/>
              <w:bottom w:type="dxa" w:w="60"/>
              <w:right w:type="dxa" w:w="90"/>
            </w:tcMar>
          </w:tcPr>
          <w:p>
            <w:pPr>
              <w:spacing w:after="0" w:line="260"/>
            </w:pPr>
            <w:r>
              <w:rPr>
                <w:b/>
                <w:bCs/>
                <w:color w:val="1F4E79"/>
                <w:sz w:val="19"/>
                <w:szCs w:val="19"/>
              </w:rPr>
              <w:t xml:space="preserve">GA gap</w:t>
            </w:r>
          </w:p>
        </w:tc>
      </w:tr>
      <w:tr>
        <w:tc>
          <w:tcPr>
            <w:tcW w:type="dxa" w:w="1100"/>
            <w:tcMar>
              <w:top w:type="dxa" w:w="60"/>
              <w:left w:type="dxa" w:w="90"/>
              <w:bottom w:type="dxa" w:w="60"/>
              <w:right w:type="dxa" w:w="90"/>
            </w:tcMar>
          </w:tcPr>
          <w:p>
            <w:pPr>
              <w:spacing w:after="0" w:line="260"/>
            </w:pPr>
            <w:r>
              <w:rPr>
                <w:b w:val="false"/>
                <w:bCs w:val="false"/>
                <w:sz w:val="19"/>
                <w:szCs w:val="19"/>
              </w:rPr>
              <w:t xml:space="preserve">10</w:t>
            </w:r>
          </w:p>
        </w:tc>
        <w:tc>
          <w:tcPr>
            <w:tcW w:type="dxa" w:w="1900"/>
            <w:tcMar>
              <w:top w:type="dxa" w:w="60"/>
              <w:left w:type="dxa" w:w="90"/>
              <w:bottom w:type="dxa" w:w="60"/>
              <w:right w:type="dxa" w:w="90"/>
            </w:tcMar>
          </w:tcPr>
          <w:p>
            <w:pPr>
              <w:spacing w:after="0" w:line="260"/>
            </w:pPr>
            <w:r>
              <w:rPr>
                <w:b w:val="false"/>
                <w:bCs w:val="false"/>
                <w:sz w:val="19"/>
                <w:szCs w:val="19"/>
              </w:rPr>
              <w:t xml:space="preserve">290.31 (0.00)</w:t>
            </w:r>
          </w:p>
        </w:tc>
        <w:tc>
          <w:tcPr>
            <w:tcW w:type="dxa" w:w="1500"/>
            <w:tcMar>
              <w:top w:type="dxa" w:w="60"/>
              <w:left w:type="dxa" w:w="90"/>
              <w:bottom w:type="dxa" w:w="60"/>
              <w:right w:type="dxa" w:w="90"/>
            </w:tcMar>
          </w:tcPr>
          <w:p>
            <w:pPr>
              <w:spacing w:after="0" w:line="260"/>
            </w:pPr>
            <w:r>
              <w:rPr>
                <w:b w:val="false"/>
                <w:bCs w:val="false"/>
                <w:sz w:val="19"/>
                <w:szCs w:val="19"/>
              </w:rPr>
              <w:t xml:space="preserve">0.005</w:t>
            </w:r>
          </w:p>
        </w:tc>
        <w:tc>
          <w:tcPr>
            <w:tcW w:type="dxa" w:w="1900"/>
            <w:tcMar>
              <w:top w:type="dxa" w:w="60"/>
              <w:left w:type="dxa" w:w="90"/>
              <w:bottom w:type="dxa" w:w="60"/>
              <w:right w:type="dxa" w:w="90"/>
            </w:tcMar>
          </w:tcPr>
          <w:p>
            <w:pPr>
              <w:spacing w:after="0" w:line="260"/>
            </w:pPr>
            <w:r>
              <w:rPr>
                <w:b w:val="false"/>
                <w:bCs w:val="false"/>
                <w:sz w:val="19"/>
                <w:szCs w:val="19"/>
              </w:rPr>
              <w:t xml:space="preserve">290.31 (0.00)</w:t>
            </w:r>
          </w:p>
        </w:tc>
        <w:tc>
          <w:tcPr>
            <w:tcW w:type="dxa" w:w="1500"/>
            <w:tcMar>
              <w:top w:type="dxa" w:w="60"/>
              <w:left w:type="dxa" w:w="90"/>
              <w:bottom w:type="dxa" w:w="60"/>
              <w:right w:type="dxa" w:w="90"/>
            </w:tcMar>
          </w:tcPr>
          <w:p>
            <w:pPr>
              <w:spacing w:after="0" w:line="260"/>
            </w:pPr>
            <w:r>
              <w:rPr>
                <w:b w:val="false"/>
                <w:bCs w:val="false"/>
                <w:sz w:val="19"/>
                <w:szCs w:val="19"/>
              </w:rPr>
              <w:t xml:space="preserve">1.485</w:t>
            </w:r>
          </w:p>
        </w:tc>
        <w:tc>
          <w:tcPr>
            <w:tcW w:type="dxa" w:w="1460"/>
            <w:tcMar>
              <w:top w:type="dxa" w:w="60"/>
              <w:left w:type="dxa" w:w="90"/>
              <w:bottom w:type="dxa" w:w="60"/>
              <w:right w:type="dxa" w:w="90"/>
            </w:tcMar>
          </w:tcPr>
          <w:p>
            <w:pPr>
              <w:spacing w:after="0" w:line="260"/>
            </w:pPr>
            <w:r>
              <w:rPr>
                <w:b w:val="false"/>
                <w:bCs w:val="false"/>
                <w:sz w:val="19"/>
                <w:szCs w:val="19"/>
              </w:rPr>
              <w:t xml:space="preserve">0.0%</w:t>
            </w:r>
          </w:p>
        </w:tc>
      </w:tr>
      <w:tr>
        <w:tc>
          <w:tcPr>
            <w:tcW w:type="dxa" w:w="1100"/>
            <w:tcMar>
              <w:top w:type="dxa" w:w="60"/>
              <w:left w:type="dxa" w:w="90"/>
              <w:bottom w:type="dxa" w:w="60"/>
              <w:right w:type="dxa" w:w="90"/>
            </w:tcMar>
          </w:tcPr>
          <w:p>
            <w:pPr>
              <w:spacing w:after="0" w:line="260"/>
            </w:pPr>
            <w:r>
              <w:rPr>
                <w:b w:val="false"/>
                <w:bCs w:val="false"/>
                <w:sz w:val="19"/>
                <w:szCs w:val="19"/>
              </w:rPr>
              <w:t xml:space="preserve">20</w:t>
            </w:r>
          </w:p>
        </w:tc>
        <w:tc>
          <w:tcPr>
            <w:tcW w:type="dxa" w:w="1900"/>
            <w:tcMar>
              <w:top w:type="dxa" w:w="60"/>
              <w:left w:type="dxa" w:w="90"/>
              <w:bottom w:type="dxa" w:w="60"/>
              <w:right w:type="dxa" w:w="90"/>
            </w:tcMar>
          </w:tcPr>
          <w:p>
            <w:pPr>
              <w:spacing w:after="0" w:line="260"/>
            </w:pPr>
            <w:r>
              <w:rPr>
                <w:b w:val="false"/>
                <w:bCs w:val="false"/>
                <w:sz w:val="19"/>
                <w:szCs w:val="19"/>
              </w:rPr>
              <w:t xml:space="preserve">386.43 (0.00)</w:t>
            </w:r>
          </w:p>
        </w:tc>
        <w:tc>
          <w:tcPr>
            <w:tcW w:type="dxa" w:w="1500"/>
            <w:tcMar>
              <w:top w:type="dxa" w:w="60"/>
              <w:left w:type="dxa" w:w="90"/>
              <w:bottom w:type="dxa" w:w="60"/>
              <w:right w:type="dxa" w:w="90"/>
            </w:tcMar>
          </w:tcPr>
          <w:p>
            <w:pPr>
              <w:spacing w:after="0" w:line="260"/>
            </w:pPr>
            <w:r>
              <w:rPr>
                <w:b w:val="false"/>
                <w:bCs w:val="false"/>
                <w:sz w:val="19"/>
                <w:szCs w:val="19"/>
              </w:rPr>
              <w:t xml:space="preserve">0.013</w:t>
            </w:r>
          </w:p>
        </w:tc>
        <w:tc>
          <w:tcPr>
            <w:tcW w:type="dxa" w:w="1900"/>
            <w:tcMar>
              <w:top w:type="dxa" w:w="60"/>
              <w:left w:type="dxa" w:w="90"/>
              <w:bottom w:type="dxa" w:w="60"/>
              <w:right w:type="dxa" w:w="90"/>
            </w:tcMar>
          </w:tcPr>
          <w:p>
            <w:pPr>
              <w:spacing w:after="0" w:line="260"/>
            </w:pPr>
            <w:r>
              <w:rPr>
                <w:b w:val="false"/>
                <w:bCs w:val="false"/>
                <w:sz w:val="19"/>
                <w:szCs w:val="19"/>
              </w:rPr>
              <w:t xml:space="preserve">386.52 (0.10)</w:t>
            </w:r>
          </w:p>
        </w:tc>
        <w:tc>
          <w:tcPr>
            <w:tcW w:type="dxa" w:w="1500"/>
            <w:tcMar>
              <w:top w:type="dxa" w:w="60"/>
              <w:left w:type="dxa" w:w="90"/>
              <w:bottom w:type="dxa" w:w="60"/>
              <w:right w:type="dxa" w:w="90"/>
            </w:tcMar>
          </w:tcPr>
          <w:p>
            <w:pPr>
              <w:spacing w:after="0" w:line="260"/>
            </w:pPr>
            <w:r>
              <w:rPr>
                <w:b w:val="false"/>
                <w:bCs w:val="false"/>
                <w:sz w:val="19"/>
                <w:szCs w:val="19"/>
              </w:rPr>
              <w:t xml:space="preserve">1.637</w:t>
            </w:r>
          </w:p>
        </w:tc>
        <w:tc>
          <w:tcPr>
            <w:tcW w:type="dxa" w:w="1460"/>
            <w:tcMar>
              <w:top w:type="dxa" w:w="60"/>
              <w:left w:type="dxa" w:w="90"/>
              <w:bottom w:type="dxa" w:w="60"/>
              <w:right w:type="dxa" w:w="90"/>
            </w:tcMar>
          </w:tcPr>
          <w:p>
            <w:pPr>
              <w:spacing w:after="0" w:line="260"/>
            </w:pPr>
            <w:r>
              <w:rPr>
                <w:b w:val="false"/>
                <w:bCs w:val="false"/>
                <w:sz w:val="19"/>
                <w:szCs w:val="19"/>
              </w:rPr>
              <w:t xml:space="preserve">0.02%</w:t>
            </w:r>
          </w:p>
        </w:tc>
      </w:tr>
      <w:tr>
        <w:tc>
          <w:tcPr>
            <w:tcW w:type="dxa" w:w="1100"/>
            <w:tcMar>
              <w:top w:type="dxa" w:w="60"/>
              <w:left w:type="dxa" w:w="90"/>
              <w:bottom w:type="dxa" w:w="60"/>
              <w:right w:type="dxa" w:w="90"/>
            </w:tcMar>
          </w:tcPr>
          <w:p>
            <w:pPr>
              <w:spacing w:after="0" w:line="260"/>
            </w:pPr>
            <w:r>
              <w:rPr>
                <w:b w:val="false"/>
                <w:bCs w:val="false"/>
                <w:sz w:val="19"/>
                <w:szCs w:val="19"/>
              </w:rPr>
              <w:t xml:space="preserve">30</w:t>
            </w:r>
          </w:p>
        </w:tc>
        <w:tc>
          <w:tcPr>
            <w:tcW w:type="dxa" w:w="1900"/>
            <w:tcMar>
              <w:top w:type="dxa" w:w="60"/>
              <w:left w:type="dxa" w:w="90"/>
              <w:bottom w:type="dxa" w:w="60"/>
              <w:right w:type="dxa" w:w="90"/>
            </w:tcMar>
          </w:tcPr>
          <w:p>
            <w:pPr>
              <w:spacing w:after="0" w:line="260"/>
            </w:pPr>
            <w:r>
              <w:rPr>
                <w:b w:val="false"/>
                <w:bCs w:val="false"/>
                <w:sz w:val="19"/>
                <w:szCs w:val="19"/>
              </w:rPr>
              <w:t xml:space="preserve">452.05 (0.74)</w:t>
            </w:r>
          </w:p>
        </w:tc>
        <w:tc>
          <w:tcPr>
            <w:tcW w:type="dxa" w:w="1500"/>
            <w:tcMar>
              <w:top w:type="dxa" w:w="60"/>
              <w:left w:type="dxa" w:w="90"/>
              <w:bottom w:type="dxa" w:w="60"/>
              <w:right w:type="dxa" w:w="90"/>
            </w:tcMar>
          </w:tcPr>
          <w:p>
            <w:pPr>
              <w:spacing w:after="0" w:line="260"/>
            </w:pPr>
            <w:r>
              <w:rPr>
                <w:b w:val="false"/>
                <w:bCs w:val="false"/>
                <w:sz w:val="19"/>
                <w:szCs w:val="19"/>
              </w:rPr>
              <w:t xml:space="preserve">0.025</w:t>
            </w:r>
          </w:p>
        </w:tc>
        <w:tc>
          <w:tcPr>
            <w:tcW w:type="dxa" w:w="1900"/>
            <w:tcMar>
              <w:top w:type="dxa" w:w="60"/>
              <w:left w:type="dxa" w:w="90"/>
              <w:bottom w:type="dxa" w:w="60"/>
              <w:right w:type="dxa" w:w="90"/>
            </w:tcMar>
          </w:tcPr>
          <w:p>
            <w:pPr>
              <w:spacing w:after="0" w:line="260"/>
            </w:pPr>
            <w:r>
              <w:rPr>
                <w:b w:val="false"/>
                <w:bCs w:val="false"/>
                <w:sz w:val="19"/>
                <w:szCs w:val="19"/>
              </w:rPr>
              <w:t xml:space="preserve">470.56 (15.22)</w:t>
            </w:r>
          </w:p>
        </w:tc>
        <w:tc>
          <w:tcPr>
            <w:tcW w:type="dxa" w:w="1500"/>
            <w:tcMar>
              <w:top w:type="dxa" w:w="60"/>
              <w:left w:type="dxa" w:w="90"/>
              <w:bottom w:type="dxa" w:w="60"/>
              <w:right w:type="dxa" w:w="90"/>
            </w:tcMar>
          </w:tcPr>
          <w:p>
            <w:pPr>
              <w:spacing w:after="0" w:line="260"/>
            </w:pPr>
            <w:r>
              <w:rPr>
                <w:b w:val="false"/>
                <w:bCs w:val="false"/>
                <w:sz w:val="19"/>
                <w:szCs w:val="19"/>
              </w:rPr>
              <w:t xml:space="preserve">1.779</w:t>
            </w:r>
          </w:p>
        </w:tc>
        <w:tc>
          <w:tcPr>
            <w:tcW w:type="dxa" w:w="1460"/>
            <w:tcMar>
              <w:top w:type="dxa" w:w="60"/>
              <w:left w:type="dxa" w:w="90"/>
              <w:bottom w:type="dxa" w:w="60"/>
              <w:right w:type="dxa" w:w="90"/>
            </w:tcMar>
          </w:tcPr>
          <w:p>
            <w:pPr>
              <w:spacing w:after="0" w:line="260"/>
            </w:pPr>
            <w:r>
              <w:rPr>
                <w:b w:val="false"/>
                <w:bCs w:val="false"/>
                <w:sz w:val="19"/>
                <w:szCs w:val="19"/>
              </w:rPr>
              <w:t xml:space="preserve">4.1%</w:t>
            </w:r>
          </w:p>
        </w:tc>
      </w:tr>
      <w:tr>
        <w:tc>
          <w:tcPr>
            <w:tcW w:type="dxa" w:w="1100"/>
            <w:tcMar>
              <w:top w:type="dxa" w:w="60"/>
              <w:left w:type="dxa" w:w="90"/>
              <w:bottom w:type="dxa" w:w="60"/>
              <w:right w:type="dxa" w:w="90"/>
            </w:tcMar>
          </w:tcPr>
          <w:p>
            <w:pPr>
              <w:spacing w:after="0" w:line="260"/>
            </w:pPr>
            <w:r>
              <w:rPr>
                <w:b w:val="false"/>
                <w:bCs w:val="false"/>
                <w:sz w:val="19"/>
                <w:szCs w:val="19"/>
              </w:rPr>
              <w:t xml:space="preserve">40</w:t>
            </w:r>
          </w:p>
        </w:tc>
        <w:tc>
          <w:tcPr>
            <w:tcW w:type="dxa" w:w="1900"/>
            <w:tcMar>
              <w:top w:type="dxa" w:w="60"/>
              <w:left w:type="dxa" w:w="90"/>
              <w:bottom w:type="dxa" w:w="60"/>
              <w:right w:type="dxa" w:w="90"/>
            </w:tcMar>
          </w:tcPr>
          <w:p>
            <w:pPr>
              <w:spacing w:after="0" w:line="260"/>
            </w:pPr>
            <w:r>
              <w:rPr>
                <w:b w:val="false"/>
                <w:bCs w:val="false"/>
                <w:sz w:val="19"/>
                <w:szCs w:val="19"/>
              </w:rPr>
              <w:t xml:space="preserve">490.04 (0.44)</w:t>
            </w:r>
          </w:p>
        </w:tc>
        <w:tc>
          <w:tcPr>
            <w:tcW w:type="dxa" w:w="1500"/>
            <w:tcMar>
              <w:top w:type="dxa" w:w="60"/>
              <w:left w:type="dxa" w:w="90"/>
              <w:bottom w:type="dxa" w:w="60"/>
              <w:right w:type="dxa" w:w="90"/>
            </w:tcMar>
          </w:tcPr>
          <w:p>
            <w:pPr>
              <w:spacing w:after="0" w:line="260"/>
            </w:pPr>
            <w:r>
              <w:rPr>
                <w:b w:val="false"/>
                <w:bCs w:val="false"/>
                <w:sz w:val="19"/>
                <w:szCs w:val="19"/>
              </w:rPr>
              <w:t xml:space="preserve">0.047</w:t>
            </w:r>
          </w:p>
        </w:tc>
        <w:tc>
          <w:tcPr>
            <w:tcW w:type="dxa" w:w="1900"/>
            <w:tcMar>
              <w:top w:type="dxa" w:w="60"/>
              <w:left w:type="dxa" w:w="90"/>
              <w:bottom w:type="dxa" w:w="60"/>
              <w:right w:type="dxa" w:w="90"/>
            </w:tcMar>
          </w:tcPr>
          <w:p>
            <w:pPr>
              <w:spacing w:after="0" w:line="260"/>
            </w:pPr>
            <w:r>
              <w:rPr>
                <w:b w:val="false"/>
                <w:bCs w:val="false"/>
                <w:sz w:val="19"/>
                <w:szCs w:val="19"/>
              </w:rPr>
              <w:t xml:space="preserve">524.10 (26.62)</w:t>
            </w:r>
          </w:p>
        </w:tc>
        <w:tc>
          <w:tcPr>
            <w:tcW w:type="dxa" w:w="1500"/>
            <w:tcMar>
              <w:top w:type="dxa" w:w="60"/>
              <w:left w:type="dxa" w:w="90"/>
              <w:bottom w:type="dxa" w:w="60"/>
              <w:right w:type="dxa" w:w="90"/>
            </w:tcMar>
          </w:tcPr>
          <w:p>
            <w:pPr>
              <w:spacing w:after="0" w:line="260"/>
            </w:pPr>
            <w:r>
              <w:rPr>
                <w:b w:val="false"/>
                <w:bCs w:val="false"/>
                <w:sz w:val="19"/>
                <w:szCs w:val="19"/>
              </w:rPr>
              <w:t xml:space="preserve">1.937</w:t>
            </w:r>
          </w:p>
        </w:tc>
        <w:tc>
          <w:tcPr>
            <w:tcW w:type="dxa" w:w="1460"/>
            <w:tcMar>
              <w:top w:type="dxa" w:w="60"/>
              <w:left w:type="dxa" w:w="90"/>
              <w:bottom w:type="dxa" w:w="60"/>
              <w:right w:type="dxa" w:w="90"/>
            </w:tcMar>
          </w:tcPr>
          <w:p>
            <w:pPr>
              <w:spacing w:after="0" w:line="260"/>
            </w:pPr>
            <w:r>
              <w:rPr>
                <w:b w:val="false"/>
                <w:bCs w:val="false"/>
                <w:sz w:val="19"/>
                <w:szCs w:val="19"/>
              </w:rPr>
              <w:t xml:space="preserve">7.0%</w:t>
            </w:r>
          </w:p>
        </w:tc>
      </w:tr>
      <w:tr>
        <w:tc>
          <w:tcPr>
            <w:tcW w:type="dxa" w:w="1100"/>
            <w:tcMar>
              <w:top w:type="dxa" w:w="60"/>
              <w:left w:type="dxa" w:w="90"/>
              <w:bottom w:type="dxa" w:w="60"/>
              <w:right w:type="dxa" w:w="90"/>
            </w:tcMar>
          </w:tcPr>
          <w:p>
            <w:pPr>
              <w:spacing w:after="0" w:line="260"/>
            </w:pPr>
            <w:r>
              <w:rPr>
                <w:b w:val="false"/>
                <w:bCs w:val="false"/>
                <w:sz w:val="19"/>
                <w:szCs w:val="19"/>
              </w:rPr>
              <w:t xml:space="preserve">50</w:t>
            </w:r>
          </w:p>
        </w:tc>
        <w:tc>
          <w:tcPr>
            <w:tcW w:type="dxa" w:w="1900"/>
            <w:tcMar>
              <w:top w:type="dxa" w:w="60"/>
              <w:left w:type="dxa" w:w="90"/>
              <w:bottom w:type="dxa" w:w="60"/>
              <w:right w:type="dxa" w:w="90"/>
            </w:tcMar>
          </w:tcPr>
          <w:p>
            <w:pPr>
              <w:spacing w:after="0" w:line="260"/>
            </w:pPr>
            <w:r>
              <w:rPr>
                <w:b w:val="false"/>
                <w:bCs w:val="false"/>
                <w:sz w:val="19"/>
                <w:szCs w:val="19"/>
              </w:rPr>
              <w:t xml:space="preserve">568.12 (6.38)</w:t>
            </w:r>
          </w:p>
        </w:tc>
        <w:tc>
          <w:tcPr>
            <w:tcW w:type="dxa" w:w="1500"/>
            <w:tcMar>
              <w:top w:type="dxa" w:w="60"/>
              <w:left w:type="dxa" w:w="90"/>
              <w:bottom w:type="dxa" w:w="60"/>
              <w:right w:type="dxa" w:w="90"/>
            </w:tcMar>
          </w:tcPr>
          <w:p>
            <w:pPr>
              <w:spacing w:after="0" w:line="260"/>
            </w:pPr>
            <w:r>
              <w:rPr>
                <w:b w:val="false"/>
                <w:bCs w:val="false"/>
                <w:sz w:val="19"/>
                <w:szCs w:val="19"/>
              </w:rPr>
              <w:t xml:space="preserve">0.061</w:t>
            </w:r>
          </w:p>
        </w:tc>
        <w:tc>
          <w:tcPr>
            <w:tcW w:type="dxa" w:w="1900"/>
            <w:tcMar>
              <w:top w:type="dxa" w:w="60"/>
              <w:left w:type="dxa" w:w="90"/>
              <w:bottom w:type="dxa" w:w="60"/>
              <w:right w:type="dxa" w:w="90"/>
            </w:tcMar>
          </w:tcPr>
          <w:p>
            <w:pPr>
              <w:spacing w:after="0" w:line="260"/>
            </w:pPr>
            <w:r>
              <w:rPr>
                <w:b w:val="false"/>
                <w:bCs w:val="false"/>
                <w:sz w:val="19"/>
                <w:szCs w:val="19"/>
              </w:rPr>
              <w:t xml:space="preserve">601.08 (19.41)</w:t>
            </w:r>
          </w:p>
        </w:tc>
        <w:tc>
          <w:tcPr>
            <w:tcW w:type="dxa" w:w="1500"/>
            <w:tcMar>
              <w:top w:type="dxa" w:w="60"/>
              <w:left w:type="dxa" w:w="90"/>
              <w:bottom w:type="dxa" w:w="60"/>
              <w:right w:type="dxa" w:w="90"/>
            </w:tcMar>
          </w:tcPr>
          <w:p>
            <w:pPr>
              <w:spacing w:after="0" w:line="260"/>
            </w:pPr>
            <w:r>
              <w:rPr>
                <w:b w:val="false"/>
                <w:bCs w:val="false"/>
                <w:sz w:val="19"/>
                <w:szCs w:val="19"/>
              </w:rPr>
              <w:t xml:space="preserve">2.108</w:t>
            </w:r>
          </w:p>
        </w:tc>
        <w:tc>
          <w:tcPr>
            <w:tcW w:type="dxa" w:w="1460"/>
            <w:tcMar>
              <w:top w:type="dxa" w:w="60"/>
              <w:left w:type="dxa" w:w="90"/>
              <w:bottom w:type="dxa" w:w="60"/>
              <w:right w:type="dxa" w:w="90"/>
            </w:tcMar>
          </w:tcPr>
          <w:p>
            <w:pPr>
              <w:spacing w:after="0" w:line="260"/>
            </w:pPr>
            <w:r>
              <w:rPr>
                <w:b w:val="false"/>
                <w:bCs w:val="false"/>
                <w:sz w:val="19"/>
                <w:szCs w:val="19"/>
              </w:rPr>
              <w:t xml:space="preserve">5.8%</w:t>
            </w:r>
          </w:p>
        </w:tc>
      </w:tr>
    </w:tbl>
    <w:p>
      <w:pPr>
        <w:spacing w:after="140" w:line="300"/>
      </w:pPr>
      <w:r>
        <w:rPr>
          <w:i/>
          <w:iCs/>
          <w:color w:val="555555"/>
          <w:sz w:val="18"/>
          <w:szCs w:val="18"/>
        </w:rPr>
        <w:t xml:space="preserve">Table 2. Mean tour length (SD) and mean runtime over 30 runs per algorithm per size. "GA gap" is the GA’s mean excess over the climber’s.</w:t>
      </w:r>
    </w:p>
    <w:p>
      <w:pPr>
        <w:spacing w:after="60" w:before="14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43150"/>
                    </a:xfrm>
                    <a:prstGeom prst="rect">
                      <a:avLst/>
                    </a:prstGeom>
                  </pic:spPr>
                </pic:pic>
              </a:graphicData>
            </a:graphic>
          </wp:inline>
        </w:drawing>
      </w:r>
    </w:p>
    <w:p>
      <w:pPr>
        <w:spacing w:after="180"/>
        <w:jc w:val="center"/>
      </w:pPr>
      <w:r>
        <w:rPr>
          <w:i/>
          <w:iCs/>
          <w:color w:val="555555"/>
          <w:sz w:val="18"/>
          <w:szCs w:val="18"/>
        </w:rPr>
        <w:t xml:space="preserve">Figure 1. Solution quality (left, error bars one standard deviation) and runtime (right, log scale) against problem size. The quality gap opens from 30 cities onward.</w:t>
      </w:r>
    </w:p>
    <w:p>
      <w:pPr>
        <w:pStyle w:val="Heading2"/>
        <w:spacing w:after="130" w:before="260"/>
      </w:pPr>
      <w:r>
        <w:rPr>
          <w:b/>
          <w:bCs/>
          <w:color w:val="1F4E79"/>
          <w:sz w:val="24"/>
          <w:szCs w:val="24"/>
        </w:rPr>
        <w:t xml:space="preserve">5.1 Solution quality and scalability</w:t>
      </w:r>
    </w:p>
    <w:p>
      <w:pPr>
        <w:spacing w:after="140" w:line="300"/>
      </w:pPr>
      <w:r>
        <w:rPr>
          <w:sz w:val="22"/>
          <w:szCs w:val="22"/>
        </w:rPr>
        <w:t xml:space="preserve">At 10 cities the algorithms are indistinguishable: both find 290.31 on all 30 runs, almost certainly the global optimum. At 20 cities they remain within 0.02 per cent. From 30 cities the gap opens and never closes, reaching 5.8 per cent at full size. This is the signature of a search space growing faster than the GA’s fixed budget of 150 × 400 = 60,000 evaluations can cover.</w:t>
      </w:r>
    </w:p>
    <w:p>
      <w:pPr>
        <w:spacing w:after="140" w:line="300"/>
      </w:pPr>
      <w:r>
        <w:rPr>
          <w:sz w:val="22"/>
          <w:szCs w:val="22"/>
        </w:rPr>
        <w:t xml:space="preserve">Robustness tells a starker story than the mean. At 50 cities the climber’s standard deviation is 6.38 against the GA’s 19.41; at 40 cities the ratio exceeds sixty. Someone running the GA once cannot know whether they drew a good tour or a poor one, whereas any single hill-climbing run lands near the mean. Deployability depends on that.</w:t>
      </w:r>
    </w:p>
    <w:p>
      <w:pPr>
        <w:pStyle w:val="Heading2"/>
        <w:spacing w:after="130" w:before="260"/>
      </w:pPr>
      <w:r>
        <w:rPr>
          <w:b/>
          <w:bCs/>
          <w:color w:val="1F4E79"/>
          <w:sz w:val="24"/>
          <w:szCs w:val="24"/>
        </w:rPr>
        <w:t xml:space="preserve">5.2 Computational efficiency</w:t>
      </w:r>
    </w:p>
    <w:p>
      <w:pPr>
        <w:spacing w:after="140" w:line="300"/>
      </w:pPr>
      <w:r>
        <w:rPr>
          <w:sz w:val="22"/>
          <w:szCs w:val="22"/>
        </w:rPr>
        <w:t xml:space="preserve">The climber is also about 35 times faster at 50 cities (0.061 s against 2.108 s), inverting the conventional expectation. A textbook hill climber re-evaluates each candidate tour in full, costing O(n) per move and O(n³) per sweep. This implementation scores every 2-opt move by a constant-time delta, four look-ups into a pre-computed distance matrix, dropping a sweep to O(n²). The GA cannot use the trick: crossover rebuilds a chromosome wholesale, so its length must be recomputed. The advantage is an implementation decision rather than a property of local search, and it is the kind of decision that dominates real runtime.</w:t>
      </w:r>
    </w:p>
    <w:p>
      <w:pPr>
        <w:spacing w:after="60" w:before="14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43150"/>
                    </a:xfrm>
                    <a:prstGeom prst="rect">
                      <a:avLst/>
                    </a:prstGeom>
                  </pic:spPr>
                </pic:pic>
              </a:graphicData>
            </a:graphic>
          </wp:inline>
        </w:drawing>
      </w:r>
    </w:p>
    <w:p>
      <w:pPr>
        <w:spacing w:after="180"/>
        <w:jc w:val="center"/>
      </w:pPr>
      <w:r>
        <w:rPr>
          <w:i/>
          <w:iCs/>
          <w:color w:val="555555"/>
          <w:sz w:val="18"/>
          <w:szCs w:val="18"/>
        </w:rPr>
        <w:t xml:space="preserve">Figure 2. Distribution of tour length and runtime over 30 runs at 50 cities. The GA’s quality distribution is both worse and considerably wider.</w:t>
      </w:r>
    </w:p>
    <w:p>
      <w:pPr>
        <w:pStyle w:val="Heading2"/>
        <w:spacing w:after="130" w:before="260"/>
      </w:pPr>
      <w:r>
        <w:rPr>
          <w:b/>
          <w:bCs/>
          <w:color w:val="1F4E79"/>
          <w:sz w:val="24"/>
          <w:szCs w:val="24"/>
        </w:rPr>
        <w:t xml:space="preserve">5.3 Hypothesis tests</w:t>
      </w:r>
    </w:p>
    <w:p>
      <w:pPr>
        <w:spacing w:after="140" w:line="300"/>
      </w:pPr>
      <w:r>
        <w:rPr>
          <w:sz w:val="22"/>
          <w:szCs w:val="22"/>
        </w:rPr>
        <w:t xml:space="preserve">H₀: the two algorithms produce tours of equal mean length on the 50-city instance. H₁: they do not.</w:t>
      </w:r>
    </w:p>
    <w:tbl>
      <w:tblPr>
        <w:tblW w:type="dxa" w:w="9360"/>
        <w:tblBorders>
          <w:top w:val="single" w:color="BFCEDD" w:sz="4"/>
          <w:left w:val="single" w:color="BFCEDD" w:sz="4"/>
          <w:bottom w:val="single" w:color="BFCEDD" w:sz="4"/>
          <w:right w:val="single" w:color="BFCEDD" w:sz="4"/>
          <w:insideH w:val="single" w:color="D6E0EA" w:sz="2"/>
          <w:insideV w:val="single" w:color="D6E0EA" w:sz="2"/>
        </w:tblBorders>
      </w:tblPr>
      <w:tblGrid>
        <w:gridCol w:w="3600"/>
        <w:gridCol w:w="1920"/>
        <w:gridCol w:w="1920"/>
        <w:gridCol w:w="1920"/>
      </w:tblGrid>
      <w:tr>
        <w:trPr>
          <w:tblHeader/>
        </w:trPr>
        <w:tc>
          <w:tcPr>
            <w:tcW w:type="dxa" w:w="3600"/>
            <w:shd w:fill="EAF1F8" w:color="auto" w:val="clear"/>
            <w:tcMar>
              <w:top w:type="dxa" w:w="60"/>
              <w:left w:type="dxa" w:w="90"/>
              <w:bottom w:type="dxa" w:w="60"/>
              <w:right w:type="dxa" w:w="90"/>
            </w:tcMar>
          </w:tcPr>
          <w:p>
            <w:pPr>
              <w:spacing w:after="0" w:line="260"/>
            </w:pPr>
            <w:r>
              <w:rPr>
                <w:b/>
                <w:bCs/>
                <w:color w:val="1F4E79"/>
                <w:sz w:val="19"/>
                <w:szCs w:val="19"/>
              </w:rPr>
              <w:t xml:space="preserve">Test</w:t>
            </w:r>
          </w:p>
        </w:tc>
        <w:tc>
          <w:tcPr>
            <w:tcW w:type="dxa" w:w="1920"/>
            <w:shd w:fill="EAF1F8" w:color="auto" w:val="clear"/>
            <w:tcMar>
              <w:top w:type="dxa" w:w="60"/>
              <w:left w:type="dxa" w:w="90"/>
              <w:bottom w:type="dxa" w:w="60"/>
              <w:right w:type="dxa" w:w="90"/>
            </w:tcMar>
          </w:tcPr>
          <w:p>
            <w:pPr>
              <w:spacing w:after="0" w:line="260"/>
            </w:pPr>
            <w:r>
              <w:rPr>
                <w:b/>
                <w:bCs/>
                <w:color w:val="1F4E79"/>
                <w:sz w:val="19"/>
                <w:szCs w:val="19"/>
              </w:rPr>
              <w:t xml:space="preserve">Statistic</w:t>
            </w:r>
          </w:p>
        </w:tc>
        <w:tc>
          <w:tcPr>
            <w:tcW w:type="dxa" w:w="1920"/>
            <w:shd w:fill="EAF1F8" w:color="auto" w:val="clear"/>
            <w:tcMar>
              <w:top w:type="dxa" w:w="60"/>
              <w:left w:type="dxa" w:w="90"/>
              <w:bottom w:type="dxa" w:w="60"/>
              <w:right w:type="dxa" w:w="90"/>
            </w:tcMar>
          </w:tcPr>
          <w:p>
            <w:pPr>
              <w:spacing w:after="0" w:line="260"/>
            </w:pPr>
            <w:r>
              <w:rPr>
                <w:b/>
                <w:bCs/>
                <w:color w:val="1F4E79"/>
                <w:sz w:val="19"/>
                <w:szCs w:val="19"/>
              </w:rPr>
              <w:t xml:space="preserve">p-value</w:t>
            </w:r>
          </w:p>
        </w:tc>
        <w:tc>
          <w:tcPr>
            <w:tcW w:type="dxa" w:w="1920"/>
            <w:shd w:fill="EAF1F8" w:color="auto" w:val="clear"/>
            <w:tcMar>
              <w:top w:type="dxa" w:w="60"/>
              <w:left w:type="dxa" w:w="90"/>
              <w:bottom w:type="dxa" w:w="60"/>
              <w:right w:type="dxa" w:w="90"/>
            </w:tcMar>
          </w:tcPr>
          <w:p>
            <w:pPr>
              <w:spacing w:after="0" w:line="260"/>
            </w:pPr>
            <w:r>
              <w:rPr>
                <w:b/>
                <w:bCs/>
                <w:color w:val="1F4E79"/>
                <w:sz w:val="19"/>
                <w:szCs w:val="19"/>
              </w:rPr>
              <w:t xml:space="preserve">Effect size</w:t>
            </w:r>
          </w:p>
        </w:tc>
      </w:tr>
      <w:tr>
        <w:tc>
          <w:tcPr>
            <w:tcW w:type="dxa" w:w="3600"/>
            <w:tcMar>
              <w:top w:type="dxa" w:w="60"/>
              <w:left w:type="dxa" w:w="90"/>
              <w:bottom w:type="dxa" w:w="60"/>
              <w:right w:type="dxa" w:w="90"/>
            </w:tcMar>
          </w:tcPr>
          <w:p>
            <w:pPr>
              <w:spacing w:after="0" w:line="260"/>
            </w:pPr>
            <w:r>
              <w:rPr>
                <w:b w:val="false"/>
                <w:bCs w:val="false"/>
                <w:sz w:val="19"/>
                <w:szCs w:val="19"/>
              </w:rPr>
              <w:t xml:space="preserve">Welch t-test (tour length)</w:t>
            </w:r>
          </w:p>
        </w:tc>
        <w:tc>
          <w:tcPr>
            <w:tcW w:type="dxa" w:w="1920"/>
            <w:tcMar>
              <w:top w:type="dxa" w:w="60"/>
              <w:left w:type="dxa" w:w="90"/>
              <w:bottom w:type="dxa" w:w="60"/>
              <w:right w:type="dxa" w:w="90"/>
            </w:tcMar>
          </w:tcPr>
          <w:p>
            <w:pPr>
              <w:spacing w:after="0" w:line="260"/>
            </w:pPr>
            <w:r>
              <w:rPr>
                <w:b w:val="false"/>
                <w:bCs w:val="false"/>
                <w:sz w:val="19"/>
                <w:szCs w:val="19"/>
              </w:rPr>
              <w:t xml:space="preserve">t = −8.84</w:t>
            </w:r>
          </w:p>
        </w:tc>
        <w:tc>
          <w:tcPr>
            <w:tcW w:type="dxa" w:w="1920"/>
            <w:tcMar>
              <w:top w:type="dxa" w:w="60"/>
              <w:left w:type="dxa" w:w="90"/>
              <w:bottom w:type="dxa" w:w="60"/>
              <w:right w:type="dxa" w:w="90"/>
            </w:tcMar>
          </w:tcPr>
          <w:p>
            <w:pPr>
              <w:spacing w:after="0" w:line="260"/>
            </w:pPr>
            <w:r>
              <w:rPr>
                <w:b w:val="false"/>
                <w:bCs w:val="false"/>
                <w:sz w:val="19"/>
                <w:szCs w:val="19"/>
              </w:rPr>
              <w:t xml:space="preserve">1.8 × 10⁻¹⁰</w:t>
            </w:r>
          </w:p>
        </w:tc>
        <w:tc>
          <w:tcPr>
            <w:tcW w:type="dxa" w:w="1920"/>
            <w:tcMar>
              <w:top w:type="dxa" w:w="60"/>
              <w:left w:type="dxa" w:w="90"/>
              <w:bottom w:type="dxa" w:w="60"/>
              <w:right w:type="dxa" w:w="90"/>
            </w:tcMar>
          </w:tcPr>
          <w:p>
            <w:pPr>
              <w:spacing w:after="0" w:line="260"/>
            </w:pPr>
            <w:r>
              <w:rPr>
                <w:b w:val="false"/>
                <w:bCs w:val="false"/>
                <w:sz w:val="19"/>
                <w:szCs w:val="19"/>
              </w:rPr>
              <w:t xml:space="preserve">d = −2.28</w:t>
            </w:r>
          </w:p>
        </w:tc>
      </w:tr>
      <w:tr>
        <w:tc>
          <w:tcPr>
            <w:tcW w:type="dxa" w:w="3600"/>
            <w:tcMar>
              <w:top w:type="dxa" w:w="60"/>
              <w:left w:type="dxa" w:w="90"/>
              <w:bottom w:type="dxa" w:w="60"/>
              <w:right w:type="dxa" w:w="90"/>
            </w:tcMar>
          </w:tcPr>
          <w:p>
            <w:pPr>
              <w:spacing w:after="0" w:line="260"/>
            </w:pPr>
            <w:r>
              <w:rPr>
                <w:b w:val="false"/>
                <w:bCs w:val="false"/>
                <w:sz w:val="19"/>
                <w:szCs w:val="19"/>
              </w:rPr>
              <w:t xml:space="preserve">Mann-Whitney U (tour length)</w:t>
            </w:r>
          </w:p>
        </w:tc>
        <w:tc>
          <w:tcPr>
            <w:tcW w:type="dxa" w:w="1920"/>
            <w:tcMar>
              <w:top w:type="dxa" w:w="60"/>
              <w:left w:type="dxa" w:w="90"/>
              <w:bottom w:type="dxa" w:w="60"/>
              <w:right w:type="dxa" w:w="90"/>
            </w:tcMar>
          </w:tcPr>
          <w:p>
            <w:pPr>
              <w:spacing w:after="0" w:line="260"/>
            </w:pPr>
            <w:r>
              <w:rPr>
                <w:b w:val="false"/>
                <w:bCs w:val="false"/>
                <w:sz w:val="19"/>
                <w:szCs w:val="19"/>
              </w:rPr>
              <w:t xml:space="preserve">U = 19.5</w:t>
            </w:r>
          </w:p>
        </w:tc>
        <w:tc>
          <w:tcPr>
            <w:tcW w:type="dxa" w:w="1920"/>
            <w:tcMar>
              <w:top w:type="dxa" w:w="60"/>
              <w:left w:type="dxa" w:w="90"/>
              <w:bottom w:type="dxa" w:w="60"/>
              <w:right w:type="dxa" w:w="90"/>
            </w:tcMar>
          </w:tcPr>
          <w:p>
            <w:pPr>
              <w:spacing w:after="0" w:line="260"/>
            </w:pPr>
            <w:r>
              <w:rPr>
                <w:b w:val="false"/>
                <w:bCs w:val="false"/>
                <w:sz w:val="19"/>
                <w:szCs w:val="19"/>
              </w:rPr>
              <w:t xml:space="preserve">2.0 × 10⁻¹⁰</w:t>
            </w:r>
          </w:p>
        </w:tc>
        <w:tc>
          <w:tcPr>
            <w:tcW w:type="dxa" w:w="1920"/>
            <w:tcMar>
              <w:top w:type="dxa" w:w="60"/>
              <w:left w:type="dxa" w:w="90"/>
              <w:bottom w:type="dxa" w:w="60"/>
              <w:right w:type="dxa" w:w="90"/>
            </w:tcMar>
          </w:tcPr>
          <w:p>
            <w:pPr>
              <w:spacing w:after="0" w:line="260"/>
            </w:pPr>
            <w:r>
              <w:rPr>
                <w:b w:val="false"/>
                <w:bCs w:val="false"/>
                <w:sz w:val="19"/>
                <w:szCs w:val="19"/>
              </w:rPr>
              <w:t xml:space="preserve">—</w:t>
            </w:r>
          </w:p>
        </w:tc>
      </w:tr>
      <w:tr>
        <w:tc>
          <w:tcPr>
            <w:tcW w:type="dxa" w:w="3600"/>
            <w:tcMar>
              <w:top w:type="dxa" w:w="60"/>
              <w:left w:type="dxa" w:w="90"/>
              <w:bottom w:type="dxa" w:w="60"/>
              <w:right w:type="dxa" w:w="90"/>
            </w:tcMar>
          </w:tcPr>
          <w:p>
            <w:pPr>
              <w:spacing w:after="0" w:line="260"/>
            </w:pPr>
            <w:r>
              <w:rPr>
                <w:b w:val="false"/>
                <w:bCs w:val="false"/>
                <w:sz w:val="19"/>
                <w:szCs w:val="19"/>
              </w:rPr>
              <w:t xml:space="preserve">Welch t-test (runtime)</w:t>
            </w:r>
          </w:p>
        </w:tc>
        <w:tc>
          <w:tcPr>
            <w:tcW w:type="dxa" w:w="1920"/>
            <w:tcMar>
              <w:top w:type="dxa" w:w="60"/>
              <w:left w:type="dxa" w:w="90"/>
              <w:bottom w:type="dxa" w:w="60"/>
              <w:right w:type="dxa" w:w="90"/>
            </w:tcMar>
          </w:tcPr>
          <w:p>
            <w:pPr>
              <w:spacing w:after="0" w:line="260"/>
            </w:pPr>
            <w:r>
              <w:rPr>
                <w:b w:val="false"/>
                <w:bCs w:val="false"/>
                <w:sz w:val="19"/>
                <w:szCs w:val="19"/>
              </w:rPr>
              <w:t xml:space="preserve">t = −98.64</w:t>
            </w:r>
          </w:p>
        </w:tc>
        <w:tc>
          <w:tcPr>
            <w:tcW w:type="dxa" w:w="1920"/>
            <w:tcMar>
              <w:top w:type="dxa" w:w="60"/>
              <w:left w:type="dxa" w:w="90"/>
              <w:bottom w:type="dxa" w:w="60"/>
              <w:right w:type="dxa" w:w="90"/>
            </w:tcMar>
          </w:tcPr>
          <w:p>
            <w:pPr>
              <w:spacing w:after="0" w:line="260"/>
            </w:pPr>
            <w:r>
              <w:rPr>
                <w:b w:val="false"/>
                <w:bCs w:val="false"/>
                <w:sz w:val="19"/>
                <w:szCs w:val="19"/>
              </w:rPr>
              <w:t xml:space="preserve">3.2 × 10⁻³⁸</w:t>
            </w:r>
          </w:p>
        </w:tc>
        <w:tc>
          <w:tcPr>
            <w:tcW w:type="dxa" w:w="1920"/>
            <w:tcMar>
              <w:top w:type="dxa" w:w="60"/>
              <w:left w:type="dxa" w:w="90"/>
              <w:bottom w:type="dxa" w:w="60"/>
              <w:right w:type="dxa" w:w="90"/>
            </w:tcMar>
          </w:tcPr>
          <w:p>
            <w:pPr>
              <w:spacing w:after="0" w:line="260"/>
            </w:pPr>
            <w:r>
              <w:rPr>
                <w:b w:val="false"/>
                <w:bCs w:val="false"/>
                <w:sz w:val="19"/>
                <w:szCs w:val="19"/>
              </w:rPr>
              <w:t xml:space="preserve">d = −25.47</w:t>
            </w:r>
          </w:p>
        </w:tc>
      </w:tr>
    </w:tbl>
    <w:p>
      <w:pPr>
        <w:spacing w:after="140" w:line="300"/>
      </w:pPr>
      <w:r>
        <w:rPr>
          <w:i/>
          <w:iCs/>
          <w:color w:val="555555"/>
          <w:sz w:val="18"/>
          <w:szCs w:val="18"/>
        </w:rPr>
        <w:t xml:space="preserve">Table 3. Hypothesis tests, 30 runs per algorithm, 50 cities.</w:t>
      </w:r>
    </w:p>
    <w:p>
      <w:pPr>
        <w:spacing w:after="140" w:line="300"/>
      </w:pPr>
      <w:r>
        <w:rPr>
          <w:sz w:val="22"/>
          <w:szCs w:val="22"/>
        </w:rPr>
        <w:t xml:space="preserve">H₀ is rejected decisively at α = 0.05, and both tests agree, so the result is not an artefact of a normality assumption. Cohen’s d of −2.28 sits far beyond the conventional large-effect threshold of 0.8: the distributions barely overlap. Effect size matters alongside the p-value, because with enough samples any trivial difference becomes significant.</w:t>
      </w:r>
    </w:p>
    <w:p>
      <w:pPr>
        <w:pStyle w:val="Heading1"/>
        <w:spacing w:after="130" w:before="260"/>
      </w:pPr>
      <w:r>
        <w:rPr>
          <w:b/>
          <w:bCs/>
          <w:color w:val="1F4E79"/>
          <w:sz w:val="28"/>
          <w:szCs w:val="28"/>
        </w:rPr>
        <w:t xml:space="preserve">6. Discussion and recommendations</w:t>
      </w:r>
    </w:p>
    <w:p>
      <w:pPr>
        <w:spacing w:after="140" w:line="300"/>
      </w:pPr>
      <w:r>
        <w:rPr>
          <w:sz w:val="22"/>
          <w:szCs w:val="22"/>
        </w:rPr>
        <w:t xml:space="preserve">The climber wins on quality, speed and robustness, so on this instance the recommendation is unambiguous. The interesting question is what would have to change to reverse it.</w:t>
      </w:r>
    </w:p>
    <w:p>
      <w:pPr>
        <w:pStyle w:val="ListParagraph"/>
        <w:numPr>
          <w:ilvl w:val="0"/>
          <w:numId w:val="2"/>
        </w:numPr>
        <w:spacing w:after="60" w:line="280"/>
      </w:pPr>
      <w:r>
        <w:rPr>
          <w:sz w:val="22"/>
          <w:szCs w:val="22"/>
        </w:rPr>
        <w:t xml:space="preserve">Under ~25 cities: either. Both find the apparent optimum, so pick the one that is simpler to maintain.</w:t>
      </w:r>
    </w:p>
    <w:p>
      <w:pPr>
        <w:pStyle w:val="ListParagraph"/>
        <w:numPr>
          <w:ilvl w:val="0"/>
          <w:numId w:val="2"/>
        </w:numPr>
        <w:spacing w:after="60" w:line="280"/>
      </w:pPr>
      <w:r>
        <w:rPr>
          <w:sz w:val="22"/>
          <w:szCs w:val="22"/>
        </w:rPr>
        <w:t xml:space="preserve">Up to a few hundred cities on a real-time budget: hill climbing with restarts. Faster, more accurate, far more predictable. If time is tight, cut restarts; quality degrades gracefully.</w:t>
      </w:r>
    </w:p>
    <w:p>
      <w:pPr>
        <w:pStyle w:val="ListParagraph"/>
        <w:numPr>
          <w:ilvl w:val="0"/>
          <w:numId w:val="2"/>
        </w:numPr>
        <w:spacing w:after="60" w:line="280"/>
      </w:pPr>
      <w:r>
        <w:rPr>
          <w:sz w:val="22"/>
          <w:szCs w:val="22"/>
        </w:rPr>
        <w:t xml:space="preserve">Where evaluation is expensive, or constraints such as time windows make most neighbours infeasible: the balance shifts to the GA, whose population maintains diverse partial solutions and which does not rely on a cheap delta. That is where evolutionary methods earn their keep, and it is not where this instance sits.</w:t>
      </w:r>
    </w:p>
    <w:p>
      <w:pPr>
        <w:pStyle w:val="ListParagraph"/>
        <w:numPr>
          <w:ilvl w:val="0"/>
          <w:numId w:val="2"/>
        </w:numPr>
        <w:spacing w:after="60" w:line="280"/>
      </w:pPr>
      <w:r>
        <w:rPr>
          <w:sz w:val="22"/>
          <w:szCs w:val="22"/>
        </w:rPr>
        <w:t xml:space="preserve">Large instances demanding the best quality: neither, as implemented. A memetic design, a GA whose offspring are improved by local search before evaluation, dominates both (Johnson and McGeoch, 1997). Our tuning result hints at this: the GA improved as mutation, a 2-opt move here, was turned up.</w:t>
      </w:r>
    </w:p>
    <w:p>
      <w:pPr>
        <w:spacing w:after="140" w:line="300"/>
      </w:pPr>
      <w:r>
        <w:rPr>
          <w:sz w:val="22"/>
          <w:szCs w:val="22"/>
        </w:rPr>
        <w:t xml:space="preserve">The main limitation is the single instance. Scalability results come from nested subsets of one dataset, so instance-specific structure is shared across sizes. Validating on TSPLIB instances with known optima would let us quote the gap to a true optimum rather than the gap between two heuristics.</w:t>
      </w:r>
    </w:p>
    <w:p>
      <w:pPr>
        <w:pStyle w:val="Heading1"/>
        <w:spacing w:after="130" w:before="260"/>
      </w:pPr>
      <w:r>
        <w:rPr>
          <w:b/>
          <w:bCs/>
          <w:color w:val="1F4E79"/>
          <w:sz w:val="28"/>
          <w:szCs w:val="28"/>
        </w:rPr>
        <w:t xml:space="preserve">7. Legal and ethical considerations</w:t>
      </w:r>
    </w:p>
    <w:p>
      <w:pPr>
        <w:pStyle w:val="Heading2"/>
        <w:spacing w:after="130" w:before="260"/>
      </w:pPr>
      <w:r>
        <w:rPr>
          <w:b/>
          <w:bCs/>
          <w:color w:val="1F4E79"/>
          <w:sz w:val="24"/>
          <w:szCs w:val="24"/>
        </w:rPr>
        <w:t xml:space="preserve">7.1 Data</w:t>
      </w:r>
    </w:p>
    <w:p>
      <w:pPr>
        <w:spacing w:after="140" w:line="300"/>
      </w:pPr>
      <w:r>
        <w:rPr>
          <w:sz w:val="22"/>
          <w:szCs w:val="22"/>
        </w:rPr>
        <w:t xml:space="preserve">The supplied cities.csv is synthetic: its coordinates reproduce the standard NumPy uniform sequence under a fixed seed on [0, 100]². It holds no real locations, no personal data and no third-party copyright, so UK GDPR is not engaged and no licence attaches. Real delivery addresses would change this entirely. Address data is personal data, requiring a lawful basis and a retention policy, and route data can expose sensitive patterns of movement.</w:t>
      </w:r>
    </w:p>
    <w:p>
      <w:pPr>
        <w:pStyle w:val="Heading2"/>
        <w:spacing w:after="130" w:before="260"/>
      </w:pPr>
      <w:r>
        <w:rPr>
          <w:b/>
          <w:bCs/>
          <w:color w:val="1F4E79"/>
          <w:sz w:val="24"/>
          <w:szCs w:val="24"/>
        </w:rPr>
        <w:t xml:space="preserve">7.2 Code and libraries</w:t>
      </w:r>
    </w:p>
    <w:p>
      <w:pPr>
        <w:spacing w:after="140" w:line="300"/>
      </w:pPr>
      <w:r>
        <w:rPr>
          <w:sz w:val="22"/>
          <w:szCs w:val="22"/>
        </w:rPr>
        <w:t xml:space="preserve">Every algorithm was written from first principles; no TSP solver, optimisation library or metaheuristic framework was copied or imported. The dependencies (NumPy, pandas, Matplotlib, SciPy) are all BSD-3-Clause: permissive licences allowing commercial use, modification and redistribution provided the copyright notice is retained. Nothing in the stack is copyleft, so a commercial deployment would not be obliged to release its own source. That is deliberate. A GPL-licensed solver such as Concorde would impose exactly that obligation, which is a common reason commercial teams avoid it.</w:t>
      </w:r>
    </w:p>
    <w:p>
      <w:pPr>
        <w:pStyle w:val="Heading2"/>
        <w:spacing w:after="130" w:before="260"/>
      </w:pPr>
      <w:r>
        <w:rPr>
          <w:b/>
          <w:bCs/>
          <w:color w:val="1F4E79"/>
          <w:sz w:val="24"/>
          <w:szCs w:val="24"/>
        </w:rPr>
        <w:t xml:space="preserve">7.3 Commercial setting</w:t>
      </w:r>
    </w:p>
    <w:p>
      <w:pPr>
        <w:spacing w:after="140" w:line="300"/>
      </w:pPr>
      <w:r>
        <w:rPr>
          <w:sz w:val="22"/>
          <w:szCs w:val="22"/>
        </w:rPr>
        <w:t xml:space="preserve">Three things would change. Every transitive dependency would need a licence audit, since permissiveness at the top guarantees nothing beneath it. Real route data would bring GDPR obligations. And the ethical surface widens: an optimiser minimising distance may in effect intensify a courier’s workload, and the objective function is where that trade-off silently lives.</w:t>
      </w:r>
    </w:p>
    <w:p>
      <w:pPr>
        <w:pStyle w:val="Heading2"/>
        <w:spacing w:after="130" w:before="260"/>
      </w:pPr>
      <w:r>
        <w:rPr>
          <w:b/>
          <w:bCs/>
          <w:color w:val="1F4E79"/>
          <w:sz w:val="24"/>
          <w:szCs w:val="24"/>
        </w:rPr>
        <w:t xml:space="preserve">7.4 Declaration of generative AI use</w:t>
      </w:r>
    </w:p>
    <w:p>
      <w:pPr>
        <w:spacing w:after="140" w:line="300"/>
      </w:pPr>
      <w:r>
        <w:rPr>
          <w:i/>
          <w:iCs/>
          <w:color w:val="9C6500"/>
          <w:sz w:val="22"/>
          <w:szCs w:val="22"/>
        </w:rPr>
        <w:t xml:space="preserve">[Complete this in your own words. State honestly which tool you used, for what (for example: explaining 2-opt, debugging the crossover operator, checking grammar), and what you did yourself. You will be questioned on the code in the video, so make sure the declaration matches what you can actually explain.]</w:t>
      </w:r>
    </w:p>
    <w:p>
      <w:pPr>
        <w:pStyle w:val="Heading1"/>
        <w:spacing w:after="130" w:before="260"/>
      </w:pPr>
      <w:r>
        <w:rPr>
          <w:b/>
          <w:bCs/>
          <w:color w:val="1F4E79"/>
          <w:sz w:val="28"/>
          <w:szCs w:val="28"/>
        </w:rPr>
        <w:t xml:space="preserve">8. Conclusion</w:t>
      </w:r>
    </w:p>
    <w:p>
      <w:pPr>
        <w:spacing w:after="140" w:line="300"/>
      </w:pPr>
      <w:r>
        <w:rPr>
          <w:sz w:val="22"/>
          <w:szCs w:val="22"/>
        </w:rPr>
        <w:t xml:space="preserve">On this 50-city instance, hill climbing with random restarts produces shorter tours (568.12 against 601.08), roughly 35 times faster, and far more consistently. The difference is significant (p &lt; 10⁻⁹) with a large effect size. This is not a general verdict against evolutionary methods. It is a verdict on a well-matched pairing of a cheap, geometry-aware operator with a landscape that suits it, and on a fixed evaluation budget that stops being enough as the space grows.</w:t>
      </w:r>
    </w:p>
    <w:p>
      <w:r>
        <w:br w:type="page"/>
      </w:r>
    </w:p>
    <w:p>
      <w:pPr>
        <w:pStyle w:val="Heading1"/>
        <w:spacing w:after="130" w:before="260"/>
      </w:pPr>
      <w:r>
        <w:rPr>
          <w:b/>
          <w:bCs/>
          <w:color w:val="1F4E79"/>
          <w:sz w:val="28"/>
          <w:szCs w:val="28"/>
        </w:rPr>
        <w:t xml:space="preserve">References</w:t>
      </w:r>
    </w:p>
    <w:p>
      <w:pPr>
        <w:spacing w:after="90" w:line="300"/>
      </w:pPr>
      <w:r>
        <w:rPr>
          <w:sz w:val="20"/>
          <w:szCs w:val="20"/>
        </w:rPr>
        <w:t xml:space="preserve">Alanzi, E. and Menai, M.E.B. (2025) ‘Solving the travelling salesman problem with machine learning: a review of recent advances and challenges’, Artificial Intelligence Review, 58(9), p. 267.</w:t>
      </w:r>
    </w:p>
    <w:p>
      <w:pPr>
        <w:spacing w:after="90" w:line="300"/>
      </w:pPr>
      <w:r>
        <w:rPr>
          <w:sz w:val="20"/>
          <w:szCs w:val="20"/>
        </w:rPr>
        <w:t xml:space="preserve">Croes, G.A. (1958) ‘A method for solving traveling-salesman problems’, Operations Research, 6(6), pp. 791–812.</w:t>
      </w:r>
    </w:p>
    <w:p>
      <w:pPr>
        <w:spacing w:after="90" w:line="300"/>
      </w:pPr>
      <w:r>
        <w:rPr>
          <w:sz w:val="20"/>
          <w:szCs w:val="20"/>
        </w:rPr>
        <w:t xml:space="preserve">Davis, L. (1985) ‘Applying adaptive algorithms to epistatic domains’, in Proceedings of the 9th International Joint Conference on Artificial Intelligence. Los Angeles, pp. 162–164.</w:t>
      </w:r>
    </w:p>
    <w:p>
      <w:pPr>
        <w:spacing w:after="90" w:line="300"/>
      </w:pPr>
      <w:r>
        <w:rPr>
          <w:sz w:val="20"/>
          <w:szCs w:val="20"/>
        </w:rPr>
        <w:t xml:space="preserve">Johnson, D.S. and McGeoch, L.A. (1997) ‘The traveling salesman problem: a case study in local optimization’, in Aarts, E. and Lenstra, J.K. (eds) Local Search in Combinatorial Optimization. Chichester: Wiley, pp. 215–310.</w:t>
      </w:r>
    </w:p>
    <w:p>
      <w:pPr>
        <w:spacing w:after="90" w:line="300"/>
      </w:pPr>
      <w:r>
        <w:rPr>
          <w:sz w:val="20"/>
          <w:szCs w:val="20"/>
        </w:rPr>
        <w:t xml:space="preserve">Mamatova, Z. and Abdumajidova, M. (2025) ‘The travelling salesman problem: mathematical modeling and optimal solutions’, International Journal of Artificial Intelligence, 1(3), pp. 1204–1212.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d788e91dd4ce9ed058998c10b175c25e19e712.png"/><Relationship Id="rId9" Type="http://schemas.openxmlformats.org/officeDocument/2006/relationships/image" Target="media/870143ac0e0b3f47a907d6c88c17aced31a86f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2026-07-13T14:46:48.735Z</dcterms:created>
  <dcterms:modified xsi:type="dcterms:W3CDTF">2026-07-13T14:46:48.735Z</dcterms:modified>
</cp:coreProperties>
</file>

<file path=docProps/custom.xml><?xml version="1.0" encoding="utf-8"?>
<Properties xmlns="http://schemas.openxmlformats.org/officeDocument/2006/custom-properties" xmlns:vt="http://schemas.openxmlformats.org/officeDocument/2006/docPropsVTypes"/>
</file>