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c2333" w:val="clear"/>
        <w:rPr>
          <w:b w:val="1"/>
          <w:color w:val="f5f9fc"/>
          <w:sz w:val="21"/>
          <w:szCs w:val="21"/>
        </w:rPr>
      </w:pPr>
      <w:r w:rsidDel="00000000" w:rsidR="00000000" w:rsidRPr="00000000">
        <w:rPr>
          <w:b w:val="1"/>
          <w:color w:val="f5f9fc"/>
          <w:sz w:val="21"/>
          <w:szCs w:val="21"/>
          <w:rtl w:val="0"/>
        </w:rPr>
        <w:t xml:space="preserve">PLAN 1: BÁSICO - $7 USD/mes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lineRule="auto"/>
        <w:rPr>
          <w:b w:val="1"/>
          <w:color w:val="f5f9fc"/>
          <w:sz w:val="21"/>
          <w:szCs w:val="21"/>
        </w:rPr>
      </w:pPr>
      <w:r w:rsidDel="00000000" w:rsidR="00000000" w:rsidRPr="00000000">
        <w:rPr>
          <w:b w:val="1"/>
          <w:color w:val="f5f9fc"/>
          <w:sz w:val="21"/>
          <w:szCs w:val="21"/>
          <w:rtl w:val="0"/>
        </w:rPr>
        <w:t xml:space="preserve">Características: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6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500 conversaciones/mes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1 formulario personalizable (2 plantillas disponibles)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Widget de chat tipo burbuja únicamente (sin pantalla completa)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Integración en 1 sitio web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Procesamiento de documentos básico (PDF, DOCX)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Captura básica de leads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Análisis básicos de conversaciones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Soporte por email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Personalización limitada de branding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lineRule="auto"/>
        <w:rPr>
          <w:b w:val="1"/>
          <w:color w:val="f5f9fc"/>
          <w:sz w:val="21"/>
          <w:szCs w:val="21"/>
        </w:rPr>
      </w:pPr>
      <w:r w:rsidDel="00000000" w:rsidR="00000000" w:rsidRPr="00000000">
        <w:rPr>
          <w:b w:val="1"/>
          <w:color w:val="f5f9fc"/>
          <w:sz w:val="21"/>
          <w:szCs w:val="21"/>
          <w:rtl w:val="0"/>
        </w:rPr>
        <w:t xml:space="preserve">Limitaciones: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6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Sin modo pantalla completa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Solo 1 formulario activo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Sin automatizaciones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Sin API access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Análisis limitados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Soporte solo por email</w:t>
      </w:r>
    </w:p>
    <w:p w:rsidR="00000000" w:rsidDel="00000000" w:rsidP="00000000" w:rsidRDefault="00000000" w:rsidRPr="00000000" w14:paraId="00000013">
      <w:pPr>
        <w:shd w:fill="1c2333" w:val="clear"/>
        <w:rPr>
          <w:b w:val="1"/>
          <w:color w:val="f5f9fc"/>
          <w:sz w:val="21"/>
          <w:szCs w:val="21"/>
        </w:rPr>
      </w:pPr>
      <w:r w:rsidDel="00000000" w:rsidR="00000000" w:rsidRPr="00000000">
        <w:rPr>
          <w:b w:val="1"/>
          <w:color w:val="f5f9fc"/>
          <w:sz w:val="21"/>
          <w:szCs w:val="21"/>
          <w:rtl w:val="0"/>
        </w:rPr>
        <w:t xml:space="preserve">PLAN 2: STARTUP - $29 USD/mes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lineRule="auto"/>
        <w:rPr>
          <w:b w:val="1"/>
          <w:color w:val="f5f9fc"/>
          <w:sz w:val="21"/>
          <w:szCs w:val="21"/>
        </w:rPr>
      </w:pPr>
      <w:r w:rsidDel="00000000" w:rsidR="00000000" w:rsidRPr="00000000">
        <w:rPr>
          <w:b w:val="1"/>
          <w:color w:val="f5f9fc"/>
          <w:sz w:val="21"/>
          <w:szCs w:val="21"/>
          <w:rtl w:val="0"/>
        </w:rPr>
        <w:t xml:space="preserve">Características: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6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2,000 conversaciones/mes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5 formularios personalizables (todas las plantillas)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Widget chat + modo pantalla completa tipo ChatGPT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Integración en hasta 3 sitios web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Procesamiento avanzado de documentos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Base de conocimiento personalizada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Captura y seguimiento de leads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Análisis avanzados con métricas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Personalización completa de branding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Soporte prioritario por email y chat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Exportación de datos básica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lineRule="auto"/>
        <w:rPr>
          <w:b w:val="1"/>
          <w:color w:val="f5f9fc"/>
          <w:sz w:val="21"/>
          <w:szCs w:val="21"/>
        </w:rPr>
      </w:pPr>
      <w:r w:rsidDel="00000000" w:rsidR="00000000" w:rsidRPr="00000000">
        <w:rPr>
          <w:b w:val="1"/>
          <w:color w:val="f5f9fc"/>
          <w:sz w:val="21"/>
          <w:szCs w:val="21"/>
          <w:rtl w:val="0"/>
        </w:rPr>
        <w:t xml:space="preserve">Limitaciones: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6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Sin automatizaciones avanzadas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Sin integración con CRM externo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Sin API access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Sin soporte telefónico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Sin gestión de equipos</w:t>
      </w:r>
    </w:p>
    <w:p w:rsidR="00000000" w:rsidDel="00000000" w:rsidP="00000000" w:rsidRDefault="00000000" w:rsidRPr="00000000" w14:paraId="00000026">
      <w:pPr>
        <w:shd w:fill="1c2333" w:val="clear"/>
        <w:rPr>
          <w:b w:val="1"/>
          <w:color w:val="f5f9fc"/>
          <w:sz w:val="21"/>
          <w:szCs w:val="21"/>
        </w:rPr>
      </w:pPr>
      <w:r w:rsidDel="00000000" w:rsidR="00000000" w:rsidRPr="00000000">
        <w:rPr>
          <w:b w:val="1"/>
          <w:color w:val="f5f9fc"/>
          <w:sz w:val="21"/>
          <w:szCs w:val="21"/>
          <w:rtl w:val="0"/>
        </w:rPr>
        <w:t xml:space="preserve">PLAN 3:PROFESIONAL - $89 USD/mes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lineRule="auto"/>
        <w:rPr>
          <w:b w:val="1"/>
          <w:color w:val="f5f9fc"/>
          <w:sz w:val="21"/>
          <w:szCs w:val="21"/>
        </w:rPr>
      </w:pPr>
      <w:r w:rsidDel="00000000" w:rsidR="00000000" w:rsidRPr="00000000">
        <w:rPr>
          <w:b w:val="1"/>
          <w:color w:val="f5f9fc"/>
          <w:sz w:val="21"/>
          <w:szCs w:val="21"/>
          <w:rtl w:val="0"/>
        </w:rPr>
        <w:t xml:space="preserve">Características: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6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10,000 conversaciones/mes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Formularios ilimitados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Todas las funciones del plan Profesional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Integración en sitios web ilimitados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Automatizaciones básicas (respuestas automáticas)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Integración con CRM (Salesforce, HubSpot)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API de acceso para desarrolladores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Análisis avanzados con reportes personalizados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Exportación de datos en múltiples formatos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Respaldos automáticos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Gestión de equipos (hasta 5 usuarios)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Soporte por email, chat y telefónico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Onboarding personalizado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lineRule="auto"/>
        <w:rPr>
          <w:b w:val="1"/>
          <w:color w:val="f5f9fc"/>
          <w:sz w:val="21"/>
          <w:szCs w:val="21"/>
        </w:rPr>
      </w:pPr>
      <w:r w:rsidDel="00000000" w:rsidR="00000000" w:rsidRPr="00000000">
        <w:rPr>
          <w:b w:val="1"/>
          <w:color w:val="f5f9fc"/>
          <w:sz w:val="21"/>
          <w:szCs w:val="21"/>
          <w:rtl w:val="0"/>
        </w:rPr>
        <w:t xml:space="preserve">Limitaciones: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6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Sin automatizaciones avanzadas completas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Sin gerente de cuenta dedicado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0" w:afterAutospacing="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Sin servidores dedicados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2333" w:val="clear"/>
        <w:spacing w:after="240" w:before="0" w:beforeAutospacing="0" w:lineRule="auto"/>
        <w:ind w:left="720" w:hanging="360"/>
        <w:rPr>
          <w:color w:val="f5f9fc"/>
          <w:sz w:val="21"/>
          <w:szCs w:val="21"/>
        </w:rPr>
      </w:pPr>
      <w:r w:rsidDel="00000000" w:rsidR="00000000" w:rsidRPr="00000000">
        <w:rPr>
          <w:color w:val="f5f9fc"/>
          <w:sz w:val="21"/>
          <w:szCs w:val="21"/>
          <w:rtl w:val="0"/>
        </w:rPr>
        <w:t xml:space="preserve">Sin SLA garantizado</w:t>
      </w:r>
    </w:p>
    <w:p w:rsidR="00000000" w:rsidDel="00000000" w:rsidP="00000000" w:rsidRDefault="00000000" w:rsidRPr="00000000" w14:paraId="0000003A">
      <w:pPr>
        <w:shd w:fill="1c2333" w:val="clear"/>
        <w:rPr>
          <w:b w:val="1"/>
          <w:color w:val="f5f9fc"/>
          <w:sz w:val="21"/>
          <w:szCs w:val="21"/>
        </w:rPr>
      </w:pPr>
      <w:r w:rsidDel="00000000" w:rsidR="00000000" w:rsidRPr="00000000">
        <w:rPr>
          <w:b w:val="1"/>
          <w:color w:val="f5f9fc"/>
          <w:sz w:val="21"/>
          <w:szCs w:val="21"/>
          <w:rtl w:val="0"/>
        </w:rPr>
        <w:t xml:space="preserve">PLAN 3:EMPRESARIAL 299 usd</w:t>
      </w:r>
    </w:p>
    <w:p w:rsidR="00000000" w:rsidDel="00000000" w:rsidP="00000000" w:rsidRDefault="00000000" w:rsidRPr="00000000" w14:paraId="0000003B">
      <w:pPr>
        <w:shd w:fill="1c2333" w:val="clear"/>
        <w:rPr>
          <w:b w:val="1"/>
          <w:color w:val="f5f9fc"/>
          <w:sz w:val="21"/>
          <w:szCs w:val="21"/>
        </w:rPr>
      </w:pPr>
      <w:r w:rsidDel="00000000" w:rsidR="00000000" w:rsidRPr="00000000">
        <w:rPr>
          <w:b w:val="1"/>
          <w:color w:val="f5f9fc"/>
          <w:sz w:val="21"/>
          <w:szCs w:val="21"/>
          <w:rtl w:val="0"/>
        </w:rPr>
        <w:t xml:space="preserve">Todo y tareas automatizada con IA local o IA Normal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