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10042 Stockroom - User Guide</w:t>
      </w:r>
    </w:p>
    <w:p>
      <w:r>
        <w:t xml:space="preserve">Example Vendor</w:t>
      </w:r>
    </w:p>
    <w:p>
      <w:pPr>
        <w:pStyle w:val="Heading1"/>
      </w:pPr>
      <w:r>
        <w:t xml:space="preserve">1 Brief Introduction</w:t>
      </w:r>
    </w:p>
    <w:p>
      <w:pPr>
        <w:pStyle w:val="Heading2"/>
      </w:pPr>
      <w:r>
        <w:t xml:space="preserve">1.1 Modification</w:t>
      </w:r>
    </w:p>
    <w:p>
      <w:r>
        <w:t xml:space="preserve">Any configuration change must only be carried out by an administrator.</w:t>
      </w:r>
    </w:p>
    <w:p>
      <w:r>
        <w:t xml:space="preserve">NOTE: For contact information, please refer to the homepage of this user guide.</w:t>
      </w:r>
    </w:p>
    <w:p>
      <w:pPr>
        <w:pStyle w:val="Heading2"/>
      </w:pPr>
      <w:r>
        <w:t xml:space="preserve">1.2 Support responsibilities</w:t>
      </w:r>
    </w:p>
    <w:p>
      <w:r>
        <w:t xml:space="preserve">Support work must be carried out by trained personnel.</w:t>
      </w:r>
    </w:p>
    <w:p>
      <w:pPr>
        <w:pStyle w:val="Heading1"/>
      </w:pPr>
      <w:r>
        <w:t xml:space="preserve">2 System Design</w:t>
      </w:r>
    </w:p>
    <w:p>
      <w:pPr>
        <w:pStyle w:val="Heading2"/>
      </w:pPr>
      <w:r>
        <w:t xml:space="preserve">2.1 Dashboard</w:t>
      </w:r>
    </w:p>
    <w:p>
      <w:r>
        <w:t xml:space="preserve">The dashboard shows stock levels as in the screenshot below.</w:t>
      </w:r>
    </w:p>
    <w:p>
      <w:r>
        <w:drawing>
          <wp:inline distT="0" distB="0" distL="0" distR="0">
            <wp:extent cx="1905000" cy="952500"/>
            <wp:docPr id="1" name="dashboard.png" descr="Dashboard 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.png" descr="Dashboard screensho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WARNING: Never share your sign-in badge with another user.</w:t>
      </w:r>
    </w:p>
    <w:tbl>
      <w:tblPr>
        <w:tblBorders>
          <w:top w:val="single"/>
          <w:bottom w:val="single"/>
        </w:tblBorders>
      </w:tblPr>
      <w:tblGrid>
        <w:gridCol w:w="2400"/>
        <w:gridCol w:w="4800"/>
      </w:tblGrid>
      <w:tr>
        <w:tc>
          <w:tcPr/>
          <w:p>
            <w:r>
              <w:t>Component</w:t>
            </w:r>
          </w:p>
        </w:tc>
        <w:tc>
          <w:tcPr/>
          <w:p>
            <w:r>
              <w:t>Description</w:t>
            </w:r>
          </w:p>
        </w:tc>
      </w:tr>
      <w:tr>
        <w:tc>
          <w:tcPr/>
          <w:p>
            <w:r>
              <w:t>Application server</w:t>
            </w:r>
          </w:p>
        </w:tc>
        <w:tc>
          <w:tcPr/>
          <w:p>
            <w:r>
              <w:t>Web application and API</w:t>
            </w:r>
          </w:p>
        </w:tc>
      </w:tr>
      <w:tr>
        <w:tc>
          <w:tcPr/>
          <w:p>
            <w:r>
              <w:t>Scanner station</w:t>
            </w:r>
          </w:p>
        </w:tc>
        <w:tc>
          <w:tcPr/>
          <w:p>
            <w:r>
              <w:t>Handheld barcode scanner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styles" Target="styles.xml"/></Relationships>
</file>