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1A2744"/>
          </w:tcPr>
          <w:p>
            <w:pPr>
              <w:spacing w:before="600"/>
              <w:jc w:val="center"/>
            </w:pPr>
            <w:r>
              <w:rPr>
                <w:rFonts w:ascii="Calibri" w:hAnsi="Calibri"/>
                <w:b/>
                <w:color w:val="FFFFFF"/>
                <w:sz w:val="104"/>
              </w:rPr>
              <w:t>NexusAI</w:t>
            </w:r>
          </w:p>
          <w:p>
            <w:pPr>
              <w:spacing w:before="120"/>
              <w:jc w:val="center"/>
            </w:pPr>
            <w:r>
              <w:rPr>
                <w:rFonts w:ascii="Calibri" w:hAnsi="Calibri"/>
                <w:color w:val="A0C4E8"/>
                <w:sz w:val="48"/>
              </w:rPr>
              <w:t>Business &amp; Technology Plan</w:t>
            </w:r>
          </w:p>
          <w:p>
            <w:pPr>
              <w:spacing w:before="240"/>
              <w:jc w:val="center"/>
            </w:pPr>
            <w:r>
              <w:rPr>
                <w:color w:val="5A8ABE"/>
                <w:sz w:val="24"/>
              </w:rPr>
              <w:t>━━━━━━━━━━━━━━━━━━━━━━━━━━━━━━━━━━━━━━━━</w:t>
            </w:r>
          </w:p>
          <w:p>
            <w:pPr>
              <w:spacing w:before="280"/>
              <w:jc w:val="center"/>
            </w:pPr>
            <w:r>
              <w:rPr>
                <w:rFonts w:ascii="Calibri" w:hAnsi="Calibri"/>
                <w:i/>
                <w:color w:val="CCDDEE"/>
                <w:sz w:val="32"/>
              </w:rPr>
              <w:t>A Project by Osama</w:t>
            </w:r>
          </w:p>
          <w:p>
            <w:pPr>
              <w:spacing w:before="600"/>
              <w:jc w:val="center"/>
            </w:pPr>
            <w:r>
              <w:rPr>
                <w:rFonts w:ascii="Calibri" w:hAnsi="Calibri"/>
                <w:color w:val="88AACC"/>
                <w:sz w:val="20"/>
              </w:rPr>
              <w:t xml:space="preserve">Date: </w:t>
            </w:r>
            <w:r>
              <w:rPr>
                <w:rFonts w:ascii="Calibri" w:hAnsi="Calibri"/>
                <w:color w:val="FFFFFF"/>
                <w:sz w:val="20"/>
              </w:rPr>
              <w:t xml:space="preserve">August 2025     </w:t>
            </w:r>
            <w:r>
              <w:rPr>
                <w:rFonts w:ascii="Calibri" w:hAnsi="Calibri"/>
                <w:color w:val="88AACC"/>
                <w:sz w:val="20"/>
              </w:rPr>
              <w:t xml:space="preserve">Version: </w:t>
            </w:r>
            <w:r>
              <w:rPr>
                <w:rFonts w:ascii="Calibri" w:hAnsi="Calibri"/>
                <w:color w:val="FFFFFF"/>
                <w:sz w:val="20"/>
              </w:rPr>
              <w:t xml:space="preserve">1.0     </w:t>
            </w:r>
            <w:r>
              <w:rPr>
                <w:rFonts w:ascii="Calibri" w:hAnsi="Calibri"/>
                <w:color w:val="88AACC"/>
                <w:sz w:val="20"/>
              </w:rPr>
              <w:t xml:space="preserve">Classification: </w:t>
            </w:r>
            <w:r>
              <w:rPr>
                <w:rFonts w:ascii="Calibri" w:hAnsi="Calibri"/>
                <w:color w:val="FFFFFF"/>
                <w:sz w:val="20"/>
              </w:rPr>
              <w:t xml:space="preserve">Confidential     </w:t>
            </w:r>
          </w:p>
          <w:p>
            <w:pPr>
              <w:spacing w:after="400"/>
            </w:pPr>
          </w:p>
        </w:tc>
      </w:tr>
    </w:tbl>
    <w:p>
      <w:r>
        <w:br w:type="page"/>
      </w:r>
    </w:p>
    <w:p>
      <w:pPr>
        <w:spacing w:after="240"/>
      </w:pPr>
      <w:r>
        <w:rPr>
          <w:rFonts w:ascii="Calibri" w:hAnsi="Calibri"/>
          <w:b/>
          <w:color w:val="1A2744"/>
          <w:sz w:val="52"/>
        </w:rPr>
        <w:t>Table of Contents</w:t>
      </w:r>
    </w:p>
    <w:p>
      <w:pPr>
        <w:spacing w:after="240"/>
      </w:pPr>
      <w:r>
        <w:rPr>
          <w:i/>
          <w:color w:val="888888"/>
          <w:sz w:val="18"/>
        </w:rPr>
        <w:t>(Right-click → Update Field in Microsoft Word to refresh page numbers after opening)</w:t>
      </w:r>
    </w:p>
    <w:p>
      <w:fldChar w:fldCharType="begin"/>
      <w:instrText xml:space="preserve"> TOC \o "1-3" \h \z \u </w:instrText>
      <w:fldChar w:fldCharType="separate"/>
      <w:r>
        <w:rPr>
          <w:color w:val="999999"/>
          <w:sz w:val="20"/>
        </w:rPr>
        <w:t>[Table of Contents will be generated when you update this field in Word]</w:t>
      </w:r>
      <w:fldChar w:fldCharType="end"/>
    </w:p>
    <w:p>
      <w:r>
        <w:br w:type="page"/>
      </w:r>
    </w:p>
    <w:p>
      <w:pPr>
        <w:pStyle w:val="Heading1"/>
      </w:pPr>
      <w:r>
        <w:t>1. Executive Summary</w:t>
      </w:r>
    </w:p>
    <w:p>
      <w:r>
        <w:rPr>
          <w:rFonts w:ascii="Calibri" w:hAnsi="Calibri"/>
          <w:color w:val="333333"/>
          <w:sz w:val="22"/>
        </w:rPr>
        <w:t>NexusAI represents a bold and ambitious initiative to democratize artificial intelligence by building a fully open-source, bilingual (English and Urdu) AI platform that combines the power of large language models with an intelligent agent framework. Founded by Osama, this project addresses one of the most pressing challenges in the current AI landscape: the accessibility gap that prevents millions of developers, students, small businesses, and organizations in developing regions from leveraging cutting-edge AI capabilities. Unlike proprietary platforms that impose significant cost barriers and language limitations, NexusAI is designed from the ground up to be free, extensible, and genuinely multilingual.</w:t>
      </w:r>
    </w:p>
    <w:p>
      <w:r>
        <w:rPr>
          <w:rFonts w:ascii="Calibri" w:hAnsi="Calibri"/>
          <w:color w:val="333333"/>
          <w:sz w:val="22"/>
        </w:rPr>
        <w:t>The global artificial intelligence market is projected to exceed $200 billion by 2025, growing at a compound annual growth rate of over 37%. Yet despite this explosive growth, the vast majority of AI platforms cater almost exclusively to English-speaking, well-funded organizations in developed markets. NexusAI directly challenges this paradigm by offering a comprehensive platform that includes a high-performance Chat API, a sophisticated Agent Framework for building autonomous AI workflows, an extensible Tool System that allows agents to interact with external services, a persistent Memory System for context-aware conversations, a developer-friendly SDK, and a Retrieval-Augmented Generation (RAG) pipeline for knowledge-grounded responses.</w:t>
      </w:r>
    </w:p>
    <w:p>
      <w:r>
        <w:rPr>
          <w:rFonts w:ascii="Calibri" w:hAnsi="Calibri"/>
          <w:color w:val="333333"/>
          <w:sz w:val="22"/>
        </w:rPr>
        <w:t>What truly sets NexusAI apart is its unique combination of features that no existing platform offers in a single, cohesive package. First, the platform is completely free to use for individual developers and students, eliminating the financial barriers that prevent innovation in resource-constrained environments. Second, NexusAI provides native bilingual support for English and Urdu, opening up AI capabilities to over 230 million Urdu speakers worldwide who are largely underserved by current AI solutions. Third, the Agent Framework enables users to build complex, multi-step AI workflows without requiring deep expertise in prompt engineering or model training. Fourth, the entire platform is open-source, ensuring transparency, community-driven development, and the ability for organizations to deploy on-premise for data sovereignty.</w:t>
      </w:r>
    </w:p>
    <w:p>
      <w:r>
        <w:rPr>
          <w:rFonts w:ascii="Calibri" w:hAnsi="Calibri"/>
          <w:color w:val="333333"/>
          <w:sz w:val="22"/>
        </w:rPr>
        <w:t>Our strategic goals for the first 24 months are focused on three key pillars: community building, product maturity, and sustainable monetization. We plan to cultivate an active developer community of 5,000+ contributors on GitHub, establish NexusAI as the go-to platform for AI development in South Asian markets, and achieve a self-sustaining revenue model through premium subscriptions, enterprise licensing, and an agent marketplace. The platform is architected around a modern technology stack including FastAPI for the backend, vLLM for high-performance model serving, Qwen 2.5 72B as the primary language model, Qdrant for vector search, Redis for caching, and Next.js for the frontend dashboard. This combination ensures enterprise-grade performance, horizontal scalability, and a developer experience that rivals or exceeds proprietary alternatives.</w:t>
      </w:r>
    </w:p>
    <w:p>
      <w:r>
        <w:rPr>
          <w:rFonts w:ascii="Calibri" w:hAnsi="Calibri"/>
          <w:color w:val="333333"/>
          <w:sz w:val="22"/>
        </w:rPr>
        <w:t>NexusAI is not merely another AI chatbot or API wrapper. It is a comprehensive ecosystem designed to empower the next generation of AI builders, particularly those who have been historically excluded from the AI revolution due to cost, language, or infrastructure barriers. By combining world-class technology with a mission-driven approach, NexusAI is positioned to become a transformative platform in the global AI landscape, starting with South Asia and expanding to serve underserved markets worldwide. This Business &amp; Technology Plan outlines the vision, strategy, and execution roadmap that will guide NexusAI from its current development stage to a mature, widely-adopted platform that generates sustainable revenue while staying true to its open-source roots.</w:t>
      </w:r>
    </w:p>
    <w:p>
      <w:r>
        <w:br w:type="page"/>
      </w:r>
    </w:p>
    <w:p>
      <w:pPr>
        <w:pStyle w:val="Heading1"/>
      </w:pPr>
      <w:r>
        <w:t>2. Problem Statement &amp; Market Opportunity</w:t>
      </w:r>
    </w:p>
    <w:p>
      <w:pPr>
        <w:pStyle w:val="Heading2"/>
      </w:pPr>
      <w:r>
        <w:t>2.1 The AI Accessibility Gap</w:t>
      </w:r>
    </w:p>
    <w:p>
      <w:r>
        <w:rPr>
          <w:rFonts w:ascii="Calibri" w:hAnsi="Calibri"/>
          <w:color w:val="333333"/>
          <w:sz w:val="22"/>
        </w:rPr>
        <w:t>Despite the remarkable advances in artificial intelligence over the past decade, a profound accessibility gap persists that limits the transformative potential of AI technology. The current AI ecosystem is dominated by a handful of well-funded technology companies that have built powerful but expensive platforms. OpenAI charges $0.06 per 1 million tokens for GPT-4o input processing, while Anthropic prices Claude at $0.25 per million input tokens for its most capable model. Google, while offering some free tiers, directs users toward its paid Google Cloud infrastructure for any serious production workloads. For a solo developer in Lahore, a startup team in Karachi, or a university student in Peshawar, these costs are prohibitive, especially when developing, testing, and iterating on AI-powered applications that require thousands of API calls during the development cycle alone.</w:t>
      </w:r>
    </w:p>
    <w:p>
      <w:r>
        <w:rPr>
          <w:rFonts w:ascii="Calibri" w:hAnsi="Calibri"/>
          <w:color w:val="333333"/>
          <w:sz w:val="22"/>
        </w:rPr>
        <w:t>The accessibility gap extends beyond mere pricing. Language barriers represent an equally significant obstacle. The vast majority of AI platforms are optimized for English, with other languages treated as afterthoughts or supported through inferior translation layers. Urdu, spoken by over 230 million people across Pakistan, India, and diaspora communities worldwide, receives minimal native support from any major AI platform. When Urdu speakers interact with existing AI systems, they encounter degraded response quality, cultural misunderstandings, and a fundamentally compromised user experience. This linguistic marginalization effectively excludes hundreds of millions of potential users from the AI revolution.</w:t>
      </w:r>
    </w:p>
    <w:p>
      <w:pPr>
        <w:pStyle w:val="Heading2"/>
      </w:pPr>
      <w:r>
        <w:t>2.2 The Cost Barrier for Innovation</w:t>
      </w:r>
    </w:p>
    <w:p>
      <w:r>
        <w:rPr>
          <w:rFonts w:ascii="Calibri" w:hAnsi="Calibri"/>
          <w:color w:val="333333"/>
          <w:sz w:val="22"/>
        </w:rPr>
        <w:t>The financial barrier to AI adoption is particularly acute for small businesses and startups in developing economies. Consider a small e-commerce company in Pakistan that wants to implement an AI-powered customer service chatbot. Using a proprietary API, even a modest workload of 1,000 conversations per day could cost between $150 and $500 per month, depending on conversation length and complexity. For a business with tight margins, this represents a significant operational expense that is difficult to justify, especially when the return on investment is uncertain during the initial deployment phase. This cost structure stifles innovation and prevents small businesses from competing with larger organizations that can absorb AI infrastructure costs more easily.</w:t>
      </w:r>
    </w:p>
    <w:p>
      <w:r>
        <w:rPr>
          <w:rFonts w:ascii="Calibri" w:hAnsi="Calibri"/>
          <w:color w:val="333333"/>
          <w:sz w:val="22"/>
        </w:rPr>
        <w:t>Educational institutions face a similar challenge. Universities and research labs in developing countries often lack the budgets to provide students with access to commercial AI APIs. Students are forced to work with limited free tiers or outdated models, creating a skills gap between graduates from well-funded institutions and those from resource-constrained environments. This educational inequity perpetuates a cycle where the most talented individuals from developing regions are unable to gain hands-on experience with state-of-the-art AI tools, ultimately limiting their career opportunities and their ability to contribute to the global AI ecosystem.</w:t>
      </w:r>
    </w:p>
    <w:p>
      <w:pPr>
        <w:pStyle w:val="Heading2"/>
      </w:pPr>
      <w:r>
        <w:t>2.3 Market Size and Growth Trajectory</w:t>
      </w:r>
    </w:p>
    <w:p>
      <w:r>
        <w:rPr>
          <w:rFonts w:ascii="Calibri" w:hAnsi="Calibri"/>
          <w:color w:val="333333"/>
          <w:sz w:val="22"/>
        </w:rPr>
        <w:t>The global AI market represents one of the largest economic opportunities of the 21st century. According to multiple industry analysts, the artificial intelligence market was valued at approximately $196 billion in 2024 and is projected to reach $1.8 trillion by 2030, growing at a compound annual growth rate of approximately 37.3%. Within this broader market, the conversational AI segment alone is expected to grow from $13.2 billion in 2024 to $102.3 billion by 2030. The AI development platform market, which includes APIs, SDKs, and frameworks for building AI applications, is estimated to reach $45 billion by 2027. These figures represent an enormous market opportunity, and the underserved segments in South Asia, the Middle East, and Africa represent billions of dollars in untapped demand.</w:t>
      </w:r>
    </w:p>
    <w:p>
      <w:r>
        <w:rPr>
          <w:rFonts w:ascii="Calibri" w:hAnsi="Calibri"/>
          <w:color w:val="333333"/>
          <w:sz w:val="22"/>
        </w:rPr>
        <w:t>The South Asian market, NexusAI primary target region, is particularly compelling. Pakistan alone has over 50 million internet users, a rapidly growing technology sector, and a young, tech-savvy population. India, with its massive IT industry and startup ecosystem, represents an even larger opportunity. Bangladesh, Sri Lanka, and the Gulf states add further depth to this market. By addressing the specific needs of these markets, including bilingual support, affordable pricing, and community-driven development, NexusAI is positioned to capture significant market share in a region that is currently underserved by global AI platforms.</w:t>
      </w:r>
    </w:p>
    <w:p>
      <w:r>
        <w:br w:type="page"/>
      </w:r>
    </w:p>
    <w:p>
      <w:pPr>
        <w:pStyle w:val="Heading1"/>
      </w:pPr>
      <w:r>
        <w:t>3. Product Vision &amp; Features</w:t>
      </w:r>
    </w:p>
    <w:p>
      <w:pPr>
        <w:pStyle w:val="Heading2"/>
      </w:pPr>
      <w:r>
        <w:t>3.1 Chat API</w:t>
      </w:r>
    </w:p>
    <w:p>
      <w:r>
        <w:rPr>
          <w:rFonts w:ascii="Calibri" w:hAnsi="Calibri"/>
          <w:color w:val="333333"/>
          <w:sz w:val="22"/>
        </w:rPr>
        <w:t>The NexusAI Chat API is the foundational component of the platform, providing a RESTful interface for integrating AI conversational capabilities into any application. Built on FastAPI with async support, the Chat API delivers sub-second response times for standard queries and supports streaming responses for real-time applications. The API is fully compatible with the OpenAI Chat Completions format, ensuring that existing applications built for OpenAI can be migrated to NexusAI with minimal code changes. This compatibility is a deliberate design decision that lowers the switching cost for developers and accelerates adoption.</w:t>
      </w:r>
    </w:p>
    <w:p>
      <w:r>
        <w:rPr>
          <w:rFonts w:ascii="Calibri" w:hAnsi="Calibri"/>
          <w:color w:val="333333"/>
          <w:sz w:val="22"/>
        </w:rPr>
        <w:t>Beyond basic chat functionality, the API supports advanced features including system prompts, temperature and top-p sampling control, function calling, JSON mode for structured outputs, and conversation threading with automatic context management. Developers can specify the model variant, control response length, and configure safety filters. The API also includes built-in rate limiting that differs by tier (free users get 60 requests per minute, premium users get 600, and enterprise users have configurable limits) and comprehensive request logging for debugging and analytics. Every API endpoint returns detailed metadata including token usage, latency metrics, and model version information, enabling developers to optimize their applications for performance and cost.</w:t>
      </w:r>
    </w:p>
    <w:p>
      <w:pPr>
        <w:pStyle w:val="Heading2"/>
      </w:pPr>
      <w:r>
        <w:t>3.2 Agent Framework</w:t>
      </w:r>
    </w:p>
    <w:p>
      <w:r>
        <w:rPr>
          <w:rFonts w:ascii="Calibri" w:hAnsi="Calibri"/>
          <w:color w:val="333333"/>
          <w:sz w:val="22"/>
        </w:rPr>
        <w:t>The Agent Framework is NexusAI most distinctive feature, enabling developers to build autonomous AI agents that can perform complex multi-step tasks. Unlike simple chat completions, agents can plan, reason, use tools, maintain memory across interactions, and collaborate with other agents. The framework is built on a ReAct (Reasoning + Acting) architecture that allows agents to break down complex tasks into sub-tasks, execute them sequentially or in parallel, and synthesize results into coherent responses. Developers define agent behaviors through a YAML-based configuration system that specifies the agent role, available tools, memory scope, and decision-making parameters.</w:t>
      </w:r>
    </w:p>
    <w:p>
      <w:r>
        <w:rPr>
          <w:rFonts w:ascii="Calibri" w:hAnsi="Calibri"/>
          <w:color w:val="333333"/>
          <w:sz w:val="22"/>
        </w:rPr>
        <w:t>The Agent Framework supports several pre-built agent archetypes including Research Agents (for information gathering and synthesis), Code Agents (for software development tasks), Customer Service Agents (for support automation), Data Analysis Agents (for processing and visualizing data), and Creative Writing Agents (for content generation). Each archetype comes with a carefully tuned system prompt, a curated set of tools, and optimized parameters for its specific use case. Developers can also create fully custom agents by combining tools, defining custom decision logic, and specifying domain knowledge through the RAG pipeline. The framework includes built-in guardrails that prevent agents from executing harmful actions, spending excessive resources, or entering infinite loops.</w:t>
      </w:r>
    </w:p>
    <w:p>
      <w:pPr>
        <w:pStyle w:val="Heading2"/>
      </w:pPr>
      <w:r>
        <w:t>3.3 Tool System</w:t>
      </w:r>
    </w:p>
    <w:p>
      <w:r>
        <w:rPr>
          <w:rFonts w:ascii="Calibri" w:hAnsi="Calibri"/>
          <w:color w:val="333333"/>
          <w:sz w:val="22"/>
        </w:rPr>
        <w:t>The Tool System provides a standardized interface for connecting AI agents to external services and data sources. Tools are defined as Python functions with type-annotated parameters and natural language descriptions, which the model uses to decide when and how to invoke them. The system supports both synchronous and asynchronous tools, handles errors gracefully, and provides detailed execution logs. Pre-built tools include web search, calculator, code execution sandbox, file I/O operations, database queries, email sending, calendar management, and API connectors for popular services like Slack, GitHub, Jira, and Notion. Developers can create custom tools by simply decorating a Python function with the @tool decorator and providing a description. The Tool System also supports tool chaining, where the output of one tool becomes the input for another, enabling complex workflows.</w:t>
      </w:r>
    </w:p>
    <w:p>
      <w:pPr>
        <w:pStyle w:val="Heading2"/>
      </w:pPr>
      <w:r>
        <w:t>3.4 Memory System</w:t>
      </w:r>
    </w:p>
    <w:p>
      <w:r>
        <w:rPr>
          <w:rFonts w:ascii="Calibri" w:hAnsi="Calibri"/>
          <w:color w:val="333333"/>
          <w:sz w:val="22"/>
        </w:rPr>
        <w:t>The Memory System gives agents persistent, context-aware memory that spans conversations and sessions. Unlike stateless chat APIs that forget everything after each interaction, the NexusAI Memory System stores conversation history, user preferences, learned facts, and task state in a structured format. The system uses a tiered memory architecture consisting of working memory (current conversation context), short-term memory (recent interactions across sessions), and long-term memory (persistent knowledge about the user and domain). Memory is stored in Qdrant vector database for semantic retrieval and Redis for fast access to recent context. The system automatically manages memory relevance, pruning outdated information and promoting frequently accessed memories to faster storage tiers. For privacy, all memory data is encrypted at rest, and users can view, edit, or delete their memory data at any time through the dashboard or API.</w:t>
      </w:r>
    </w:p>
    <w:p>
      <w:pPr>
        <w:pStyle w:val="Heading2"/>
      </w:pPr>
      <w:r>
        <w:t>3.5 Developer SDK</w:t>
      </w:r>
    </w:p>
    <w:p>
      <w:r>
        <w:rPr>
          <w:rFonts w:ascii="Calibri" w:hAnsi="Calibri"/>
          <w:color w:val="333333"/>
          <w:sz w:val="22"/>
        </w:rPr>
        <w:t>The NexusAI Developer SDK provides a type-safe, idiomatic interface for integrating NexusAI capabilities into applications. The primary SDK is built for Python, with TypeScript/JavaScript and Java SDKs planned for subsequent releases. The Python SDK offers a clean, intuitive API that abstracts away the complexity of HTTP requests, authentication, error handling, and response parsing. Key features include automatic retry logic with exponential backoff, connection pooling for high-throughput applications, async/await support, and comprehensive Pydantic models for request and response validation. The SDK also includes a CLI tool for quick prototyping and testing, interactive notebook support for Jupyter environments, and detailed documentation with code examples for every feature. The SDK is published on PyPI and can be installed with a simple pip install command.</w:t>
      </w:r>
    </w:p>
    <w:p>
      <w:pPr>
        <w:pStyle w:val="Heading2"/>
      </w:pPr>
      <w:r>
        <w:t>3.6 RAG Pipeline</w:t>
      </w:r>
    </w:p>
    <w:p>
      <w:r>
        <w:rPr>
          <w:rFonts w:ascii="Calibri" w:hAnsi="Calibri"/>
          <w:color w:val="333333"/>
          <w:sz w:val="22"/>
        </w:rPr>
        <w:t>The Retrieval-Augmented Generation (RAG) pipeline enables NexusAI to provide accurate, knowledge-grounded responses by combining the generative capabilities of large language models with precise information retrieval from custom knowledge bases. The pipeline supports multiple document formats including PDF, DOCX, TXT, Markdown, HTML, and CSV. Documents are processed through a chunking pipeline that splits them into semantically meaningful segments, generates vector embeddings using the Qwen embedding model, and stores them in Qdrant for fast similarity search. The pipeline supports hybrid search (combining dense vector similarity with sparse BM25 keyword matching), re-ranking for improved result quality, and citation generation that allows the model to reference specific sources. Enterprise users can configure multiple knowledge bases with different access controls, enabling role-based retrieval where different users or agents access different subsets of the organizational knowledge.</w:t>
      </w:r>
    </w:p>
    <w:p>
      <w:pPr>
        <w:pStyle w:val="Heading2"/>
      </w:pPr>
      <w:r>
        <w:t>3.7 Multi-Model Routing</w:t>
      </w:r>
    </w:p>
    <w:p>
      <w:r>
        <w:rPr>
          <w:rFonts w:ascii="Calibri" w:hAnsi="Calibri"/>
          <w:color w:val="333333"/>
          <w:sz w:val="22"/>
        </w:rPr>
        <w:t>NexusAI employs an intelligent multi-model routing system that directs each request to the most appropriate model based on the task complexity, required capabilities, latency constraints, and cost considerations. The primary model is Qwen 2.5 72B, which provides an excellent balance of quality and performance for most tasks. For simpler queries that do not require the full power of the 72B model, the router can direct requests to smaller, faster models like Qwen 2.5 7B or 14B, significantly reducing inference latency and infrastructure costs. For specialized tasks such as code generation, mathematical reasoning, or creative writing, the router can invoke task-optimized model variants. The routing logic is configurable and can be customized per-user or per-application, allowing enterprise customers to implement their own routing policies based on their specific requirements and priorities.</w:t>
      </w:r>
    </w:p>
    <w:p>
      <w:pPr>
        <w:pStyle w:val="Heading2"/>
      </w:pPr>
      <w:r>
        <w:t>3.8 Bilingual Support (English &amp; Urdu)</w:t>
      </w:r>
    </w:p>
    <w:p>
      <w:r>
        <w:rPr>
          <w:rFonts w:ascii="Calibri" w:hAnsi="Calibri"/>
          <w:color w:val="333333"/>
          <w:sz w:val="22"/>
        </w:rPr>
        <w:t>Bilingual support is a core pillar of NexusAI identity and a key differentiator in the market. The platform provides native, high-quality support for both English and Urdu across all features: the Chat API, Agent Framework, Tool System, and RAG pipeline. Unlike competitors that rely on translation layers, NexusAI uses models that have been specifically fine-tuned on high-quality Urdu corpora to ensure culturally appropriate, grammatically correct, and contextually relevant responses in Urdu. The system can seamlessly handle code-mixed input (sentences that blend English and Urdu), detect the language automatically, and respond in the appropriate language. The dashboard and documentation are also available in both languages, ensuring that Urdu-speaking developers can use the entire platform without language barriers. This commitment to bilingualism extends to the community, with dedicated Urdu-language support channels, tutorials, and community events.</w:t>
      </w:r>
    </w:p>
    <w:p>
      <w:r>
        <w:br w:type="page"/>
      </w:r>
    </w:p>
    <w:p>
      <w:pPr>
        <w:pStyle w:val="Heading1"/>
      </w:pPr>
      <w:r>
        <w:t>4. Technology Architecture Summary</w:t>
      </w:r>
    </w:p>
    <w:p>
      <w:pPr>
        <w:pStyle w:val="Heading2"/>
      </w:pPr>
      <w:r>
        <w:t>4.1 High-Level Architecture</w:t>
      </w:r>
    </w:p>
    <w:p>
      <w:r>
        <w:rPr>
          <w:rFonts w:ascii="Calibri" w:hAnsi="Calibri"/>
          <w:color w:val="333333"/>
          <w:sz w:val="22"/>
        </w:rPr>
        <w:t>NexusAI is built on a modern, microservices-inspired architecture designed for horizontal scalability, fault tolerance, and rapid iteration. The architecture is organized into four primary layers: the API Gateway layer, the Application Logic layer, the AI/ML layer, and the Data Storage layer. Each layer is independently deployable and scalable, allowing the system to handle varying loads across different components. The API Gateway, implemented with FastAPI, handles authentication, rate limiting, request validation, and routing. The Application Logic layer contains the Agent Framework, Tool System, Memory Manager, and RAG pipeline orchestrator. The AI/ML layer manages model serving, embedding generation, and multi-model routing. The Data Storage layer includes PostgreSQL for relational data, Qdrant for vector search, Redis for caching and session management, and object storage for documents and media files.</w:t>
      </w:r>
    </w:p>
    <w:p>
      <w:r>
        <w:rPr>
          <w:rFonts w:ascii="Calibri" w:hAnsi="Calibri"/>
          <w:color w:val="333333"/>
          <w:sz w:val="22"/>
        </w:rPr>
        <w:t>Communication between services uses a combination of synchronous REST APIs for user-facing operations and asynchronous message queues (using Redis Streams or RabbitMQ) for background tasks such as document processing, model fine-tuning, and analytics aggregation. This hybrid approach ensures that user requests receive immediate responses while resource-intensive tasks are processed without blocking the main request path. The entire system is containerized using Docker and orchestrated with Kubernetes, enabling consistent deployments across development, staging, and production environments.</w:t>
      </w:r>
    </w:p>
    <w:p>
      <w:pPr>
        <w:pStyle w:val="Heading2"/>
      </w:pPr>
      <w:r>
        <w:t>4.2 Core Technology Stack</w:t>
      </w:r>
    </w:p>
    <w:tbl>
      <w:tblPr>
        <w:tblStyle w:val="TableGrid"/>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340"/>
        <w:gridCol w:w="2340"/>
        <w:gridCol w:w="2340"/>
        <w:gridCol w:w="2340"/>
      </w:tblGrid>
      <w:tr>
        <w:tc>
          <w:tcPr>
            <w:tcW w:type="dxa" w:w="2016"/>
            <w:shd w:fill="1A2744"/>
            <w:vAlign w:val="center"/>
          </w:tcPr>
          <w:p>
            <w:pPr>
              <w:spacing w:before="60" w:after="60"/>
              <w:jc w:val="center"/>
            </w:pPr>
            <w:r/>
            <w:r>
              <w:rPr>
                <w:rFonts w:ascii="Calibri" w:hAnsi="Calibri"/>
                <w:b/>
                <w:color w:val="FFFFFF"/>
                <w:sz w:val="20"/>
              </w:rPr>
              <w:t>Component</w:t>
            </w:r>
          </w:p>
        </w:tc>
        <w:tc>
          <w:tcPr>
            <w:tcW w:type="dxa" w:w="1872"/>
            <w:shd w:fill="1A2744"/>
            <w:vAlign w:val="center"/>
          </w:tcPr>
          <w:p>
            <w:pPr>
              <w:spacing w:before="60" w:after="60"/>
              <w:jc w:val="center"/>
            </w:pPr>
            <w:r/>
            <w:r>
              <w:rPr>
                <w:rFonts w:ascii="Calibri" w:hAnsi="Calibri"/>
                <w:b/>
                <w:color w:val="FFFFFF"/>
                <w:sz w:val="20"/>
              </w:rPr>
              <w:t>Technology</w:t>
            </w:r>
          </w:p>
        </w:tc>
        <w:tc>
          <w:tcPr>
            <w:tcW w:type="dxa" w:w="3600"/>
            <w:shd w:fill="1A2744"/>
            <w:vAlign w:val="center"/>
          </w:tcPr>
          <w:p>
            <w:pPr>
              <w:spacing w:before="60" w:after="60"/>
              <w:jc w:val="center"/>
            </w:pPr>
            <w:r/>
            <w:r>
              <w:rPr>
                <w:rFonts w:ascii="Calibri" w:hAnsi="Calibri"/>
                <w:b/>
                <w:color w:val="FFFFFF"/>
                <w:sz w:val="20"/>
              </w:rPr>
              <w:t>Purpose</w:t>
            </w:r>
          </w:p>
        </w:tc>
        <w:tc>
          <w:tcPr>
            <w:tcW w:type="dxa" w:w="1152"/>
            <w:shd w:fill="1A2744"/>
            <w:vAlign w:val="center"/>
          </w:tcPr>
          <w:p>
            <w:pPr>
              <w:spacing w:before="60" w:after="60"/>
              <w:jc w:val="center"/>
            </w:pPr>
            <w:r/>
            <w:r>
              <w:rPr>
                <w:rFonts w:ascii="Calibri" w:hAnsi="Calibri"/>
                <w:b/>
                <w:color w:val="FFFFFF"/>
                <w:sz w:val="20"/>
              </w:rPr>
              <w:t>Version</w:t>
            </w:r>
          </w:p>
        </w:tc>
      </w:tr>
      <w:tr>
        <w:tc>
          <w:tcPr>
            <w:tcW w:type="dxa" w:w="2016"/>
            <w:vAlign w:val="center"/>
          </w:tcPr>
          <w:p>
            <w:pPr>
              <w:spacing w:before="60" w:after="60"/>
              <w:jc w:val="left"/>
            </w:pPr>
            <w:r/>
            <w:r>
              <w:rPr>
                <w:rFonts w:ascii="Calibri" w:hAnsi="Calibri"/>
                <w:b w:val="0"/>
                <w:color w:val="333333"/>
                <w:sz w:val="19"/>
              </w:rPr>
              <w:t>API Framework</w:t>
            </w:r>
          </w:p>
        </w:tc>
        <w:tc>
          <w:tcPr>
            <w:tcW w:type="dxa" w:w="1872"/>
            <w:vAlign w:val="center"/>
          </w:tcPr>
          <w:p>
            <w:pPr>
              <w:spacing w:before="60" w:after="60"/>
              <w:jc w:val="left"/>
            </w:pPr>
            <w:r/>
            <w:r>
              <w:rPr>
                <w:rFonts w:ascii="Calibri" w:hAnsi="Calibri"/>
                <w:b w:val="0"/>
                <w:color w:val="333333"/>
                <w:sz w:val="19"/>
              </w:rPr>
              <w:t>FastAPI</w:t>
            </w:r>
          </w:p>
        </w:tc>
        <w:tc>
          <w:tcPr>
            <w:tcW w:type="dxa" w:w="3600"/>
            <w:vAlign w:val="center"/>
          </w:tcPr>
          <w:p>
            <w:pPr>
              <w:spacing w:before="60" w:after="60"/>
              <w:jc w:val="left"/>
            </w:pPr>
            <w:r/>
            <w:r>
              <w:rPr>
                <w:rFonts w:ascii="Calibri" w:hAnsi="Calibri"/>
                <w:b w:val="0"/>
                <w:color w:val="333333"/>
                <w:sz w:val="19"/>
              </w:rPr>
              <w:t>High-performance async REST API</w:t>
            </w:r>
          </w:p>
        </w:tc>
        <w:tc>
          <w:tcPr>
            <w:tcW w:type="dxa" w:w="1152"/>
            <w:vAlign w:val="center"/>
          </w:tcPr>
          <w:p>
            <w:pPr>
              <w:spacing w:before="60" w:after="60"/>
              <w:jc w:val="left"/>
            </w:pPr>
            <w:r/>
            <w:r>
              <w:rPr>
                <w:rFonts w:ascii="Calibri" w:hAnsi="Calibri"/>
                <w:b w:val="0"/>
                <w:color w:val="333333"/>
                <w:sz w:val="19"/>
              </w:rPr>
              <w:t>0.115+</w:t>
            </w:r>
          </w:p>
        </w:tc>
      </w:tr>
      <w:tr>
        <w:tc>
          <w:tcPr>
            <w:tcW w:type="dxa" w:w="2016"/>
            <w:shd w:fill="EDF2F7"/>
            <w:vAlign w:val="center"/>
          </w:tcPr>
          <w:p>
            <w:pPr>
              <w:spacing w:before="60" w:after="60"/>
              <w:jc w:val="left"/>
            </w:pPr>
            <w:r/>
            <w:r>
              <w:rPr>
                <w:rFonts w:ascii="Calibri" w:hAnsi="Calibri"/>
                <w:b w:val="0"/>
                <w:color w:val="333333"/>
                <w:sz w:val="19"/>
              </w:rPr>
              <w:t>Model Serving</w:t>
            </w:r>
          </w:p>
        </w:tc>
        <w:tc>
          <w:tcPr>
            <w:tcW w:type="dxa" w:w="1872"/>
            <w:shd w:fill="EDF2F7"/>
            <w:vAlign w:val="center"/>
          </w:tcPr>
          <w:p>
            <w:pPr>
              <w:spacing w:before="60" w:after="60"/>
              <w:jc w:val="left"/>
            </w:pPr>
            <w:r/>
            <w:r>
              <w:rPr>
                <w:rFonts w:ascii="Calibri" w:hAnsi="Calibri"/>
                <w:b w:val="0"/>
                <w:color w:val="333333"/>
                <w:sz w:val="19"/>
              </w:rPr>
              <w:t>vLLM</w:t>
            </w:r>
          </w:p>
        </w:tc>
        <w:tc>
          <w:tcPr>
            <w:tcW w:type="dxa" w:w="3600"/>
            <w:shd w:fill="EDF2F7"/>
            <w:vAlign w:val="center"/>
          </w:tcPr>
          <w:p>
            <w:pPr>
              <w:spacing w:before="60" w:after="60"/>
              <w:jc w:val="left"/>
            </w:pPr>
            <w:r/>
            <w:r>
              <w:rPr>
                <w:rFonts w:ascii="Calibri" w:hAnsi="Calibri"/>
                <w:b w:val="0"/>
                <w:color w:val="333333"/>
                <w:sz w:val="19"/>
              </w:rPr>
              <w:t>Efficient LLM inference engine</w:t>
            </w:r>
          </w:p>
        </w:tc>
        <w:tc>
          <w:tcPr>
            <w:tcW w:type="dxa" w:w="1152"/>
            <w:shd w:fill="EDF2F7"/>
            <w:vAlign w:val="center"/>
          </w:tcPr>
          <w:p>
            <w:pPr>
              <w:spacing w:before="60" w:after="60"/>
              <w:jc w:val="left"/>
            </w:pPr>
            <w:r/>
            <w:r>
              <w:rPr>
                <w:rFonts w:ascii="Calibri" w:hAnsi="Calibri"/>
                <w:b w:val="0"/>
                <w:color w:val="333333"/>
                <w:sz w:val="19"/>
              </w:rPr>
              <w:t>0.6+</w:t>
            </w:r>
          </w:p>
        </w:tc>
      </w:tr>
      <w:tr>
        <w:tc>
          <w:tcPr>
            <w:tcW w:type="dxa" w:w="2016"/>
            <w:vAlign w:val="center"/>
          </w:tcPr>
          <w:p>
            <w:pPr>
              <w:spacing w:before="60" w:after="60"/>
              <w:jc w:val="left"/>
            </w:pPr>
            <w:r/>
            <w:r>
              <w:rPr>
                <w:rFonts w:ascii="Calibri" w:hAnsi="Calibri"/>
                <w:b w:val="0"/>
                <w:color w:val="333333"/>
                <w:sz w:val="19"/>
              </w:rPr>
              <w:t>Primary LLM</w:t>
            </w:r>
          </w:p>
        </w:tc>
        <w:tc>
          <w:tcPr>
            <w:tcW w:type="dxa" w:w="1872"/>
            <w:vAlign w:val="center"/>
          </w:tcPr>
          <w:p>
            <w:pPr>
              <w:spacing w:before="60" w:after="60"/>
              <w:jc w:val="left"/>
            </w:pPr>
            <w:r/>
            <w:r>
              <w:rPr>
                <w:rFonts w:ascii="Calibri" w:hAnsi="Calibri"/>
                <w:b w:val="0"/>
                <w:color w:val="333333"/>
                <w:sz w:val="19"/>
              </w:rPr>
              <w:t>Qwen 2.5 72B</w:t>
            </w:r>
          </w:p>
        </w:tc>
        <w:tc>
          <w:tcPr>
            <w:tcW w:type="dxa" w:w="3600"/>
            <w:vAlign w:val="center"/>
          </w:tcPr>
          <w:p>
            <w:pPr>
              <w:spacing w:before="60" w:after="60"/>
              <w:jc w:val="left"/>
            </w:pPr>
            <w:r/>
            <w:r>
              <w:rPr>
                <w:rFonts w:ascii="Calibri" w:hAnsi="Calibri"/>
                <w:b w:val="0"/>
                <w:color w:val="333333"/>
                <w:sz w:val="19"/>
              </w:rPr>
              <w:t>Main conversational model</w:t>
            </w:r>
          </w:p>
        </w:tc>
        <w:tc>
          <w:tcPr>
            <w:tcW w:type="dxa" w:w="1152"/>
            <w:vAlign w:val="center"/>
          </w:tcPr>
          <w:p>
            <w:pPr>
              <w:spacing w:before="60" w:after="60"/>
              <w:jc w:val="left"/>
            </w:pPr>
            <w:r/>
            <w:r>
              <w:rPr>
                <w:rFonts w:ascii="Calibri" w:hAnsi="Calibri"/>
                <w:b w:val="0"/>
                <w:color w:val="333333"/>
                <w:sz w:val="19"/>
              </w:rPr>
              <w:t>2.5</w:t>
            </w:r>
          </w:p>
        </w:tc>
      </w:tr>
      <w:tr>
        <w:tc>
          <w:tcPr>
            <w:tcW w:type="dxa" w:w="2016"/>
            <w:shd w:fill="EDF2F7"/>
            <w:vAlign w:val="center"/>
          </w:tcPr>
          <w:p>
            <w:pPr>
              <w:spacing w:before="60" w:after="60"/>
              <w:jc w:val="left"/>
            </w:pPr>
            <w:r/>
            <w:r>
              <w:rPr>
                <w:rFonts w:ascii="Calibri" w:hAnsi="Calibri"/>
                <w:b w:val="0"/>
                <w:color w:val="333333"/>
                <w:sz w:val="19"/>
              </w:rPr>
              <w:t>Vector Database</w:t>
            </w:r>
          </w:p>
        </w:tc>
        <w:tc>
          <w:tcPr>
            <w:tcW w:type="dxa" w:w="1872"/>
            <w:shd w:fill="EDF2F7"/>
            <w:vAlign w:val="center"/>
          </w:tcPr>
          <w:p>
            <w:pPr>
              <w:spacing w:before="60" w:after="60"/>
              <w:jc w:val="left"/>
            </w:pPr>
            <w:r/>
            <w:r>
              <w:rPr>
                <w:rFonts w:ascii="Calibri" w:hAnsi="Calibri"/>
                <w:b w:val="0"/>
                <w:color w:val="333333"/>
                <w:sz w:val="19"/>
              </w:rPr>
              <w:t>Qdrant</w:t>
            </w:r>
          </w:p>
        </w:tc>
        <w:tc>
          <w:tcPr>
            <w:tcW w:type="dxa" w:w="3600"/>
            <w:shd w:fill="EDF2F7"/>
            <w:vAlign w:val="center"/>
          </w:tcPr>
          <w:p>
            <w:pPr>
              <w:spacing w:before="60" w:after="60"/>
              <w:jc w:val="left"/>
            </w:pPr>
            <w:r/>
            <w:r>
              <w:rPr>
                <w:rFonts w:ascii="Calibri" w:hAnsi="Calibri"/>
                <w:b w:val="0"/>
                <w:color w:val="333333"/>
                <w:sz w:val="19"/>
              </w:rPr>
              <w:t>Semantic search &amp; embeddings</w:t>
            </w:r>
          </w:p>
        </w:tc>
        <w:tc>
          <w:tcPr>
            <w:tcW w:type="dxa" w:w="1152"/>
            <w:shd w:fill="EDF2F7"/>
            <w:vAlign w:val="center"/>
          </w:tcPr>
          <w:p>
            <w:pPr>
              <w:spacing w:before="60" w:after="60"/>
              <w:jc w:val="left"/>
            </w:pPr>
            <w:r/>
            <w:r>
              <w:rPr>
                <w:rFonts w:ascii="Calibri" w:hAnsi="Calibri"/>
                <w:b w:val="0"/>
                <w:color w:val="333333"/>
                <w:sz w:val="19"/>
              </w:rPr>
              <w:t>1.12+</w:t>
            </w:r>
          </w:p>
        </w:tc>
      </w:tr>
      <w:tr>
        <w:tc>
          <w:tcPr>
            <w:tcW w:type="dxa" w:w="2016"/>
            <w:vAlign w:val="center"/>
          </w:tcPr>
          <w:p>
            <w:pPr>
              <w:spacing w:before="60" w:after="60"/>
              <w:jc w:val="left"/>
            </w:pPr>
            <w:r/>
            <w:r>
              <w:rPr>
                <w:rFonts w:ascii="Calibri" w:hAnsi="Calibri"/>
                <w:b w:val="0"/>
                <w:color w:val="333333"/>
                <w:sz w:val="19"/>
              </w:rPr>
              <w:t>Cache Layer</w:t>
            </w:r>
          </w:p>
        </w:tc>
        <w:tc>
          <w:tcPr>
            <w:tcW w:type="dxa" w:w="1872"/>
            <w:vAlign w:val="center"/>
          </w:tcPr>
          <w:p>
            <w:pPr>
              <w:spacing w:before="60" w:after="60"/>
              <w:jc w:val="left"/>
            </w:pPr>
            <w:r/>
            <w:r>
              <w:rPr>
                <w:rFonts w:ascii="Calibri" w:hAnsi="Calibri"/>
                <w:b w:val="0"/>
                <w:color w:val="333333"/>
                <w:sz w:val="19"/>
              </w:rPr>
              <w:t>Redis</w:t>
            </w:r>
          </w:p>
        </w:tc>
        <w:tc>
          <w:tcPr>
            <w:tcW w:type="dxa" w:w="3600"/>
            <w:vAlign w:val="center"/>
          </w:tcPr>
          <w:p>
            <w:pPr>
              <w:spacing w:before="60" w:after="60"/>
              <w:jc w:val="left"/>
            </w:pPr>
            <w:r/>
            <w:r>
              <w:rPr>
                <w:rFonts w:ascii="Calibri" w:hAnsi="Calibri"/>
                <w:b w:val="0"/>
                <w:color w:val="333333"/>
                <w:sz w:val="19"/>
              </w:rPr>
              <w:t>Caching, sessions, queues</w:t>
            </w:r>
          </w:p>
        </w:tc>
        <w:tc>
          <w:tcPr>
            <w:tcW w:type="dxa" w:w="1152"/>
            <w:vAlign w:val="center"/>
          </w:tcPr>
          <w:p>
            <w:pPr>
              <w:spacing w:before="60" w:after="60"/>
              <w:jc w:val="left"/>
            </w:pPr>
            <w:r/>
            <w:r>
              <w:rPr>
                <w:rFonts w:ascii="Calibri" w:hAnsi="Calibri"/>
                <w:b w:val="0"/>
                <w:color w:val="333333"/>
                <w:sz w:val="19"/>
              </w:rPr>
              <w:t>7.2+</w:t>
            </w:r>
          </w:p>
        </w:tc>
      </w:tr>
      <w:tr>
        <w:tc>
          <w:tcPr>
            <w:tcW w:type="dxa" w:w="2016"/>
            <w:shd w:fill="EDF2F7"/>
            <w:vAlign w:val="center"/>
          </w:tcPr>
          <w:p>
            <w:pPr>
              <w:spacing w:before="60" w:after="60"/>
              <w:jc w:val="left"/>
            </w:pPr>
            <w:r/>
            <w:r>
              <w:rPr>
                <w:rFonts w:ascii="Calibri" w:hAnsi="Calibri"/>
                <w:b w:val="0"/>
                <w:color w:val="333333"/>
                <w:sz w:val="19"/>
              </w:rPr>
              <w:t>Frontend</w:t>
            </w:r>
          </w:p>
        </w:tc>
        <w:tc>
          <w:tcPr>
            <w:tcW w:type="dxa" w:w="1872"/>
            <w:shd w:fill="EDF2F7"/>
            <w:vAlign w:val="center"/>
          </w:tcPr>
          <w:p>
            <w:pPr>
              <w:spacing w:before="60" w:after="60"/>
              <w:jc w:val="left"/>
            </w:pPr>
            <w:r/>
            <w:r>
              <w:rPr>
                <w:rFonts w:ascii="Calibri" w:hAnsi="Calibri"/>
                <w:b w:val="0"/>
                <w:color w:val="333333"/>
                <w:sz w:val="19"/>
              </w:rPr>
              <w:t>Next.js</w:t>
            </w:r>
          </w:p>
        </w:tc>
        <w:tc>
          <w:tcPr>
            <w:tcW w:type="dxa" w:w="3600"/>
            <w:shd w:fill="EDF2F7"/>
            <w:vAlign w:val="center"/>
          </w:tcPr>
          <w:p>
            <w:pPr>
              <w:spacing w:before="60" w:after="60"/>
              <w:jc w:val="left"/>
            </w:pPr>
            <w:r/>
            <w:r>
              <w:rPr>
                <w:rFonts w:ascii="Calibri" w:hAnsi="Calibri"/>
                <w:b w:val="0"/>
                <w:color w:val="333333"/>
                <w:sz w:val="19"/>
              </w:rPr>
              <w:t>Dashboard &amp; playground UI</w:t>
            </w:r>
          </w:p>
        </w:tc>
        <w:tc>
          <w:tcPr>
            <w:tcW w:type="dxa" w:w="1152"/>
            <w:shd w:fill="EDF2F7"/>
            <w:vAlign w:val="center"/>
          </w:tcPr>
          <w:p>
            <w:pPr>
              <w:spacing w:before="60" w:after="60"/>
              <w:jc w:val="left"/>
            </w:pPr>
            <w:r/>
            <w:r>
              <w:rPr>
                <w:rFonts w:ascii="Calibri" w:hAnsi="Calibri"/>
                <w:b w:val="0"/>
                <w:color w:val="333333"/>
                <w:sz w:val="19"/>
              </w:rPr>
              <w:t>15+</w:t>
            </w:r>
          </w:p>
        </w:tc>
      </w:tr>
      <w:tr>
        <w:tc>
          <w:tcPr>
            <w:tcW w:type="dxa" w:w="2016"/>
            <w:vAlign w:val="center"/>
          </w:tcPr>
          <w:p>
            <w:pPr>
              <w:spacing w:before="60" w:after="60"/>
              <w:jc w:val="left"/>
            </w:pPr>
            <w:r/>
            <w:r>
              <w:rPr>
                <w:rFonts w:ascii="Calibri" w:hAnsi="Calibri"/>
                <w:b w:val="0"/>
                <w:color w:val="333333"/>
                <w:sz w:val="19"/>
              </w:rPr>
              <w:t>Database</w:t>
            </w:r>
          </w:p>
        </w:tc>
        <w:tc>
          <w:tcPr>
            <w:tcW w:type="dxa" w:w="1872"/>
            <w:vAlign w:val="center"/>
          </w:tcPr>
          <w:p>
            <w:pPr>
              <w:spacing w:before="60" w:after="60"/>
              <w:jc w:val="left"/>
            </w:pPr>
            <w:r/>
            <w:r>
              <w:rPr>
                <w:rFonts w:ascii="Calibri" w:hAnsi="Calibri"/>
                <w:b w:val="0"/>
                <w:color w:val="333333"/>
                <w:sz w:val="19"/>
              </w:rPr>
              <w:t>PostgreSQL</w:t>
            </w:r>
          </w:p>
        </w:tc>
        <w:tc>
          <w:tcPr>
            <w:tcW w:type="dxa" w:w="3600"/>
            <w:vAlign w:val="center"/>
          </w:tcPr>
          <w:p>
            <w:pPr>
              <w:spacing w:before="60" w:after="60"/>
              <w:jc w:val="left"/>
            </w:pPr>
            <w:r/>
            <w:r>
              <w:rPr>
                <w:rFonts w:ascii="Calibri" w:hAnsi="Calibri"/>
                <w:b w:val="0"/>
                <w:color w:val="333333"/>
                <w:sz w:val="19"/>
              </w:rPr>
              <w:t>Relational data storage</w:t>
            </w:r>
          </w:p>
        </w:tc>
        <w:tc>
          <w:tcPr>
            <w:tcW w:type="dxa" w:w="1152"/>
            <w:vAlign w:val="center"/>
          </w:tcPr>
          <w:p>
            <w:pPr>
              <w:spacing w:before="60" w:after="60"/>
              <w:jc w:val="left"/>
            </w:pPr>
            <w:r/>
            <w:r>
              <w:rPr>
                <w:rFonts w:ascii="Calibri" w:hAnsi="Calibri"/>
                <w:b w:val="0"/>
                <w:color w:val="333333"/>
                <w:sz w:val="19"/>
              </w:rPr>
              <w:t>16+</w:t>
            </w:r>
          </w:p>
        </w:tc>
      </w:tr>
      <w:tr>
        <w:tc>
          <w:tcPr>
            <w:tcW w:type="dxa" w:w="2016"/>
            <w:shd w:fill="EDF2F7"/>
            <w:vAlign w:val="center"/>
          </w:tcPr>
          <w:p>
            <w:pPr>
              <w:spacing w:before="60" w:after="60"/>
              <w:jc w:val="left"/>
            </w:pPr>
            <w:r/>
            <w:r>
              <w:rPr>
                <w:rFonts w:ascii="Calibri" w:hAnsi="Calibri"/>
                <w:b w:val="0"/>
                <w:color w:val="333333"/>
                <w:sz w:val="19"/>
              </w:rPr>
              <w:t>Containerization</w:t>
            </w:r>
          </w:p>
        </w:tc>
        <w:tc>
          <w:tcPr>
            <w:tcW w:type="dxa" w:w="1872"/>
            <w:shd w:fill="EDF2F7"/>
            <w:vAlign w:val="center"/>
          </w:tcPr>
          <w:p>
            <w:pPr>
              <w:spacing w:before="60" w:after="60"/>
              <w:jc w:val="left"/>
            </w:pPr>
            <w:r/>
            <w:r>
              <w:rPr>
                <w:rFonts w:ascii="Calibri" w:hAnsi="Calibri"/>
                <w:b w:val="0"/>
                <w:color w:val="333333"/>
                <w:sz w:val="19"/>
              </w:rPr>
              <w:t>Docker + K8s</w:t>
            </w:r>
          </w:p>
        </w:tc>
        <w:tc>
          <w:tcPr>
            <w:tcW w:type="dxa" w:w="3600"/>
            <w:shd w:fill="EDF2F7"/>
            <w:vAlign w:val="center"/>
          </w:tcPr>
          <w:p>
            <w:pPr>
              <w:spacing w:before="60" w:after="60"/>
              <w:jc w:val="left"/>
            </w:pPr>
            <w:r/>
            <w:r>
              <w:rPr>
                <w:rFonts w:ascii="Calibri" w:hAnsi="Calibri"/>
                <w:b w:val="0"/>
                <w:color w:val="333333"/>
                <w:sz w:val="19"/>
              </w:rPr>
              <w:t>Deployment &amp; orchestration</w:t>
            </w:r>
          </w:p>
        </w:tc>
        <w:tc>
          <w:tcPr>
            <w:tcW w:type="dxa" w:w="1152"/>
            <w:shd w:fill="EDF2F7"/>
            <w:vAlign w:val="center"/>
          </w:tcPr>
          <w:p>
            <w:pPr>
              <w:spacing w:before="60" w:after="60"/>
              <w:jc w:val="left"/>
            </w:pPr>
            <w:r/>
            <w:r>
              <w:rPr>
                <w:rFonts w:ascii="Calibri" w:hAnsi="Calibri"/>
                <w:b w:val="0"/>
                <w:color w:val="333333"/>
                <w:sz w:val="19"/>
              </w:rPr>
              <w:t>Latest</w:t>
            </w:r>
          </w:p>
        </w:tc>
      </w:tr>
      <w:tr>
        <w:tc>
          <w:tcPr>
            <w:tcW w:type="dxa" w:w="2016"/>
            <w:vAlign w:val="center"/>
          </w:tcPr>
          <w:p>
            <w:pPr>
              <w:spacing w:before="60" w:after="60"/>
              <w:jc w:val="left"/>
            </w:pPr>
            <w:r/>
            <w:r>
              <w:rPr>
                <w:rFonts w:ascii="Calibri" w:hAnsi="Calibri"/>
                <w:b w:val="0"/>
                <w:color w:val="333333"/>
                <w:sz w:val="19"/>
              </w:rPr>
              <w:t>Embeddings</w:t>
            </w:r>
          </w:p>
        </w:tc>
        <w:tc>
          <w:tcPr>
            <w:tcW w:type="dxa" w:w="1872"/>
            <w:vAlign w:val="center"/>
          </w:tcPr>
          <w:p>
            <w:pPr>
              <w:spacing w:before="60" w:after="60"/>
              <w:jc w:val="left"/>
            </w:pPr>
            <w:r/>
            <w:r>
              <w:rPr>
                <w:rFonts w:ascii="Calibri" w:hAnsi="Calibri"/>
                <w:b w:val="0"/>
                <w:color w:val="333333"/>
                <w:sz w:val="19"/>
              </w:rPr>
              <w:t>Qwen Embeddings</w:t>
            </w:r>
          </w:p>
        </w:tc>
        <w:tc>
          <w:tcPr>
            <w:tcW w:type="dxa" w:w="3600"/>
            <w:vAlign w:val="center"/>
          </w:tcPr>
          <w:p>
            <w:pPr>
              <w:spacing w:before="60" w:after="60"/>
              <w:jc w:val="left"/>
            </w:pPr>
            <w:r/>
            <w:r>
              <w:rPr>
                <w:rFonts w:ascii="Calibri" w:hAnsi="Calibri"/>
                <w:b w:val="0"/>
                <w:color w:val="333333"/>
                <w:sz w:val="19"/>
              </w:rPr>
              <w:t>Document vectorization</w:t>
            </w:r>
          </w:p>
        </w:tc>
        <w:tc>
          <w:tcPr>
            <w:tcW w:type="dxa" w:w="1152"/>
            <w:vAlign w:val="center"/>
          </w:tcPr>
          <w:p>
            <w:pPr>
              <w:spacing w:before="60" w:after="60"/>
              <w:jc w:val="left"/>
            </w:pPr>
            <w:r/>
            <w:r>
              <w:rPr>
                <w:rFonts w:ascii="Calibri" w:hAnsi="Calibri"/>
                <w:b w:val="0"/>
                <w:color w:val="333333"/>
                <w:sz w:val="19"/>
              </w:rPr>
              <w:t>2.5</w:t>
            </w:r>
          </w:p>
        </w:tc>
      </w:tr>
      <w:tr>
        <w:tc>
          <w:tcPr>
            <w:tcW w:type="dxa" w:w="2016"/>
            <w:shd w:fill="EDF2F7"/>
            <w:vAlign w:val="center"/>
          </w:tcPr>
          <w:p>
            <w:pPr>
              <w:spacing w:before="60" w:after="60"/>
              <w:jc w:val="left"/>
            </w:pPr>
            <w:r/>
            <w:r>
              <w:rPr>
                <w:rFonts w:ascii="Calibri" w:hAnsi="Calibri"/>
                <w:b w:val="0"/>
                <w:color w:val="333333"/>
                <w:sz w:val="19"/>
              </w:rPr>
              <w:t>Message Queue</w:t>
            </w:r>
          </w:p>
        </w:tc>
        <w:tc>
          <w:tcPr>
            <w:tcW w:type="dxa" w:w="1872"/>
            <w:shd w:fill="EDF2F7"/>
            <w:vAlign w:val="center"/>
          </w:tcPr>
          <w:p>
            <w:pPr>
              <w:spacing w:before="60" w:after="60"/>
              <w:jc w:val="left"/>
            </w:pPr>
            <w:r/>
            <w:r>
              <w:rPr>
                <w:rFonts w:ascii="Calibri" w:hAnsi="Calibri"/>
                <w:b w:val="0"/>
                <w:color w:val="333333"/>
                <w:sz w:val="19"/>
              </w:rPr>
              <w:t>Redis Streams</w:t>
            </w:r>
          </w:p>
        </w:tc>
        <w:tc>
          <w:tcPr>
            <w:tcW w:type="dxa" w:w="3600"/>
            <w:shd w:fill="EDF2F7"/>
            <w:vAlign w:val="center"/>
          </w:tcPr>
          <w:p>
            <w:pPr>
              <w:spacing w:before="60" w:after="60"/>
              <w:jc w:val="left"/>
            </w:pPr>
            <w:r/>
            <w:r>
              <w:rPr>
                <w:rFonts w:ascii="Calibri" w:hAnsi="Calibri"/>
                <w:b w:val="0"/>
                <w:color w:val="333333"/>
                <w:sz w:val="19"/>
              </w:rPr>
              <w:t>Async task processing</w:t>
            </w:r>
          </w:p>
        </w:tc>
        <w:tc>
          <w:tcPr>
            <w:tcW w:type="dxa" w:w="1152"/>
            <w:shd w:fill="EDF2F7"/>
            <w:vAlign w:val="center"/>
          </w:tcPr>
          <w:p>
            <w:pPr>
              <w:spacing w:before="60" w:after="60"/>
              <w:jc w:val="left"/>
            </w:pPr>
            <w:r/>
            <w:r>
              <w:rPr>
                <w:rFonts w:ascii="Calibri" w:hAnsi="Calibri"/>
                <w:b w:val="0"/>
                <w:color w:val="333333"/>
                <w:sz w:val="19"/>
              </w:rPr>
              <w:t>7.2+</w:t>
            </w:r>
          </w:p>
        </w:tc>
      </w:tr>
    </w:tbl>
    <w:p>
      <w:pPr>
        <w:spacing w:before="80"/>
      </w:pPr>
      <w:r>
        <w:rPr>
          <w:i/>
          <w:color w:val="666666"/>
          <w:sz w:val="18"/>
        </w:rPr>
        <w:t>Table 1: Core Technology Stack Overview</w:t>
      </w:r>
    </w:p>
    <w:p>
      <w:pPr>
        <w:pStyle w:val="Heading2"/>
      </w:pPr>
      <w:r>
        <w:t>4.3 Model Serving Strategy</w:t>
      </w:r>
    </w:p>
    <w:p>
      <w:r>
        <w:rPr>
          <w:rFonts w:ascii="Calibri" w:hAnsi="Calibri"/>
          <w:color w:val="333333"/>
          <w:sz w:val="22"/>
        </w:rPr>
        <w:t>Model serving is the most computationally intensive component of the NexusAI platform and requires careful architectural decisions to balance quality, latency, and cost. NexusAI uses vLLM as its model serving engine, which provides significant performance improvements over naive serving approaches through techniques like PagedAttention for efficient memory management, continuous batching for high throughput, and speculative decoding for reduced latency. The primary model, Qwen 2.5 72B, requires approximately 145 GB of GPU memory in FP16 precision or 72 GB in INT8 quantized mode, making it deployable on a single NVIDIA A100 80GB GPU with quantization or across two GPUs without quantization.</w:t>
      </w:r>
    </w:p>
    <w:p>
      <w:r>
        <w:rPr>
          <w:rFonts w:ascii="Calibri" w:hAnsi="Calibri"/>
          <w:color w:val="333333"/>
          <w:sz w:val="22"/>
        </w:rPr>
        <w:t>The deployment strategy employs a tiered serving approach. The production cluster runs multiple model instances behind a load balancer, with auto-scaling based on request queue depth and GPU utilization. For the free tier, quantized models serve the majority of requests, with full-precision models available during off-peak hours. Premium and enterprise users have access to dedicated model instances that guarantee consistent latency regardless of overall system load. The multi-model routing system selects the appropriate model instance based on the user tier, request complexity, and current system conditions. This approach allows NexusAI to serve a large number of free users efficiently while ensuring premium users receive the highest quality service.</w:t>
      </w:r>
    </w:p>
    <w:p>
      <w:pPr>
        <w:pStyle w:val="Heading2"/>
      </w:pPr>
      <w:r>
        <w:t>4.4 Deployment &amp; Infrastructure</w:t>
      </w:r>
    </w:p>
    <w:p>
      <w:r>
        <w:rPr>
          <w:rFonts w:ascii="Calibri" w:hAnsi="Calibri"/>
          <w:color w:val="333333"/>
          <w:sz w:val="22"/>
        </w:rPr>
        <w:t>NexusAI is designed for flexible deployment across multiple infrastructure environments. The primary deployment target is cloud infrastructure using GPU-optimized instances from providers such as RunPod, Lambda Labs, or AWS. For organizations with data sovereignty requirements, NexusAI offers an on-premise deployment option that includes Docker Compose configurations for single-server deployments and Kubernetes Helm charts for distributed deployments. The infrastructure is managed through Infrastructure-as-Code using Terraform, enabling reproducible environments and streamlined scaling operations. Monitoring is implemented through Prometheus and Grafana dashboards that provide real-time visibility into system health, request latency, error rates, GPU utilization, and cost metrics. Automated alerting ensures that the operations team is immediately notified of any issues that could impact service availability or performance.</w:t>
      </w:r>
    </w:p>
    <w:p>
      <w:r>
        <w:br w:type="page"/>
      </w:r>
    </w:p>
    <w:p>
      <w:pPr>
        <w:pStyle w:val="Heading1"/>
      </w:pPr>
      <w:r>
        <w:t>5. Business Model &amp; Revenue Strategy</w:t>
      </w:r>
    </w:p>
    <w:p>
      <w:pPr>
        <w:pStyle w:val="Heading2"/>
      </w:pPr>
      <w:r>
        <w:t>5.1 Revenue Streams Overview</w:t>
      </w:r>
    </w:p>
    <w:p>
      <w:r>
        <w:rPr>
          <w:rFonts w:ascii="Calibri" w:hAnsi="Calibri"/>
          <w:color w:val="333333"/>
          <w:sz w:val="22"/>
        </w:rPr>
        <w:t>NexusAI employs a multi-stream revenue model designed to balance accessibility with financial sustainability. The core philosophy is that basic AI capabilities should be freely available to everyone, while advanced features, enterprise requirements, and value-added services generate revenue to fund ongoing development and infrastructure costs. This approach mirrors the successful freemium models of companies like GitHub, Slack, and MongoDB, which built massive user bases through free tiers before converting a percentage to paid plans. NexusAI targets a 3-5% free-to-paid conversion rate, which is consistent with industry benchmarks for developer tools.</w:t>
      </w:r>
    </w:p>
    <w:p>
      <w:r>
        <w:rPr>
          <w:rFonts w:ascii="Calibri" w:hAnsi="Calibri"/>
          <w:color w:val="333333"/>
          <w:sz w:val="22"/>
        </w:rPr>
        <w:t>The revenue model consists of four primary streams: Premium Subscriptions, Enterprise Licensing, Agent Marketplace transaction fees, and Consulting Services. Each stream is designed to capture value at different levels of the market, from individual developers willing to pay a modest monthly fee for enhanced capabilities, to large organizations that require enterprise-grade features and support. The following sections detail each revenue stream, including pricing structure, target customers, and projected contribution to overall revenue.</w:t>
      </w:r>
    </w:p>
    <w:p>
      <w:pPr>
        <w:pStyle w:val="Heading2"/>
      </w:pPr>
      <w:r>
        <w:t>5.2 Pricing Tiers</w:t>
      </w:r>
    </w:p>
    <w:tbl>
      <w:tblPr>
        <w:tblStyle w:val="TableGrid"/>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340"/>
        <w:gridCol w:w="2340"/>
        <w:gridCol w:w="2340"/>
        <w:gridCol w:w="2340"/>
      </w:tblGrid>
      <w:tr>
        <w:tc>
          <w:tcPr>
            <w:tcW w:type="dxa" w:w="2160"/>
            <w:shd w:fill="1A2744"/>
            <w:vAlign w:val="center"/>
          </w:tcPr>
          <w:p>
            <w:pPr>
              <w:spacing w:before="60" w:after="60"/>
              <w:jc w:val="center"/>
            </w:pPr>
            <w:r/>
            <w:r>
              <w:rPr>
                <w:rFonts w:ascii="Calibri" w:hAnsi="Calibri"/>
                <w:b/>
                <w:color w:val="FFFFFF"/>
                <w:sz w:val="20"/>
              </w:rPr>
              <w:t>Feature</w:t>
            </w:r>
          </w:p>
        </w:tc>
        <w:tc>
          <w:tcPr>
            <w:tcW w:type="dxa" w:w="2160"/>
            <w:shd w:fill="1A2744"/>
            <w:vAlign w:val="center"/>
          </w:tcPr>
          <w:p>
            <w:pPr>
              <w:spacing w:before="60" w:after="60"/>
              <w:jc w:val="center"/>
            </w:pPr>
            <w:r/>
            <w:r>
              <w:rPr>
                <w:rFonts w:ascii="Calibri" w:hAnsi="Calibri"/>
                <w:b/>
                <w:color w:val="FFFFFF"/>
                <w:sz w:val="20"/>
              </w:rPr>
              <w:t>Free Tier</w:t>
            </w:r>
          </w:p>
        </w:tc>
        <w:tc>
          <w:tcPr>
            <w:tcW w:type="dxa" w:w="2592"/>
            <w:shd w:fill="1A2744"/>
            <w:vAlign w:val="center"/>
          </w:tcPr>
          <w:p>
            <w:pPr>
              <w:spacing w:before="60" w:after="60"/>
              <w:jc w:val="center"/>
            </w:pPr>
            <w:r/>
            <w:r>
              <w:rPr>
                <w:rFonts w:ascii="Calibri" w:hAnsi="Calibri"/>
                <w:b/>
                <w:color w:val="FFFFFF"/>
                <w:sz w:val="20"/>
              </w:rPr>
              <w:t>Premium ($19/mo)</w:t>
            </w:r>
          </w:p>
        </w:tc>
        <w:tc>
          <w:tcPr>
            <w:tcW w:type="dxa" w:w="2592"/>
            <w:shd w:fill="1A2744"/>
            <w:vAlign w:val="center"/>
          </w:tcPr>
          <w:p>
            <w:pPr>
              <w:spacing w:before="60" w:after="60"/>
              <w:jc w:val="center"/>
            </w:pPr>
            <w:r/>
            <w:r>
              <w:rPr>
                <w:rFonts w:ascii="Calibri" w:hAnsi="Calibri"/>
                <w:b/>
                <w:color w:val="FFFFFF"/>
                <w:sz w:val="20"/>
              </w:rPr>
              <w:t>Enterprise (Custom)</w:t>
            </w:r>
          </w:p>
        </w:tc>
      </w:tr>
      <w:tr>
        <w:tc>
          <w:tcPr>
            <w:tcW w:type="dxa" w:w="2160"/>
            <w:vAlign w:val="center"/>
          </w:tcPr>
          <w:p>
            <w:pPr>
              <w:spacing w:before="60" w:after="60"/>
              <w:jc w:val="left"/>
            </w:pPr>
            <w:r/>
            <w:r>
              <w:rPr>
                <w:rFonts w:ascii="Calibri" w:hAnsi="Calibri"/>
                <w:b w:val="0"/>
                <w:color w:val="333333"/>
                <w:sz w:val="19"/>
              </w:rPr>
              <w:t>Rate Limit</w:t>
            </w:r>
          </w:p>
        </w:tc>
        <w:tc>
          <w:tcPr>
            <w:tcW w:type="dxa" w:w="2160"/>
            <w:vAlign w:val="center"/>
          </w:tcPr>
          <w:p>
            <w:pPr>
              <w:spacing w:before="60" w:after="60"/>
              <w:jc w:val="left"/>
            </w:pPr>
            <w:r/>
            <w:r>
              <w:rPr>
                <w:rFonts w:ascii="Calibri" w:hAnsi="Calibri"/>
                <w:b w:val="0"/>
                <w:color w:val="333333"/>
                <w:sz w:val="19"/>
              </w:rPr>
              <w:t>60 req/min</w:t>
            </w:r>
          </w:p>
        </w:tc>
        <w:tc>
          <w:tcPr>
            <w:tcW w:type="dxa" w:w="2592"/>
            <w:vAlign w:val="center"/>
          </w:tcPr>
          <w:p>
            <w:pPr>
              <w:spacing w:before="60" w:after="60"/>
              <w:jc w:val="left"/>
            </w:pPr>
            <w:r/>
            <w:r>
              <w:rPr>
                <w:rFonts w:ascii="Calibri" w:hAnsi="Calibri"/>
                <w:b w:val="0"/>
                <w:color w:val="333333"/>
                <w:sz w:val="19"/>
              </w:rPr>
              <w:t>600 req/min</w:t>
            </w:r>
          </w:p>
        </w:tc>
        <w:tc>
          <w:tcPr>
            <w:tcW w:type="dxa" w:w="2592"/>
            <w:vAlign w:val="center"/>
          </w:tcPr>
          <w:p>
            <w:pPr>
              <w:spacing w:before="60" w:after="60"/>
              <w:jc w:val="left"/>
            </w:pPr>
            <w:r/>
            <w:r>
              <w:rPr>
                <w:rFonts w:ascii="Calibri" w:hAnsi="Calibri"/>
                <w:b w:val="0"/>
                <w:color w:val="333333"/>
                <w:sz w:val="19"/>
              </w:rPr>
              <w:t>Unlimited / Custom</w:t>
            </w:r>
          </w:p>
        </w:tc>
      </w:tr>
      <w:tr>
        <w:tc>
          <w:tcPr>
            <w:tcW w:type="dxa" w:w="2160"/>
            <w:shd w:fill="EDF2F7"/>
            <w:vAlign w:val="center"/>
          </w:tcPr>
          <w:p>
            <w:pPr>
              <w:spacing w:before="60" w:after="60"/>
              <w:jc w:val="left"/>
            </w:pPr>
            <w:r/>
            <w:r>
              <w:rPr>
                <w:rFonts w:ascii="Calibri" w:hAnsi="Calibri"/>
                <w:b w:val="0"/>
                <w:color w:val="333333"/>
                <w:sz w:val="19"/>
              </w:rPr>
              <w:t>Model Access</w:t>
            </w:r>
          </w:p>
        </w:tc>
        <w:tc>
          <w:tcPr>
            <w:tcW w:type="dxa" w:w="2160"/>
            <w:shd w:fill="EDF2F7"/>
            <w:vAlign w:val="center"/>
          </w:tcPr>
          <w:p>
            <w:pPr>
              <w:spacing w:before="60" w:after="60"/>
              <w:jc w:val="left"/>
            </w:pPr>
            <w:r/>
            <w:r>
              <w:rPr>
                <w:rFonts w:ascii="Calibri" w:hAnsi="Calibri"/>
                <w:b w:val="0"/>
                <w:color w:val="333333"/>
                <w:sz w:val="19"/>
              </w:rPr>
              <w:t>Qwen 2.5 7B / 14B</w:t>
            </w:r>
          </w:p>
        </w:tc>
        <w:tc>
          <w:tcPr>
            <w:tcW w:type="dxa" w:w="2592"/>
            <w:shd w:fill="EDF2F7"/>
            <w:vAlign w:val="center"/>
          </w:tcPr>
          <w:p>
            <w:pPr>
              <w:spacing w:before="60" w:after="60"/>
              <w:jc w:val="left"/>
            </w:pPr>
            <w:r/>
            <w:r>
              <w:rPr>
                <w:rFonts w:ascii="Calibri" w:hAnsi="Calibri"/>
                <w:b w:val="0"/>
                <w:color w:val="333333"/>
                <w:sz w:val="19"/>
              </w:rPr>
              <w:t>All models incl. 72B</w:t>
            </w:r>
          </w:p>
        </w:tc>
        <w:tc>
          <w:tcPr>
            <w:tcW w:type="dxa" w:w="2592"/>
            <w:shd w:fill="EDF2F7"/>
            <w:vAlign w:val="center"/>
          </w:tcPr>
          <w:p>
            <w:pPr>
              <w:spacing w:before="60" w:after="60"/>
              <w:jc w:val="left"/>
            </w:pPr>
            <w:r/>
            <w:r>
              <w:rPr>
                <w:rFonts w:ascii="Calibri" w:hAnsi="Calibri"/>
                <w:b w:val="0"/>
                <w:color w:val="333333"/>
                <w:sz w:val="19"/>
              </w:rPr>
              <w:t>All models + custom fine-tunes</w:t>
            </w:r>
          </w:p>
        </w:tc>
      </w:tr>
      <w:tr>
        <w:tc>
          <w:tcPr>
            <w:tcW w:type="dxa" w:w="2160"/>
            <w:vAlign w:val="center"/>
          </w:tcPr>
          <w:p>
            <w:pPr>
              <w:spacing w:before="60" w:after="60"/>
              <w:jc w:val="left"/>
            </w:pPr>
            <w:r/>
            <w:r>
              <w:rPr>
                <w:rFonts w:ascii="Calibri" w:hAnsi="Calibri"/>
                <w:b w:val="0"/>
                <w:color w:val="333333"/>
                <w:sz w:val="19"/>
              </w:rPr>
              <w:t>Agent Framework</w:t>
            </w:r>
          </w:p>
        </w:tc>
        <w:tc>
          <w:tcPr>
            <w:tcW w:type="dxa" w:w="2160"/>
            <w:vAlign w:val="center"/>
          </w:tcPr>
          <w:p>
            <w:pPr>
              <w:spacing w:before="60" w:after="60"/>
              <w:jc w:val="left"/>
            </w:pPr>
            <w:r/>
            <w:r>
              <w:rPr>
                <w:rFonts w:ascii="Calibri" w:hAnsi="Calibri"/>
                <w:b w:val="0"/>
                <w:color w:val="333333"/>
                <w:sz w:val="19"/>
              </w:rPr>
              <w:t>Up to 3 agents</w:t>
            </w:r>
          </w:p>
        </w:tc>
        <w:tc>
          <w:tcPr>
            <w:tcW w:type="dxa" w:w="2592"/>
            <w:vAlign w:val="center"/>
          </w:tcPr>
          <w:p>
            <w:pPr>
              <w:spacing w:before="60" w:after="60"/>
              <w:jc w:val="left"/>
            </w:pPr>
            <w:r/>
            <w:r>
              <w:rPr>
                <w:rFonts w:ascii="Calibri" w:hAnsi="Calibri"/>
                <w:b w:val="0"/>
                <w:color w:val="333333"/>
                <w:sz w:val="19"/>
              </w:rPr>
              <w:t>Unlimited agents</w:t>
            </w:r>
          </w:p>
        </w:tc>
        <w:tc>
          <w:tcPr>
            <w:tcW w:type="dxa" w:w="2592"/>
            <w:vAlign w:val="center"/>
          </w:tcPr>
          <w:p>
            <w:pPr>
              <w:spacing w:before="60" w:after="60"/>
              <w:jc w:val="left"/>
            </w:pPr>
            <w:r/>
            <w:r>
              <w:rPr>
                <w:rFonts w:ascii="Calibri" w:hAnsi="Calibri"/>
                <w:b w:val="0"/>
                <w:color w:val="333333"/>
                <w:sz w:val="19"/>
              </w:rPr>
              <w:t>Unlimited + priority execution</w:t>
            </w:r>
          </w:p>
        </w:tc>
      </w:tr>
      <w:tr>
        <w:tc>
          <w:tcPr>
            <w:tcW w:type="dxa" w:w="2160"/>
            <w:shd w:fill="EDF2F7"/>
            <w:vAlign w:val="center"/>
          </w:tcPr>
          <w:p>
            <w:pPr>
              <w:spacing w:before="60" w:after="60"/>
              <w:jc w:val="left"/>
            </w:pPr>
            <w:r/>
            <w:r>
              <w:rPr>
                <w:rFonts w:ascii="Calibri" w:hAnsi="Calibri"/>
                <w:b w:val="0"/>
                <w:color w:val="333333"/>
                <w:sz w:val="19"/>
              </w:rPr>
              <w:t>Memory System</w:t>
            </w:r>
          </w:p>
        </w:tc>
        <w:tc>
          <w:tcPr>
            <w:tcW w:type="dxa" w:w="2160"/>
            <w:shd w:fill="EDF2F7"/>
            <w:vAlign w:val="center"/>
          </w:tcPr>
          <w:p>
            <w:pPr>
              <w:spacing w:before="60" w:after="60"/>
              <w:jc w:val="left"/>
            </w:pPr>
            <w:r/>
            <w:r>
              <w:rPr>
                <w:rFonts w:ascii="Calibri" w:hAnsi="Calibri"/>
                <w:b w:val="0"/>
                <w:color w:val="333333"/>
                <w:sz w:val="19"/>
              </w:rPr>
              <w:t>7-day retention</w:t>
            </w:r>
          </w:p>
        </w:tc>
        <w:tc>
          <w:tcPr>
            <w:tcW w:type="dxa" w:w="2592"/>
            <w:shd w:fill="EDF2F7"/>
            <w:vAlign w:val="center"/>
          </w:tcPr>
          <w:p>
            <w:pPr>
              <w:spacing w:before="60" w:after="60"/>
              <w:jc w:val="left"/>
            </w:pPr>
            <w:r/>
            <w:r>
              <w:rPr>
                <w:rFonts w:ascii="Calibri" w:hAnsi="Calibri"/>
                <w:b w:val="0"/>
                <w:color w:val="333333"/>
                <w:sz w:val="19"/>
              </w:rPr>
              <w:t>90-day retention</w:t>
            </w:r>
          </w:p>
        </w:tc>
        <w:tc>
          <w:tcPr>
            <w:tcW w:type="dxa" w:w="2592"/>
            <w:shd w:fill="EDF2F7"/>
            <w:vAlign w:val="center"/>
          </w:tcPr>
          <w:p>
            <w:pPr>
              <w:spacing w:before="60" w:after="60"/>
              <w:jc w:val="left"/>
            </w:pPr>
            <w:r/>
            <w:r>
              <w:rPr>
                <w:rFonts w:ascii="Calibri" w:hAnsi="Calibri"/>
                <w:b w:val="0"/>
                <w:color w:val="333333"/>
                <w:sz w:val="19"/>
              </w:rPr>
              <w:t>Unlimited retention</w:t>
            </w:r>
          </w:p>
        </w:tc>
      </w:tr>
      <w:tr>
        <w:tc>
          <w:tcPr>
            <w:tcW w:type="dxa" w:w="2160"/>
            <w:vAlign w:val="center"/>
          </w:tcPr>
          <w:p>
            <w:pPr>
              <w:spacing w:before="60" w:after="60"/>
              <w:jc w:val="left"/>
            </w:pPr>
            <w:r/>
            <w:r>
              <w:rPr>
                <w:rFonts w:ascii="Calibri" w:hAnsi="Calibri"/>
                <w:b w:val="0"/>
                <w:color w:val="333333"/>
                <w:sz w:val="19"/>
              </w:rPr>
              <w:t>RAG Pipeline</w:t>
            </w:r>
          </w:p>
        </w:tc>
        <w:tc>
          <w:tcPr>
            <w:tcW w:type="dxa" w:w="2160"/>
            <w:vAlign w:val="center"/>
          </w:tcPr>
          <w:p>
            <w:pPr>
              <w:spacing w:before="60" w:after="60"/>
              <w:jc w:val="left"/>
            </w:pPr>
            <w:r/>
            <w:r>
              <w:rPr>
                <w:rFonts w:ascii="Calibri" w:hAnsi="Calibri"/>
                <w:b w:val="0"/>
                <w:color w:val="333333"/>
                <w:sz w:val="19"/>
              </w:rPr>
              <w:t>Up to 100 documents</w:t>
            </w:r>
          </w:p>
        </w:tc>
        <w:tc>
          <w:tcPr>
            <w:tcW w:type="dxa" w:w="2592"/>
            <w:vAlign w:val="center"/>
          </w:tcPr>
          <w:p>
            <w:pPr>
              <w:spacing w:before="60" w:after="60"/>
              <w:jc w:val="left"/>
            </w:pPr>
            <w:r/>
            <w:r>
              <w:rPr>
                <w:rFonts w:ascii="Calibri" w:hAnsi="Calibri"/>
                <w:b w:val="0"/>
                <w:color w:val="333333"/>
                <w:sz w:val="19"/>
              </w:rPr>
              <w:t>Up to 10,000 documents</w:t>
            </w:r>
          </w:p>
        </w:tc>
        <w:tc>
          <w:tcPr>
            <w:tcW w:type="dxa" w:w="2592"/>
            <w:vAlign w:val="center"/>
          </w:tcPr>
          <w:p>
            <w:pPr>
              <w:spacing w:before="60" w:after="60"/>
              <w:jc w:val="left"/>
            </w:pPr>
            <w:r/>
            <w:r>
              <w:rPr>
                <w:rFonts w:ascii="Calibri" w:hAnsi="Calibri"/>
                <w:b w:val="0"/>
                <w:color w:val="333333"/>
                <w:sz w:val="19"/>
              </w:rPr>
              <w:t>Unlimited + custom pipelines</w:t>
            </w:r>
          </w:p>
        </w:tc>
      </w:tr>
      <w:tr>
        <w:tc>
          <w:tcPr>
            <w:tcW w:type="dxa" w:w="2160"/>
            <w:shd w:fill="EDF2F7"/>
            <w:vAlign w:val="center"/>
          </w:tcPr>
          <w:p>
            <w:pPr>
              <w:spacing w:before="60" w:after="60"/>
              <w:jc w:val="left"/>
            </w:pPr>
            <w:r/>
            <w:r>
              <w:rPr>
                <w:rFonts w:ascii="Calibri" w:hAnsi="Calibri"/>
                <w:b w:val="0"/>
                <w:color w:val="333333"/>
                <w:sz w:val="19"/>
              </w:rPr>
              <w:t>Tool System</w:t>
            </w:r>
          </w:p>
        </w:tc>
        <w:tc>
          <w:tcPr>
            <w:tcW w:type="dxa" w:w="2160"/>
            <w:shd w:fill="EDF2F7"/>
            <w:vAlign w:val="center"/>
          </w:tcPr>
          <w:p>
            <w:pPr>
              <w:spacing w:before="60" w:after="60"/>
              <w:jc w:val="left"/>
            </w:pPr>
            <w:r/>
            <w:r>
              <w:rPr>
                <w:rFonts w:ascii="Calibri" w:hAnsi="Calibri"/>
                <w:b w:val="0"/>
                <w:color w:val="333333"/>
                <w:sz w:val="19"/>
              </w:rPr>
              <w:t>Built-in tools only</w:t>
            </w:r>
          </w:p>
        </w:tc>
        <w:tc>
          <w:tcPr>
            <w:tcW w:type="dxa" w:w="2592"/>
            <w:shd w:fill="EDF2F7"/>
            <w:vAlign w:val="center"/>
          </w:tcPr>
          <w:p>
            <w:pPr>
              <w:spacing w:before="60" w:after="60"/>
              <w:jc w:val="left"/>
            </w:pPr>
            <w:r/>
            <w:r>
              <w:rPr>
                <w:rFonts w:ascii="Calibri" w:hAnsi="Calibri"/>
                <w:b w:val="0"/>
                <w:color w:val="333333"/>
                <w:sz w:val="19"/>
              </w:rPr>
              <w:t>All tools + custom</w:t>
            </w:r>
          </w:p>
        </w:tc>
        <w:tc>
          <w:tcPr>
            <w:tcW w:type="dxa" w:w="2592"/>
            <w:shd w:fill="EDF2F7"/>
            <w:vAlign w:val="center"/>
          </w:tcPr>
          <w:p>
            <w:pPr>
              <w:spacing w:before="60" w:after="60"/>
              <w:jc w:val="left"/>
            </w:pPr>
            <w:r/>
            <w:r>
              <w:rPr>
                <w:rFonts w:ascii="Calibri" w:hAnsi="Calibri"/>
                <w:b w:val="0"/>
                <w:color w:val="333333"/>
                <w:sz w:val="19"/>
              </w:rPr>
              <w:t>All tools + custom + integrations</w:t>
            </w:r>
          </w:p>
        </w:tc>
      </w:tr>
      <w:tr>
        <w:tc>
          <w:tcPr>
            <w:tcW w:type="dxa" w:w="2160"/>
            <w:vAlign w:val="center"/>
          </w:tcPr>
          <w:p>
            <w:pPr>
              <w:spacing w:before="60" w:after="60"/>
              <w:jc w:val="left"/>
            </w:pPr>
            <w:r/>
            <w:r>
              <w:rPr>
                <w:rFonts w:ascii="Calibri" w:hAnsi="Calibri"/>
                <w:b w:val="0"/>
                <w:color w:val="333333"/>
                <w:sz w:val="19"/>
              </w:rPr>
              <w:t>API Access</w:t>
            </w:r>
          </w:p>
        </w:tc>
        <w:tc>
          <w:tcPr>
            <w:tcW w:type="dxa" w:w="2160"/>
            <w:vAlign w:val="center"/>
          </w:tcPr>
          <w:p>
            <w:pPr>
              <w:spacing w:before="60" w:after="60"/>
              <w:jc w:val="left"/>
            </w:pPr>
            <w:r/>
            <w:r>
              <w:rPr>
                <w:rFonts w:ascii="Calibri" w:hAnsi="Calibri"/>
                <w:b w:val="0"/>
                <w:color w:val="333333"/>
                <w:sz w:val="19"/>
              </w:rPr>
              <w:t>Chat API only</w:t>
            </w:r>
          </w:p>
        </w:tc>
        <w:tc>
          <w:tcPr>
            <w:tcW w:type="dxa" w:w="2592"/>
            <w:vAlign w:val="center"/>
          </w:tcPr>
          <w:p>
            <w:pPr>
              <w:spacing w:before="60" w:after="60"/>
              <w:jc w:val="left"/>
            </w:pPr>
            <w:r/>
            <w:r>
              <w:rPr>
                <w:rFonts w:ascii="Calibri" w:hAnsi="Calibri"/>
                <w:b w:val="0"/>
                <w:color w:val="333333"/>
                <w:sz w:val="19"/>
              </w:rPr>
              <w:t>Full API access</w:t>
            </w:r>
          </w:p>
        </w:tc>
        <w:tc>
          <w:tcPr>
            <w:tcW w:type="dxa" w:w="2592"/>
            <w:vAlign w:val="center"/>
          </w:tcPr>
          <w:p>
            <w:pPr>
              <w:spacing w:before="60" w:after="60"/>
              <w:jc w:val="left"/>
            </w:pPr>
            <w:r/>
            <w:r>
              <w:rPr>
                <w:rFonts w:ascii="Calibri" w:hAnsi="Calibri"/>
                <w:b w:val="0"/>
                <w:color w:val="333333"/>
                <w:sz w:val="19"/>
              </w:rPr>
              <w:t>Full API + webhooks</w:t>
            </w:r>
          </w:p>
        </w:tc>
      </w:tr>
      <w:tr>
        <w:tc>
          <w:tcPr>
            <w:tcW w:type="dxa" w:w="2160"/>
            <w:shd w:fill="EDF2F7"/>
            <w:vAlign w:val="center"/>
          </w:tcPr>
          <w:p>
            <w:pPr>
              <w:spacing w:before="60" w:after="60"/>
              <w:jc w:val="left"/>
            </w:pPr>
            <w:r/>
            <w:r>
              <w:rPr>
                <w:rFonts w:ascii="Calibri" w:hAnsi="Calibri"/>
                <w:b w:val="0"/>
                <w:color w:val="333333"/>
                <w:sz w:val="19"/>
              </w:rPr>
              <w:t>Support</w:t>
            </w:r>
          </w:p>
        </w:tc>
        <w:tc>
          <w:tcPr>
            <w:tcW w:type="dxa" w:w="2160"/>
            <w:shd w:fill="EDF2F7"/>
            <w:vAlign w:val="center"/>
          </w:tcPr>
          <w:p>
            <w:pPr>
              <w:spacing w:before="60" w:after="60"/>
              <w:jc w:val="left"/>
            </w:pPr>
            <w:r/>
            <w:r>
              <w:rPr>
                <w:rFonts w:ascii="Calibri" w:hAnsi="Calibri"/>
                <w:b w:val="0"/>
                <w:color w:val="333333"/>
                <w:sz w:val="19"/>
              </w:rPr>
              <w:t>Community only</w:t>
            </w:r>
          </w:p>
        </w:tc>
        <w:tc>
          <w:tcPr>
            <w:tcW w:type="dxa" w:w="2592"/>
            <w:shd w:fill="EDF2F7"/>
            <w:vAlign w:val="center"/>
          </w:tcPr>
          <w:p>
            <w:pPr>
              <w:spacing w:before="60" w:after="60"/>
              <w:jc w:val="left"/>
            </w:pPr>
            <w:r/>
            <w:r>
              <w:rPr>
                <w:rFonts w:ascii="Calibri" w:hAnsi="Calibri"/>
                <w:b w:val="0"/>
                <w:color w:val="333333"/>
                <w:sz w:val="19"/>
              </w:rPr>
              <w:t>Email (48h SLA)</w:t>
            </w:r>
          </w:p>
        </w:tc>
        <w:tc>
          <w:tcPr>
            <w:tcW w:type="dxa" w:w="2592"/>
            <w:shd w:fill="EDF2F7"/>
            <w:vAlign w:val="center"/>
          </w:tcPr>
          <w:p>
            <w:pPr>
              <w:spacing w:before="60" w:after="60"/>
              <w:jc w:val="left"/>
            </w:pPr>
            <w:r/>
            <w:r>
              <w:rPr>
                <w:rFonts w:ascii="Calibri" w:hAnsi="Calibri"/>
                <w:b w:val="0"/>
                <w:color w:val="333333"/>
                <w:sz w:val="19"/>
              </w:rPr>
              <w:t>Dedicated support (4h SLA)</w:t>
            </w:r>
          </w:p>
        </w:tc>
      </w:tr>
      <w:tr>
        <w:tc>
          <w:tcPr>
            <w:tcW w:type="dxa" w:w="2160"/>
            <w:vAlign w:val="center"/>
          </w:tcPr>
          <w:p>
            <w:pPr>
              <w:spacing w:before="60" w:after="60"/>
              <w:jc w:val="left"/>
            </w:pPr>
            <w:r/>
            <w:r>
              <w:rPr>
                <w:rFonts w:ascii="Calibri" w:hAnsi="Calibri"/>
                <w:b w:val="0"/>
                <w:color w:val="333333"/>
                <w:sz w:val="19"/>
              </w:rPr>
              <w:t>SLA</w:t>
            </w:r>
          </w:p>
        </w:tc>
        <w:tc>
          <w:tcPr>
            <w:tcW w:type="dxa" w:w="2160"/>
            <w:vAlign w:val="center"/>
          </w:tcPr>
          <w:p>
            <w:pPr>
              <w:spacing w:before="60" w:after="60"/>
              <w:jc w:val="left"/>
            </w:pPr>
            <w:r/>
            <w:r>
              <w:rPr>
                <w:rFonts w:ascii="Calibri" w:hAnsi="Calibri"/>
                <w:b w:val="0"/>
                <w:color w:val="333333"/>
                <w:sz w:val="19"/>
              </w:rPr>
              <w:t>None</w:t>
            </w:r>
          </w:p>
        </w:tc>
        <w:tc>
          <w:tcPr>
            <w:tcW w:type="dxa" w:w="2592"/>
            <w:vAlign w:val="center"/>
          </w:tcPr>
          <w:p>
            <w:pPr>
              <w:spacing w:before="60" w:after="60"/>
              <w:jc w:val="left"/>
            </w:pPr>
            <w:r/>
            <w:r>
              <w:rPr>
                <w:rFonts w:ascii="Calibri" w:hAnsi="Calibri"/>
                <w:b w:val="0"/>
                <w:color w:val="333333"/>
                <w:sz w:val="19"/>
              </w:rPr>
              <w:t>99.5% uptime</w:t>
            </w:r>
          </w:p>
        </w:tc>
        <w:tc>
          <w:tcPr>
            <w:tcW w:type="dxa" w:w="2592"/>
            <w:vAlign w:val="center"/>
          </w:tcPr>
          <w:p>
            <w:pPr>
              <w:spacing w:before="60" w:after="60"/>
              <w:jc w:val="left"/>
            </w:pPr>
            <w:r/>
            <w:r>
              <w:rPr>
                <w:rFonts w:ascii="Calibri" w:hAnsi="Calibri"/>
                <w:b w:val="0"/>
                <w:color w:val="333333"/>
                <w:sz w:val="19"/>
              </w:rPr>
              <w:t>99.99% uptime</w:t>
            </w:r>
          </w:p>
        </w:tc>
      </w:tr>
      <w:tr>
        <w:tc>
          <w:tcPr>
            <w:tcW w:type="dxa" w:w="2160"/>
            <w:shd w:fill="EDF2F7"/>
            <w:vAlign w:val="center"/>
          </w:tcPr>
          <w:p>
            <w:pPr>
              <w:spacing w:before="60" w:after="60"/>
              <w:jc w:val="left"/>
            </w:pPr>
            <w:r/>
            <w:r>
              <w:rPr>
                <w:rFonts w:ascii="Calibri" w:hAnsi="Calibri"/>
                <w:b w:val="0"/>
                <w:color w:val="333333"/>
                <w:sz w:val="19"/>
              </w:rPr>
              <w:t>On-Premise Deploy</w:t>
            </w:r>
          </w:p>
        </w:tc>
        <w:tc>
          <w:tcPr>
            <w:tcW w:type="dxa" w:w="2160"/>
            <w:shd w:fill="EDF2F7"/>
            <w:vAlign w:val="center"/>
          </w:tcPr>
          <w:p>
            <w:pPr>
              <w:spacing w:before="60" w:after="60"/>
              <w:jc w:val="left"/>
            </w:pPr>
            <w:r/>
            <w:r>
              <w:rPr>
                <w:rFonts w:ascii="Calibri" w:hAnsi="Calibri"/>
                <w:b w:val="0"/>
                <w:color w:val="333333"/>
                <w:sz w:val="19"/>
              </w:rPr>
              <w:t>No</w:t>
            </w:r>
          </w:p>
        </w:tc>
        <w:tc>
          <w:tcPr>
            <w:tcW w:type="dxa" w:w="2592"/>
            <w:shd w:fill="EDF2F7"/>
            <w:vAlign w:val="center"/>
          </w:tcPr>
          <w:p>
            <w:pPr>
              <w:spacing w:before="60" w:after="60"/>
              <w:jc w:val="left"/>
            </w:pPr>
            <w:r/>
            <w:r>
              <w:rPr>
                <w:rFonts w:ascii="Calibri" w:hAnsi="Calibri"/>
                <w:b w:val="0"/>
                <w:color w:val="333333"/>
                <w:sz w:val="19"/>
              </w:rPr>
              <w:t>No</w:t>
            </w:r>
          </w:p>
        </w:tc>
        <w:tc>
          <w:tcPr>
            <w:tcW w:type="dxa" w:w="2592"/>
            <w:shd w:fill="EDF2F7"/>
            <w:vAlign w:val="center"/>
          </w:tcPr>
          <w:p>
            <w:pPr>
              <w:spacing w:before="60" w:after="60"/>
              <w:jc w:val="left"/>
            </w:pPr>
            <w:r/>
            <w:r>
              <w:rPr>
                <w:rFonts w:ascii="Calibri" w:hAnsi="Calibri"/>
                <w:b w:val="0"/>
                <w:color w:val="333333"/>
                <w:sz w:val="19"/>
              </w:rPr>
              <w:t>Yes (licensed)</w:t>
            </w:r>
          </w:p>
        </w:tc>
      </w:tr>
    </w:tbl>
    <w:p>
      <w:pPr>
        <w:spacing w:before="80"/>
      </w:pPr>
      <w:r>
        <w:rPr>
          <w:i/>
          <w:color w:val="666666"/>
          <w:sz w:val="18"/>
        </w:rPr>
        <w:t>Table 2: Pricing Tier Comparison</w:t>
      </w:r>
    </w:p>
    <w:p>
      <w:pPr>
        <w:pStyle w:val="Heading2"/>
      </w:pPr>
      <w:r>
        <w:t>5.3 Revenue Projections by Stream</w:t>
      </w:r>
    </w:p>
    <w:p>
      <w:r>
        <w:rPr>
          <w:rFonts w:ascii="Calibri" w:hAnsi="Calibri"/>
          <w:color w:val="333333"/>
          <w:sz w:val="22"/>
        </w:rPr>
        <w:t>The Premium Subscription stream is expected to be the primary revenue driver, particularly in the first 18 months. At $19 per month, the premium tier targets individual developers and small teams who need access to the full 72B model, unlimited agents, and extended memory retention. Based on comparable developer tool conversion rates, we project 500 premium subscribers by the end of Month 6, 2,000 by Month 12, and 5,000 by Month 24, generating annual recurring revenue of approximately $1.14 million by the end of Year 2.</w:t>
      </w:r>
    </w:p>
    <w:p>
      <w:r>
        <w:rPr>
          <w:rFonts w:ascii="Calibri" w:hAnsi="Calibri"/>
          <w:color w:val="333333"/>
          <w:sz w:val="22"/>
        </w:rPr>
        <w:t>The Enterprise Licensing stream targets medium to large organizations that require on-premise deployment, custom SLAs, dedicated support, and compliance features. Enterprise licenses are priced based on deployment scale and start at $2,000 per month for a standard on-premise deployment. We project 5 enterprise customers by Month 12 and 20 by Month 24, contributing approximately $480,000 in annual recurring revenue by the end of Year 2. The Agent Marketplace, launching in Phase 3, will allow developers to publish and sell custom agents, tools, and knowledge bases. NexusAI will take a 15% transaction fee on marketplace sales, which we project will generate $50,000 in Year 1 and $200,000 in Year 2 as the marketplace ecosystem matures. Consulting services, including custom AI solution development, training, and integration support, will provide additional project-based revenue estimated at $100,000 in Year 1 and $300,000 in Year 2.</w:t>
      </w:r>
    </w:p>
    <w:p>
      <w:pPr>
        <w:pStyle w:val="Heading2"/>
      </w:pPr>
      <w:r>
        <w:t>5.4 Pricing Strategy Rationale</w:t>
      </w:r>
    </w:p>
    <w:p>
      <w:r>
        <w:rPr>
          <w:rFonts w:ascii="Calibri" w:hAnsi="Calibri"/>
          <w:color w:val="333333"/>
          <w:sz w:val="22"/>
        </w:rPr>
        <w:t>The $19 per month price point for the premium tier was chosen after careful analysis of the competitive landscape and target market purchasing power. This price is approximately 70% lower than the equivalent tier from major competitors (OpenAI Plus is $20/month for access only, without the agent framework, RAG pipeline, or bilingual support). For the South Asian market specifically, $19 per month represents excellent value when compared to the cost of self-hosting equivalent models (which requires $500-2,000 per month in GPU costs). Regional pricing adjustments will be explored for markets with significantly lower purchasing power parity, with potential discounts of 30-50% for users in specific countries. The enterprise pricing is intentionally competitive to undercut proprietary solutions while providing features (on-premise deployment, data sovereignty, bilingual support) that these solutions do not offer.</w:t>
      </w:r>
    </w:p>
    <w:p>
      <w:r>
        <w:br w:type="page"/>
      </w:r>
    </w:p>
    <w:p>
      <w:pPr>
        <w:pStyle w:val="Heading1"/>
      </w:pPr>
      <w:r>
        <w:t>6. Competitive Analysis</w:t>
      </w:r>
    </w:p>
    <w:p>
      <w:pPr>
        <w:pStyle w:val="Heading2"/>
      </w:pPr>
      <w:r>
        <w:t>6.1 Competitive Landscape</w:t>
      </w:r>
    </w:p>
    <w:p>
      <w:r>
        <w:rPr>
          <w:rFonts w:ascii="Calibri" w:hAnsi="Calibri"/>
          <w:color w:val="333333"/>
          <w:sz w:val="22"/>
        </w:rPr>
        <w:t>The AI platform market is highly competitive, with several well-established players dominating different segments. However, NexusAI operates in a unique position that is not directly addressed by any single competitor. The market can be segmented into three categories: proprietary API providers (OpenAI, Anthropic, Google), open-source model providers (Hugging Face, Meta LLaMA), and regional platforms (Z.ai, various Chinese AI companies). Each category has distinct strengths and weaknesses, and NexusAI strategically combines the best elements of each while addressing their collective gaps.</w:t>
      </w:r>
    </w:p>
    <w:p>
      <w:r>
        <w:rPr>
          <w:rFonts w:ascii="Calibri" w:hAnsi="Calibri"/>
          <w:color w:val="333333"/>
          <w:sz w:val="22"/>
        </w:rPr>
        <w:t>OpenAI leads the market with its GPT-4o and GPT-4 models, offering the highest raw model quality for English-language tasks. However, OpenAI platform is entirely proprietary, with no option for on-premise deployment, no native Urdu support, and no built-in agent framework. Anthropic Claude excels at long-context tasks and safety but shares OpenAI proprietary limitations. Google Gemini offers multimodal capabilities and integration with the Google ecosystem but is tightly coupled to Google Cloud infrastructure. Hugging Face provides open-source model hosting and a vibrant community but lacks a managed inference service, agent framework, and production-ready platform features. Z.ai and similar regional platforms offer some localization but typically lack the technical sophistication and feature breadth of NexusAI.</w:t>
      </w:r>
    </w:p>
    <w:p>
      <w:pPr>
        <w:pStyle w:val="Heading2"/>
      </w:pPr>
      <w:r>
        <w:t>6.2 Feature Comparison Matrix</w:t>
      </w:r>
    </w:p>
    <w:tbl>
      <w:tblPr>
        <w:tblStyle w:val="TableGrid"/>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337"/>
        <w:gridCol w:w="1337"/>
        <w:gridCol w:w="1337"/>
        <w:gridCol w:w="1337"/>
        <w:gridCol w:w="1337"/>
        <w:gridCol w:w="1337"/>
        <w:gridCol w:w="1337"/>
      </w:tblGrid>
      <w:tr>
        <w:tc>
          <w:tcPr>
            <w:tcW w:type="dxa" w:w="1872"/>
            <w:shd w:fill="1A2744"/>
            <w:vAlign w:val="center"/>
          </w:tcPr>
          <w:p>
            <w:pPr>
              <w:spacing w:before="60" w:after="60"/>
              <w:jc w:val="center"/>
            </w:pPr>
            <w:r/>
            <w:r>
              <w:rPr>
                <w:rFonts w:ascii="Calibri" w:hAnsi="Calibri"/>
                <w:b/>
                <w:color w:val="FFFFFF"/>
                <w:sz w:val="20"/>
              </w:rPr>
              <w:t>Feature</w:t>
            </w:r>
          </w:p>
        </w:tc>
        <w:tc>
          <w:tcPr>
            <w:tcW w:type="dxa" w:w="1440"/>
            <w:shd w:fill="1A2744"/>
            <w:vAlign w:val="center"/>
          </w:tcPr>
          <w:p>
            <w:pPr>
              <w:spacing w:before="60" w:after="60"/>
              <w:jc w:val="center"/>
            </w:pPr>
            <w:r/>
            <w:r>
              <w:rPr>
                <w:rFonts w:ascii="Calibri" w:hAnsi="Calibri"/>
                <w:b/>
                <w:color w:val="FFFFFF"/>
                <w:sz w:val="20"/>
              </w:rPr>
              <w:t>NexusAI</w:t>
            </w:r>
          </w:p>
        </w:tc>
        <w:tc>
          <w:tcPr>
            <w:tcW w:type="dxa" w:w="1368"/>
            <w:shd w:fill="1A2744"/>
            <w:vAlign w:val="center"/>
          </w:tcPr>
          <w:p>
            <w:pPr>
              <w:spacing w:before="60" w:after="60"/>
              <w:jc w:val="center"/>
            </w:pPr>
            <w:r/>
            <w:r>
              <w:rPr>
                <w:rFonts w:ascii="Calibri" w:hAnsi="Calibri"/>
                <w:b/>
                <w:color w:val="FFFFFF"/>
                <w:sz w:val="20"/>
              </w:rPr>
              <w:t>OpenAI</w:t>
            </w:r>
          </w:p>
        </w:tc>
        <w:tc>
          <w:tcPr>
            <w:tcW w:type="dxa" w:w="1368"/>
            <w:shd w:fill="1A2744"/>
            <w:vAlign w:val="center"/>
          </w:tcPr>
          <w:p>
            <w:pPr>
              <w:spacing w:before="60" w:after="60"/>
              <w:jc w:val="center"/>
            </w:pPr>
            <w:r/>
            <w:r>
              <w:rPr>
                <w:rFonts w:ascii="Calibri" w:hAnsi="Calibri"/>
                <w:b/>
                <w:color w:val="FFFFFF"/>
                <w:sz w:val="20"/>
              </w:rPr>
              <w:t>Anthropic</w:t>
            </w:r>
          </w:p>
        </w:tc>
        <w:tc>
          <w:tcPr>
            <w:tcW w:type="dxa" w:w="1368"/>
            <w:shd w:fill="1A2744"/>
            <w:vAlign w:val="center"/>
          </w:tcPr>
          <w:p>
            <w:pPr>
              <w:spacing w:before="60" w:after="60"/>
              <w:jc w:val="center"/>
            </w:pPr>
            <w:r/>
            <w:r>
              <w:rPr>
                <w:rFonts w:ascii="Calibri" w:hAnsi="Calibri"/>
                <w:b/>
                <w:color w:val="FFFFFF"/>
                <w:sz w:val="20"/>
              </w:rPr>
              <w:t>Google Gemini</w:t>
            </w:r>
          </w:p>
        </w:tc>
        <w:tc>
          <w:tcPr>
            <w:tcW w:type="dxa" w:w="1368"/>
            <w:shd w:fill="1A2744"/>
            <w:vAlign w:val="center"/>
          </w:tcPr>
          <w:p>
            <w:pPr>
              <w:spacing w:before="60" w:after="60"/>
              <w:jc w:val="center"/>
            </w:pPr>
            <w:r/>
            <w:r>
              <w:rPr>
                <w:rFonts w:ascii="Calibri" w:hAnsi="Calibri"/>
                <w:b/>
                <w:color w:val="FFFFFF"/>
                <w:sz w:val="20"/>
              </w:rPr>
              <w:t>Hugging Face</w:t>
            </w:r>
          </w:p>
        </w:tc>
        <w:tc>
          <w:tcPr>
            <w:tcW w:type="dxa" w:w="1152"/>
            <w:shd w:fill="1A2744"/>
            <w:vAlign w:val="center"/>
          </w:tcPr>
          <w:p>
            <w:pPr>
              <w:spacing w:before="60" w:after="60"/>
              <w:jc w:val="center"/>
            </w:pPr>
            <w:r/>
            <w:r>
              <w:rPr>
                <w:rFonts w:ascii="Calibri" w:hAnsi="Calibri"/>
                <w:b/>
                <w:color w:val="FFFFFF"/>
                <w:sz w:val="20"/>
              </w:rPr>
              <w:t>Z.ai</w:t>
            </w:r>
          </w:p>
        </w:tc>
      </w:tr>
      <w:tr>
        <w:tc>
          <w:tcPr>
            <w:tcW w:type="dxa" w:w="1872"/>
            <w:vAlign w:val="center"/>
          </w:tcPr>
          <w:p>
            <w:pPr>
              <w:spacing w:before="60" w:after="60"/>
              <w:jc w:val="left"/>
            </w:pPr>
            <w:r/>
            <w:r>
              <w:rPr>
                <w:rFonts w:ascii="Calibri" w:hAnsi="Calibri"/>
                <w:b w:val="0"/>
                <w:color w:val="333333"/>
                <w:sz w:val="19"/>
              </w:rPr>
              <w:t>Free Tier</w:t>
            </w:r>
          </w:p>
        </w:tc>
        <w:tc>
          <w:tcPr>
            <w:tcW w:type="dxa" w:w="1440"/>
            <w:vAlign w:val="center"/>
          </w:tcPr>
          <w:p>
            <w:pPr>
              <w:spacing w:before="60" w:after="60"/>
              <w:jc w:val="left"/>
            </w:pPr>
            <w:r/>
            <w:r>
              <w:rPr>
                <w:rFonts w:ascii="Calibri" w:hAnsi="Calibri"/>
                <w:b w:val="0"/>
                <w:color w:val="333333"/>
                <w:sz w:val="19"/>
              </w:rPr>
              <w:t>Yes (generous)</w:t>
            </w:r>
          </w:p>
        </w:tc>
        <w:tc>
          <w:tcPr>
            <w:tcW w:type="dxa" w:w="1368"/>
            <w:vAlign w:val="center"/>
          </w:tcPr>
          <w:p>
            <w:pPr>
              <w:spacing w:before="60" w:after="60"/>
              <w:jc w:val="left"/>
            </w:pPr>
            <w:r/>
            <w:r>
              <w:rPr>
                <w:rFonts w:ascii="Calibri" w:hAnsi="Calibri"/>
                <w:b w:val="0"/>
                <w:color w:val="333333"/>
                <w:sz w:val="19"/>
              </w:rPr>
              <w:t>Limited</w:t>
            </w:r>
          </w:p>
        </w:tc>
        <w:tc>
          <w:tcPr>
            <w:tcW w:type="dxa" w:w="1368"/>
            <w:vAlign w:val="center"/>
          </w:tcPr>
          <w:p>
            <w:pPr>
              <w:spacing w:before="60" w:after="60"/>
              <w:jc w:val="left"/>
            </w:pPr>
            <w:r/>
            <w:r>
              <w:rPr>
                <w:rFonts w:ascii="Calibri" w:hAnsi="Calibri"/>
                <w:b w:val="0"/>
                <w:color w:val="333333"/>
                <w:sz w:val="19"/>
              </w:rPr>
              <w:t>Limited</w:t>
            </w:r>
          </w:p>
        </w:tc>
        <w:tc>
          <w:tcPr>
            <w:tcW w:type="dxa" w:w="1368"/>
            <w:vAlign w:val="center"/>
          </w:tcPr>
          <w:p>
            <w:pPr>
              <w:spacing w:before="60" w:after="60"/>
              <w:jc w:val="left"/>
            </w:pPr>
            <w:r/>
            <w:r>
              <w:rPr>
                <w:rFonts w:ascii="Calibri" w:hAnsi="Calibri"/>
                <w:b w:val="0"/>
                <w:color w:val="333333"/>
                <w:sz w:val="19"/>
              </w:rPr>
              <w:t>Limited</w:t>
            </w:r>
          </w:p>
        </w:tc>
        <w:tc>
          <w:tcPr>
            <w:tcW w:type="dxa" w:w="1368"/>
            <w:vAlign w:val="center"/>
          </w:tcPr>
          <w:p>
            <w:pPr>
              <w:spacing w:before="60" w:after="60"/>
              <w:jc w:val="left"/>
            </w:pPr>
            <w:r/>
            <w:r>
              <w:rPr>
                <w:rFonts w:ascii="Calibri" w:hAnsi="Calibri"/>
                <w:b w:val="0"/>
                <w:color w:val="333333"/>
                <w:sz w:val="19"/>
              </w:rPr>
              <w:t>Yes</w:t>
            </w:r>
          </w:p>
        </w:tc>
        <w:tc>
          <w:tcPr>
            <w:tcW w:type="dxa" w:w="1152"/>
            <w:vAlign w:val="center"/>
          </w:tcPr>
          <w:p>
            <w:pPr>
              <w:spacing w:before="60" w:after="60"/>
              <w:jc w:val="left"/>
            </w:pPr>
            <w:r/>
            <w:r>
              <w:rPr>
                <w:rFonts w:ascii="Calibri" w:hAnsi="Calibri"/>
                <w:b w:val="0"/>
                <w:color w:val="333333"/>
                <w:sz w:val="19"/>
              </w:rPr>
              <w:t>Limited</w:t>
            </w:r>
          </w:p>
        </w:tc>
      </w:tr>
      <w:tr>
        <w:tc>
          <w:tcPr>
            <w:tcW w:type="dxa" w:w="1872"/>
            <w:shd w:fill="EDF2F7"/>
            <w:vAlign w:val="center"/>
          </w:tcPr>
          <w:p>
            <w:pPr>
              <w:spacing w:before="60" w:after="60"/>
              <w:jc w:val="left"/>
            </w:pPr>
            <w:r/>
            <w:r>
              <w:rPr>
                <w:rFonts w:ascii="Calibri" w:hAnsi="Calibri"/>
                <w:b w:val="0"/>
                <w:color w:val="333333"/>
                <w:sz w:val="19"/>
              </w:rPr>
              <w:t>Open Source</w:t>
            </w:r>
          </w:p>
        </w:tc>
        <w:tc>
          <w:tcPr>
            <w:tcW w:type="dxa" w:w="1440"/>
            <w:shd w:fill="EDF2F7"/>
            <w:vAlign w:val="center"/>
          </w:tcPr>
          <w:p>
            <w:pPr>
              <w:spacing w:before="60" w:after="60"/>
              <w:jc w:val="left"/>
            </w:pPr>
            <w:r/>
            <w:r>
              <w:rPr>
                <w:rFonts w:ascii="Calibri" w:hAnsi="Calibri"/>
                <w:b w:val="0"/>
                <w:color w:val="333333"/>
                <w:sz w:val="19"/>
              </w:rPr>
              <w:t>Full platform</w:t>
            </w:r>
          </w:p>
        </w:tc>
        <w:tc>
          <w:tcPr>
            <w:tcW w:type="dxa" w:w="1368"/>
            <w:shd w:fill="EDF2F7"/>
            <w:vAlign w:val="center"/>
          </w:tcPr>
          <w:p>
            <w:pPr>
              <w:spacing w:before="60" w:after="60"/>
              <w:jc w:val="left"/>
            </w:pPr>
            <w:r/>
            <w:r>
              <w:rPr>
                <w:rFonts w:ascii="Calibri" w:hAnsi="Calibri"/>
                <w:b w:val="0"/>
                <w:color w:val="333333"/>
                <w:sz w:val="19"/>
              </w:rPr>
              <w:t>No</w:t>
            </w:r>
          </w:p>
        </w:tc>
        <w:tc>
          <w:tcPr>
            <w:tcW w:type="dxa" w:w="1368"/>
            <w:shd w:fill="EDF2F7"/>
            <w:vAlign w:val="center"/>
          </w:tcPr>
          <w:p>
            <w:pPr>
              <w:spacing w:before="60" w:after="60"/>
              <w:jc w:val="left"/>
            </w:pPr>
            <w:r/>
            <w:r>
              <w:rPr>
                <w:rFonts w:ascii="Calibri" w:hAnsi="Calibri"/>
                <w:b w:val="0"/>
                <w:color w:val="333333"/>
                <w:sz w:val="19"/>
              </w:rPr>
              <w:t>No</w:t>
            </w:r>
          </w:p>
        </w:tc>
        <w:tc>
          <w:tcPr>
            <w:tcW w:type="dxa" w:w="1368"/>
            <w:shd w:fill="EDF2F7"/>
            <w:vAlign w:val="center"/>
          </w:tcPr>
          <w:p>
            <w:pPr>
              <w:spacing w:before="60" w:after="60"/>
              <w:jc w:val="left"/>
            </w:pPr>
            <w:r/>
            <w:r>
              <w:rPr>
                <w:rFonts w:ascii="Calibri" w:hAnsi="Calibri"/>
                <w:b w:val="0"/>
                <w:color w:val="333333"/>
                <w:sz w:val="19"/>
              </w:rPr>
              <w:t>No</w:t>
            </w:r>
          </w:p>
        </w:tc>
        <w:tc>
          <w:tcPr>
            <w:tcW w:type="dxa" w:w="1368"/>
            <w:shd w:fill="EDF2F7"/>
            <w:vAlign w:val="center"/>
          </w:tcPr>
          <w:p>
            <w:pPr>
              <w:spacing w:before="60" w:after="60"/>
              <w:jc w:val="left"/>
            </w:pPr>
            <w:r/>
            <w:r>
              <w:rPr>
                <w:rFonts w:ascii="Calibri" w:hAnsi="Calibri"/>
                <w:b w:val="0"/>
                <w:color w:val="333333"/>
                <w:sz w:val="19"/>
              </w:rPr>
              <w:t>Models only</w:t>
            </w:r>
          </w:p>
        </w:tc>
        <w:tc>
          <w:tcPr>
            <w:tcW w:type="dxa" w:w="1152"/>
            <w:shd w:fill="EDF2F7"/>
            <w:vAlign w:val="center"/>
          </w:tcPr>
          <w:p>
            <w:pPr>
              <w:spacing w:before="60" w:after="60"/>
              <w:jc w:val="left"/>
            </w:pPr>
            <w:r/>
            <w:r>
              <w:rPr>
                <w:rFonts w:ascii="Calibri" w:hAnsi="Calibri"/>
                <w:b w:val="0"/>
                <w:color w:val="333333"/>
                <w:sz w:val="19"/>
              </w:rPr>
              <w:t>No</w:t>
            </w:r>
          </w:p>
        </w:tc>
      </w:tr>
      <w:tr>
        <w:tc>
          <w:tcPr>
            <w:tcW w:type="dxa" w:w="1872"/>
            <w:vAlign w:val="center"/>
          </w:tcPr>
          <w:p>
            <w:pPr>
              <w:spacing w:before="60" w:after="60"/>
              <w:jc w:val="left"/>
            </w:pPr>
            <w:r/>
            <w:r>
              <w:rPr>
                <w:rFonts w:ascii="Calibri" w:hAnsi="Calibri"/>
                <w:b w:val="0"/>
                <w:color w:val="333333"/>
                <w:sz w:val="19"/>
              </w:rPr>
              <w:t>Agent Framework</w:t>
            </w:r>
          </w:p>
        </w:tc>
        <w:tc>
          <w:tcPr>
            <w:tcW w:type="dxa" w:w="1440"/>
            <w:vAlign w:val="center"/>
          </w:tcPr>
          <w:p>
            <w:pPr>
              <w:spacing w:before="60" w:after="60"/>
              <w:jc w:val="left"/>
            </w:pPr>
            <w:r/>
            <w:r>
              <w:rPr>
                <w:rFonts w:ascii="Calibri" w:hAnsi="Calibri"/>
                <w:b w:val="0"/>
                <w:color w:val="333333"/>
                <w:sz w:val="19"/>
              </w:rPr>
              <w:t>Built-in</w:t>
            </w:r>
          </w:p>
        </w:tc>
        <w:tc>
          <w:tcPr>
            <w:tcW w:type="dxa" w:w="1368"/>
            <w:vAlign w:val="center"/>
          </w:tcPr>
          <w:p>
            <w:pPr>
              <w:spacing w:before="60" w:after="60"/>
              <w:jc w:val="left"/>
            </w:pPr>
            <w:r/>
            <w:r>
              <w:rPr>
                <w:rFonts w:ascii="Calibri" w:hAnsi="Calibri"/>
                <w:b w:val="0"/>
                <w:color w:val="333333"/>
                <w:sz w:val="19"/>
              </w:rPr>
              <w:t>Basic (GPTs)</w:t>
            </w:r>
          </w:p>
        </w:tc>
        <w:tc>
          <w:tcPr>
            <w:tcW w:type="dxa" w:w="1368"/>
            <w:vAlign w:val="center"/>
          </w:tcPr>
          <w:p>
            <w:pPr>
              <w:spacing w:before="60" w:after="60"/>
              <w:jc w:val="left"/>
            </w:pPr>
            <w:r/>
            <w:r>
              <w:rPr>
                <w:rFonts w:ascii="Calibri" w:hAnsi="Calibri"/>
                <w:b w:val="0"/>
                <w:color w:val="333333"/>
                <w:sz w:val="19"/>
              </w:rPr>
              <w:t>No</w:t>
            </w:r>
          </w:p>
        </w:tc>
        <w:tc>
          <w:tcPr>
            <w:tcW w:type="dxa" w:w="1368"/>
            <w:vAlign w:val="center"/>
          </w:tcPr>
          <w:p>
            <w:pPr>
              <w:spacing w:before="60" w:after="60"/>
              <w:jc w:val="left"/>
            </w:pPr>
            <w:r/>
            <w:r>
              <w:rPr>
                <w:rFonts w:ascii="Calibri" w:hAnsi="Calibri"/>
                <w:b w:val="0"/>
                <w:color w:val="333333"/>
                <w:sz w:val="19"/>
              </w:rPr>
              <w:t>No</w:t>
            </w:r>
          </w:p>
        </w:tc>
        <w:tc>
          <w:tcPr>
            <w:tcW w:type="dxa" w:w="1368"/>
            <w:vAlign w:val="center"/>
          </w:tcPr>
          <w:p>
            <w:pPr>
              <w:spacing w:before="60" w:after="60"/>
              <w:jc w:val="left"/>
            </w:pPr>
            <w:r/>
            <w:r>
              <w:rPr>
                <w:rFonts w:ascii="Calibri" w:hAnsi="Calibri"/>
                <w:b w:val="0"/>
                <w:color w:val="333333"/>
                <w:sz w:val="19"/>
              </w:rPr>
              <w:t>No</w:t>
            </w:r>
          </w:p>
        </w:tc>
        <w:tc>
          <w:tcPr>
            <w:tcW w:type="dxa" w:w="1152"/>
            <w:vAlign w:val="center"/>
          </w:tcPr>
          <w:p>
            <w:pPr>
              <w:spacing w:before="60" w:after="60"/>
              <w:jc w:val="left"/>
            </w:pPr>
            <w:r/>
            <w:r>
              <w:rPr>
                <w:rFonts w:ascii="Calibri" w:hAnsi="Calibri"/>
                <w:b w:val="0"/>
                <w:color w:val="333333"/>
                <w:sz w:val="19"/>
              </w:rPr>
              <w:t>Basic</w:t>
            </w:r>
          </w:p>
        </w:tc>
      </w:tr>
      <w:tr>
        <w:tc>
          <w:tcPr>
            <w:tcW w:type="dxa" w:w="1872"/>
            <w:shd w:fill="EDF2F7"/>
            <w:vAlign w:val="center"/>
          </w:tcPr>
          <w:p>
            <w:pPr>
              <w:spacing w:before="60" w:after="60"/>
              <w:jc w:val="left"/>
            </w:pPr>
            <w:r/>
            <w:r>
              <w:rPr>
                <w:rFonts w:ascii="Calibri" w:hAnsi="Calibri"/>
                <w:b w:val="0"/>
                <w:color w:val="333333"/>
                <w:sz w:val="19"/>
              </w:rPr>
              <w:t>RAG Pipeline</w:t>
            </w:r>
          </w:p>
        </w:tc>
        <w:tc>
          <w:tcPr>
            <w:tcW w:type="dxa" w:w="1440"/>
            <w:shd w:fill="EDF2F7"/>
            <w:vAlign w:val="center"/>
          </w:tcPr>
          <w:p>
            <w:pPr>
              <w:spacing w:before="60" w:after="60"/>
              <w:jc w:val="left"/>
            </w:pPr>
            <w:r/>
            <w:r>
              <w:rPr>
                <w:rFonts w:ascii="Calibri" w:hAnsi="Calibri"/>
                <w:b w:val="0"/>
                <w:color w:val="333333"/>
                <w:sz w:val="19"/>
              </w:rPr>
              <w:t>Built-in</w:t>
            </w:r>
          </w:p>
        </w:tc>
        <w:tc>
          <w:tcPr>
            <w:tcW w:type="dxa" w:w="1368"/>
            <w:shd w:fill="EDF2F7"/>
            <w:vAlign w:val="center"/>
          </w:tcPr>
          <w:p>
            <w:pPr>
              <w:spacing w:before="60" w:after="60"/>
              <w:jc w:val="left"/>
            </w:pPr>
            <w:r/>
            <w:r>
              <w:rPr>
                <w:rFonts w:ascii="Calibri" w:hAnsi="Calibri"/>
                <w:b w:val="0"/>
                <w:color w:val="333333"/>
                <w:sz w:val="19"/>
              </w:rPr>
              <w:t>Plugin-based</w:t>
            </w:r>
          </w:p>
        </w:tc>
        <w:tc>
          <w:tcPr>
            <w:tcW w:type="dxa" w:w="1368"/>
            <w:shd w:fill="EDF2F7"/>
            <w:vAlign w:val="center"/>
          </w:tcPr>
          <w:p>
            <w:pPr>
              <w:spacing w:before="60" w:after="60"/>
              <w:jc w:val="left"/>
            </w:pPr>
            <w:r/>
            <w:r>
              <w:rPr>
                <w:rFonts w:ascii="Calibri" w:hAnsi="Calibri"/>
                <w:b w:val="0"/>
                <w:color w:val="333333"/>
                <w:sz w:val="19"/>
              </w:rPr>
              <w:t>No</w:t>
            </w:r>
          </w:p>
        </w:tc>
        <w:tc>
          <w:tcPr>
            <w:tcW w:type="dxa" w:w="1368"/>
            <w:shd w:fill="EDF2F7"/>
            <w:vAlign w:val="center"/>
          </w:tcPr>
          <w:p>
            <w:pPr>
              <w:spacing w:before="60" w:after="60"/>
              <w:jc w:val="left"/>
            </w:pPr>
            <w:r/>
            <w:r>
              <w:rPr>
                <w:rFonts w:ascii="Calibri" w:hAnsi="Calibri"/>
                <w:b w:val="0"/>
                <w:color w:val="333333"/>
                <w:sz w:val="19"/>
              </w:rPr>
              <w:t>Vertex AI</w:t>
            </w:r>
          </w:p>
        </w:tc>
        <w:tc>
          <w:tcPr>
            <w:tcW w:type="dxa" w:w="1368"/>
            <w:shd w:fill="EDF2F7"/>
            <w:vAlign w:val="center"/>
          </w:tcPr>
          <w:p>
            <w:pPr>
              <w:spacing w:before="60" w:after="60"/>
              <w:jc w:val="left"/>
            </w:pPr>
            <w:r/>
            <w:r>
              <w:rPr>
                <w:rFonts w:ascii="Calibri" w:hAnsi="Calibri"/>
                <w:b w:val="0"/>
                <w:color w:val="333333"/>
                <w:sz w:val="19"/>
              </w:rPr>
              <w:t>No</w:t>
            </w:r>
          </w:p>
        </w:tc>
        <w:tc>
          <w:tcPr>
            <w:tcW w:type="dxa" w:w="1152"/>
            <w:shd w:fill="EDF2F7"/>
            <w:vAlign w:val="center"/>
          </w:tcPr>
          <w:p>
            <w:pPr>
              <w:spacing w:before="60" w:after="60"/>
              <w:jc w:val="left"/>
            </w:pPr>
            <w:r/>
            <w:r>
              <w:rPr>
                <w:rFonts w:ascii="Calibri" w:hAnsi="Calibri"/>
                <w:b w:val="0"/>
                <w:color w:val="333333"/>
                <w:sz w:val="19"/>
              </w:rPr>
              <w:t>Limited</w:t>
            </w:r>
          </w:p>
        </w:tc>
      </w:tr>
      <w:tr>
        <w:tc>
          <w:tcPr>
            <w:tcW w:type="dxa" w:w="1872"/>
            <w:vAlign w:val="center"/>
          </w:tcPr>
          <w:p>
            <w:pPr>
              <w:spacing w:before="60" w:after="60"/>
              <w:jc w:val="left"/>
            </w:pPr>
            <w:r/>
            <w:r>
              <w:rPr>
                <w:rFonts w:ascii="Calibri" w:hAnsi="Calibri"/>
                <w:b w:val="0"/>
                <w:color w:val="333333"/>
                <w:sz w:val="19"/>
              </w:rPr>
              <w:t>On-Premise Deploy</w:t>
            </w:r>
          </w:p>
        </w:tc>
        <w:tc>
          <w:tcPr>
            <w:tcW w:type="dxa" w:w="1440"/>
            <w:vAlign w:val="center"/>
          </w:tcPr>
          <w:p>
            <w:pPr>
              <w:spacing w:before="60" w:after="60"/>
              <w:jc w:val="left"/>
            </w:pPr>
            <w:r/>
            <w:r>
              <w:rPr>
                <w:rFonts w:ascii="Calibri" w:hAnsi="Calibri"/>
                <w:b w:val="0"/>
                <w:color w:val="333333"/>
                <w:sz w:val="19"/>
              </w:rPr>
              <w:t>Yes</w:t>
            </w:r>
          </w:p>
        </w:tc>
        <w:tc>
          <w:tcPr>
            <w:tcW w:type="dxa" w:w="1368"/>
            <w:vAlign w:val="center"/>
          </w:tcPr>
          <w:p>
            <w:pPr>
              <w:spacing w:before="60" w:after="60"/>
              <w:jc w:val="left"/>
            </w:pPr>
            <w:r/>
            <w:r>
              <w:rPr>
                <w:rFonts w:ascii="Calibri" w:hAnsi="Calibri"/>
                <w:b w:val="0"/>
                <w:color w:val="333333"/>
                <w:sz w:val="19"/>
              </w:rPr>
              <w:t>No</w:t>
            </w:r>
          </w:p>
        </w:tc>
        <w:tc>
          <w:tcPr>
            <w:tcW w:type="dxa" w:w="1368"/>
            <w:vAlign w:val="center"/>
          </w:tcPr>
          <w:p>
            <w:pPr>
              <w:spacing w:before="60" w:after="60"/>
              <w:jc w:val="left"/>
            </w:pPr>
            <w:r/>
            <w:r>
              <w:rPr>
                <w:rFonts w:ascii="Calibri" w:hAnsi="Calibri"/>
                <w:b w:val="0"/>
                <w:color w:val="333333"/>
                <w:sz w:val="19"/>
              </w:rPr>
              <w:t>No</w:t>
            </w:r>
          </w:p>
        </w:tc>
        <w:tc>
          <w:tcPr>
            <w:tcW w:type="dxa" w:w="1368"/>
            <w:vAlign w:val="center"/>
          </w:tcPr>
          <w:p>
            <w:pPr>
              <w:spacing w:before="60" w:after="60"/>
              <w:jc w:val="left"/>
            </w:pPr>
            <w:r/>
            <w:r>
              <w:rPr>
                <w:rFonts w:ascii="Calibri" w:hAnsi="Calibri"/>
                <w:b w:val="0"/>
                <w:color w:val="333333"/>
                <w:sz w:val="19"/>
              </w:rPr>
              <w:t>No</w:t>
            </w:r>
          </w:p>
        </w:tc>
        <w:tc>
          <w:tcPr>
            <w:tcW w:type="dxa" w:w="1368"/>
            <w:vAlign w:val="center"/>
          </w:tcPr>
          <w:p>
            <w:pPr>
              <w:spacing w:before="60" w:after="60"/>
              <w:jc w:val="left"/>
            </w:pPr>
            <w:r/>
            <w:r>
              <w:rPr>
                <w:rFonts w:ascii="Calibri" w:hAnsi="Calibri"/>
                <w:b w:val="0"/>
                <w:color w:val="333333"/>
                <w:sz w:val="19"/>
              </w:rPr>
              <w:t>Self-serve</w:t>
            </w:r>
          </w:p>
        </w:tc>
        <w:tc>
          <w:tcPr>
            <w:tcW w:type="dxa" w:w="1152"/>
            <w:vAlign w:val="center"/>
          </w:tcPr>
          <w:p>
            <w:pPr>
              <w:spacing w:before="60" w:after="60"/>
              <w:jc w:val="left"/>
            </w:pPr>
            <w:r/>
            <w:r>
              <w:rPr>
                <w:rFonts w:ascii="Calibri" w:hAnsi="Calibri"/>
                <w:b w:val="0"/>
                <w:color w:val="333333"/>
                <w:sz w:val="19"/>
              </w:rPr>
              <w:t>No</w:t>
            </w:r>
          </w:p>
        </w:tc>
      </w:tr>
      <w:tr>
        <w:tc>
          <w:tcPr>
            <w:tcW w:type="dxa" w:w="1872"/>
            <w:shd w:fill="EDF2F7"/>
            <w:vAlign w:val="center"/>
          </w:tcPr>
          <w:p>
            <w:pPr>
              <w:spacing w:before="60" w:after="60"/>
              <w:jc w:val="left"/>
            </w:pPr>
            <w:r/>
            <w:r>
              <w:rPr>
                <w:rFonts w:ascii="Calibri" w:hAnsi="Calibri"/>
                <w:b w:val="0"/>
                <w:color w:val="333333"/>
                <w:sz w:val="19"/>
              </w:rPr>
              <w:t>Urdu Support</w:t>
            </w:r>
          </w:p>
        </w:tc>
        <w:tc>
          <w:tcPr>
            <w:tcW w:type="dxa" w:w="1440"/>
            <w:shd w:fill="EDF2F7"/>
            <w:vAlign w:val="center"/>
          </w:tcPr>
          <w:p>
            <w:pPr>
              <w:spacing w:before="60" w:after="60"/>
              <w:jc w:val="left"/>
            </w:pPr>
            <w:r/>
            <w:r>
              <w:rPr>
                <w:rFonts w:ascii="Calibri" w:hAnsi="Calibri"/>
                <w:b w:val="0"/>
                <w:color w:val="333333"/>
                <w:sz w:val="19"/>
              </w:rPr>
              <w:t>Native</w:t>
            </w:r>
          </w:p>
        </w:tc>
        <w:tc>
          <w:tcPr>
            <w:tcW w:type="dxa" w:w="1368"/>
            <w:shd w:fill="EDF2F7"/>
            <w:vAlign w:val="center"/>
          </w:tcPr>
          <w:p>
            <w:pPr>
              <w:spacing w:before="60" w:after="60"/>
              <w:jc w:val="left"/>
            </w:pPr>
            <w:r/>
            <w:r>
              <w:rPr>
                <w:rFonts w:ascii="Calibri" w:hAnsi="Calibri"/>
                <w:b w:val="0"/>
                <w:color w:val="333333"/>
                <w:sz w:val="19"/>
              </w:rPr>
              <w:t>Translation</w:t>
            </w:r>
          </w:p>
        </w:tc>
        <w:tc>
          <w:tcPr>
            <w:tcW w:type="dxa" w:w="1368"/>
            <w:shd w:fill="EDF2F7"/>
            <w:vAlign w:val="center"/>
          </w:tcPr>
          <w:p>
            <w:pPr>
              <w:spacing w:before="60" w:after="60"/>
              <w:jc w:val="left"/>
            </w:pPr>
            <w:r/>
            <w:r>
              <w:rPr>
                <w:rFonts w:ascii="Calibri" w:hAnsi="Calibri"/>
                <w:b w:val="0"/>
                <w:color w:val="333333"/>
                <w:sz w:val="19"/>
              </w:rPr>
              <w:t>Translation</w:t>
            </w:r>
          </w:p>
        </w:tc>
        <w:tc>
          <w:tcPr>
            <w:tcW w:type="dxa" w:w="1368"/>
            <w:shd w:fill="EDF2F7"/>
            <w:vAlign w:val="center"/>
          </w:tcPr>
          <w:p>
            <w:pPr>
              <w:spacing w:before="60" w:after="60"/>
              <w:jc w:val="left"/>
            </w:pPr>
            <w:r/>
            <w:r>
              <w:rPr>
                <w:rFonts w:ascii="Calibri" w:hAnsi="Calibri"/>
                <w:b w:val="0"/>
                <w:color w:val="333333"/>
                <w:sz w:val="19"/>
              </w:rPr>
              <w:t>Translation</w:t>
            </w:r>
          </w:p>
        </w:tc>
        <w:tc>
          <w:tcPr>
            <w:tcW w:type="dxa" w:w="1368"/>
            <w:shd w:fill="EDF2F7"/>
            <w:vAlign w:val="center"/>
          </w:tcPr>
          <w:p>
            <w:pPr>
              <w:spacing w:before="60" w:after="60"/>
              <w:jc w:val="left"/>
            </w:pPr>
            <w:r/>
            <w:r>
              <w:rPr>
                <w:rFonts w:ascii="Calibri" w:hAnsi="Calibri"/>
                <w:b w:val="0"/>
                <w:color w:val="333333"/>
                <w:sz w:val="19"/>
              </w:rPr>
              <w:t>Community</w:t>
            </w:r>
          </w:p>
        </w:tc>
        <w:tc>
          <w:tcPr>
            <w:tcW w:type="dxa" w:w="1152"/>
            <w:shd w:fill="EDF2F7"/>
            <w:vAlign w:val="center"/>
          </w:tcPr>
          <w:p>
            <w:pPr>
              <w:spacing w:before="60" w:after="60"/>
              <w:jc w:val="left"/>
            </w:pPr>
            <w:r/>
            <w:r>
              <w:rPr>
                <w:rFonts w:ascii="Calibri" w:hAnsi="Calibri"/>
                <w:b w:val="0"/>
                <w:color w:val="333333"/>
                <w:sz w:val="19"/>
              </w:rPr>
              <w:t>Partial</w:t>
            </w:r>
          </w:p>
        </w:tc>
      </w:tr>
      <w:tr>
        <w:tc>
          <w:tcPr>
            <w:tcW w:type="dxa" w:w="1872"/>
            <w:vAlign w:val="center"/>
          </w:tcPr>
          <w:p>
            <w:pPr>
              <w:spacing w:before="60" w:after="60"/>
              <w:jc w:val="left"/>
            </w:pPr>
            <w:r/>
            <w:r>
              <w:rPr>
                <w:rFonts w:ascii="Calibri" w:hAnsi="Calibri"/>
                <w:b w:val="0"/>
                <w:color w:val="333333"/>
                <w:sz w:val="19"/>
              </w:rPr>
              <w:t>Tool System</w:t>
            </w:r>
          </w:p>
        </w:tc>
        <w:tc>
          <w:tcPr>
            <w:tcW w:type="dxa" w:w="1440"/>
            <w:vAlign w:val="center"/>
          </w:tcPr>
          <w:p>
            <w:pPr>
              <w:spacing w:before="60" w:after="60"/>
              <w:jc w:val="left"/>
            </w:pPr>
            <w:r/>
            <w:r>
              <w:rPr>
                <w:rFonts w:ascii="Calibri" w:hAnsi="Calibri"/>
                <w:b w:val="0"/>
                <w:color w:val="333333"/>
                <w:sz w:val="19"/>
              </w:rPr>
              <w:t>Extensible</w:t>
            </w:r>
          </w:p>
        </w:tc>
        <w:tc>
          <w:tcPr>
            <w:tcW w:type="dxa" w:w="1368"/>
            <w:vAlign w:val="center"/>
          </w:tcPr>
          <w:p>
            <w:pPr>
              <w:spacing w:before="60" w:after="60"/>
              <w:jc w:val="left"/>
            </w:pPr>
            <w:r/>
            <w:r>
              <w:rPr>
                <w:rFonts w:ascii="Calibri" w:hAnsi="Calibri"/>
                <w:b w:val="0"/>
                <w:color w:val="333333"/>
                <w:sz w:val="19"/>
              </w:rPr>
              <w:t>Function calling</w:t>
            </w:r>
          </w:p>
        </w:tc>
        <w:tc>
          <w:tcPr>
            <w:tcW w:type="dxa" w:w="1368"/>
            <w:vAlign w:val="center"/>
          </w:tcPr>
          <w:p>
            <w:pPr>
              <w:spacing w:before="60" w:after="60"/>
              <w:jc w:val="left"/>
            </w:pPr>
            <w:r/>
            <w:r>
              <w:rPr>
                <w:rFonts w:ascii="Calibri" w:hAnsi="Calibri"/>
                <w:b w:val="0"/>
                <w:color w:val="333333"/>
                <w:sz w:val="19"/>
              </w:rPr>
              <w:t>Tool use</w:t>
            </w:r>
          </w:p>
        </w:tc>
        <w:tc>
          <w:tcPr>
            <w:tcW w:type="dxa" w:w="1368"/>
            <w:vAlign w:val="center"/>
          </w:tcPr>
          <w:p>
            <w:pPr>
              <w:spacing w:before="60" w:after="60"/>
              <w:jc w:val="left"/>
            </w:pPr>
            <w:r/>
            <w:r>
              <w:rPr>
                <w:rFonts w:ascii="Calibri" w:hAnsi="Calibri"/>
                <w:b w:val="0"/>
                <w:color w:val="333333"/>
                <w:sz w:val="19"/>
              </w:rPr>
              <w:t>Function calling</w:t>
            </w:r>
          </w:p>
        </w:tc>
        <w:tc>
          <w:tcPr>
            <w:tcW w:type="dxa" w:w="1368"/>
            <w:vAlign w:val="center"/>
          </w:tcPr>
          <w:p>
            <w:pPr>
              <w:spacing w:before="60" w:after="60"/>
              <w:jc w:val="left"/>
            </w:pPr>
            <w:r/>
            <w:r>
              <w:rPr>
                <w:rFonts w:ascii="Calibri" w:hAnsi="Calibri"/>
                <w:b w:val="0"/>
                <w:color w:val="333333"/>
                <w:sz w:val="19"/>
              </w:rPr>
              <w:t>No</w:t>
            </w:r>
          </w:p>
        </w:tc>
        <w:tc>
          <w:tcPr>
            <w:tcW w:type="dxa" w:w="1152"/>
            <w:vAlign w:val="center"/>
          </w:tcPr>
          <w:p>
            <w:pPr>
              <w:spacing w:before="60" w:after="60"/>
              <w:jc w:val="left"/>
            </w:pPr>
            <w:r/>
            <w:r>
              <w:rPr>
                <w:rFonts w:ascii="Calibri" w:hAnsi="Calibri"/>
                <w:b w:val="0"/>
                <w:color w:val="333333"/>
                <w:sz w:val="19"/>
              </w:rPr>
              <w:t>Limited</w:t>
            </w:r>
          </w:p>
        </w:tc>
      </w:tr>
      <w:tr>
        <w:tc>
          <w:tcPr>
            <w:tcW w:type="dxa" w:w="1872"/>
            <w:shd w:fill="EDF2F7"/>
            <w:vAlign w:val="center"/>
          </w:tcPr>
          <w:p>
            <w:pPr>
              <w:spacing w:before="60" w:after="60"/>
              <w:jc w:val="left"/>
            </w:pPr>
            <w:r/>
            <w:r>
              <w:rPr>
                <w:rFonts w:ascii="Calibri" w:hAnsi="Calibri"/>
                <w:b w:val="0"/>
                <w:color w:val="333333"/>
                <w:sz w:val="19"/>
              </w:rPr>
              <w:t>Memory System</w:t>
            </w:r>
          </w:p>
        </w:tc>
        <w:tc>
          <w:tcPr>
            <w:tcW w:type="dxa" w:w="1440"/>
            <w:shd w:fill="EDF2F7"/>
            <w:vAlign w:val="center"/>
          </w:tcPr>
          <w:p>
            <w:pPr>
              <w:spacing w:before="60" w:after="60"/>
              <w:jc w:val="left"/>
            </w:pPr>
            <w:r/>
            <w:r>
              <w:rPr>
                <w:rFonts w:ascii="Calibri" w:hAnsi="Calibri"/>
                <w:b w:val="0"/>
                <w:color w:val="333333"/>
                <w:sz w:val="19"/>
              </w:rPr>
              <w:t>Persistent</w:t>
            </w:r>
          </w:p>
        </w:tc>
        <w:tc>
          <w:tcPr>
            <w:tcW w:type="dxa" w:w="1368"/>
            <w:shd w:fill="EDF2F7"/>
            <w:vAlign w:val="center"/>
          </w:tcPr>
          <w:p>
            <w:pPr>
              <w:spacing w:before="60" w:after="60"/>
              <w:jc w:val="left"/>
            </w:pPr>
            <w:r/>
            <w:r>
              <w:rPr>
                <w:rFonts w:ascii="Calibri" w:hAnsi="Calibri"/>
                <w:b w:val="0"/>
                <w:color w:val="333333"/>
                <w:sz w:val="19"/>
              </w:rPr>
              <w:t>Session only</w:t>
            </w:r>
          </w:p>
        </w:tc>
        <w:tc>
          <w:tcPr>
            <w:tcW w:type="dxa" w:w="1368"/>
            <w:shd w:fill="EDF2F7"/>
            <w:vAlign w:val="center"/>
          </w:tcPr>
          <w:p>
            <w:pPr>
              <w:spacing w:before="60" w:after="60"/>
              <w:jc w:val="left"/>
            </w:pPr>
            <w:r/>
            <w:r>
              <w:rPr>
                <w:rFonts w:ascii="Calibri" w:hAnsi="Calibri"/>
                <w:b w:val="0"/>
                <w:color w:val="333333"/>
                <w:sz w:val="19"/>
              </w:rPr>
              <w:t>Session only</w:t>
            </w:r>
          </w:p>
        </w:tc>
        <w:tc>
          <w:tcPr>
            <w:tcW w:type="dxa" w:w="1368"/>
            <w:shd w:fill="EDF2F7"/>
            <w:vAlign w:val="center"/>
          </w:tcPr>
          <w:p>
            <w:pPr>
              <w:spacing w:before="60" w:after="60"/>
              <w:jc w:val="left"/>
            </w:pPr>
            <w:r/>
            <w:r>
              <w:rPr>
                <w:rFonts w:ascii="Calibri" w:hAnsi="Calibri"/>
                <w:b w:val="0"/>
                <w:color w:val="333333"/>
                <w:sz w:val="19"/>
              </w:rPr>
              <w:t>Session only</w:t>
            </w:r>
          </w:p>
        </w:tc>
        <w:tc>
          <w:tcPr>
            <w:tcW w:type="dxa" w:w="1368"/>
            <w:shd w:fill="EDF2F7"/>
            <w:vAlign w:val="center"/>
          </w:tcPr>
          <w:p>
            <w:pPr>
              <w:spacing w:before="60" w:after="60"/>
              <w:jc w:val="left"/>
            </w:pPr>
            <w:r/>
            <w:r>
              <w:rPr>
                <w:rFonts w:ascii="Calibri" w:hAnsi="Calibri"/>
                <w:b w:val="0"/>
                <w:color w:val="333333"/>
                <w:sz w:val="19"/>
              </w:rPr>
              <w:t>No</w:t>
            </w:r>
          </w:p>
        </w:tc>
        <w:tc>
          <w:tcPr>
            <w:tcW w:type="dxa" w:w="1152"/>
            <w:shd w:fill="EDF2F7"/>
            <w:vAlign w:val="center"/>
          </w:tcPr>
          <w:p>
            <w:pPr>
              <w:spacing w:before="60" w:after="60"/>
              <w:jc w:val="left"/>
            </w:pPr>
            <w:r/>
            <w:r>
              <w:rPr>
                <w:rFonts w:ascii="Calibri" w:hAnsi="Calibri"/>
                <w:b w:val="0"/>
                <w:color w:val="333333"/>
                <w:sz w:val="19"/>
              </w:rPr>
              <w:t>No</w:t>
            </w:r>
          </w:p>
        </w:tc>
      </w:tr>
      <w:tr>
        <w:tc>
          <w:tcPr>
            <w:tcW w:type="dxa" w:w="1872"/>
            <w:vAlign w:val="center"/>
          </w:tcPr>
          <w:p>
            <w:pPr>
              <w:spacing w:before="60" w:after="60"/>
              <w:jc w:val="left"/>
            </w:pPr>
            <w:r/>
            <w:r>
              <w:rPr>
                <w:rFonts w:ascii="Calibri" w:hAnsi="Calibri"/>
                <w:b w:val="0"/>
                <w:color w:val="333333"/>
                <w:sz w:val="19"/>
              </w:rPr>
              <w:t>Multi-Model Routing</w:t>
            </w:r>
          </w:p>
        </w:tc>
        <w:tc>
          <w:tcPr>
            <w:tcW w:type="dxa" w:w="1440"/>
            <w:vAlign w:val="center"/>
          </w:tcPr>
          <w:p>
            <w:pPr>
              <w:spacing w:before="60" w:after="60"/>
              <w:jc w:val="left"/>
            </w:pPr>
            <w:r/>
            <w:r>
              <w:rPr>
                <w:rFonts w:ascii="Calibri" w:hAnsi="Calibri"/>
                <w:b w:val="0"/>
                <w:color w:val="333333"/>
                <w:sz w:val="19"/>
              </w:rPr>
              <w:t>Yes</w:t>
            </w:r>
          </w:p>
        </w:tc>
        <w:tc>
          <w:tcPr>
            <w:tcW w:type="dxa" w:w="1368"/>
            <w:vAlign w:val="center"/>
          </w:tcPr>
          <w:p>
            <w:pPr>
              <w:spacing w:before="60" w:after="60"/>
              <w:jc w:val="left"/>
            </w:pPr>
            <w:r/>
            <w:r>
              <w:rPr>
                <w:rFonts w:ascii="Calibri" w:hAnsi="Calibri"/>
                <w:b w:val="0"/>
                <w:color w:val="333333"/>
                <w:sz w:val="19"/>
              </w:rPr>
              <w:t>No</w:t>
            </w:r>
          </w:p>
        </w:tc>
        <w:tc>
          <w:tcPr>
            <w:tcW w:type="dxa" w:w="1368"/>
            <w:vAlign w:val="center"/>
          </w:tcPr>
          <w:p>
            <w:pPr>
              <w:spacing w:before="60" w:after="60"/>
              <w:jc w:val="left"/>
            </w:pPr>
            <w:r/>
            <w:r>
              <w:rPr>
                <w:rFonts w:ascii="Calibri" w:hAnsi="Calibri"/>
                <w:b w:val="0"/>
                <w:color w:val="333333"/>
                <w:sz w:val="19"/>
              </w:rPr>
              <w:t>No</w:t>
            </w:r>
          </w:p>
        </w:tc>
        <w:tc>
          <w:tcPr>
            <w:tcW w:type="dxa" w:w="1368"/>
            <w:vAlign w:val="center"/>
          </w:tcPr>
          <w:p>
            <w:pPr>
              <w:spacing w:before="60" w:after="60"/>
              <w:jc w:val="left"/>
            </w:pPr>
            <w:r/>
            <w:r>
              <w:rPr>
                <w:rFonts w:ascii="Calibri" w:hAnsi="Calibri"/>
                <w:b w:val="0"/>
                <w:color w:val="333333"/>
                <w:sz w:val="19"/>
              </w:rPr>
              <w:t>No</w:t>
            </w:r>
          </w:p>
        </w:tc>
        <w:tc>
          <w:tcPr>
            <w:tcW w:type="dxa" w:w="1368"/>
            <w:vAlign w:val="center"/>
          </w:tcPr>
          <w:p>
            <w:pPr>
              <w:spacing w:before="60" w:after="60"/>
              <w:jc w:val="left"/>
            </w:pPr>
            <w:r/>
            <w:r>
              <w:rPr>
                <w:rFonts w:ascii="Calibri" w:hAnsi="Calibri"/>
                <w:b w:val="0"/>
                <w:color w:val="333333"/>
                <w:sz w:val="19"/>
              </w:rPr>
              <w:t>Inference Endpoints</w:t>
            </w:r>
          </w:p>
        </w:tc>
        <w:tc>
          <w:tcPr>
            <w:tcW w:type="dxa" w:w="1152"/>
            <w:vAlign w:val="center"/>
          </w:tcPr>
          <w:p>
            <w:pPr>
              <w:spacing w:before="60" w:after="60"/>
              <w:jc w:val="left"/>
            </w:pPr>
            <w:r/>
            <w:r>
              <w:rPr>
                <w:rFonts w:ascii="Calibri" w:hAnsi="Calibri"/>
                <w:b w:val="0"/>
                <w:color w:val="333333"/>
                <w:sz w:val="19"/>
              </w:rPr>
              <w:t>No</w:t>
            </w:r>
          </w:p>
        </w:tc>
      </w:tr>
      <w:tr>
        <w:tc>
          <w:tcPr>
            <w:tcW w:type="dxa" w:w="1872"/>
            <w:shd w:fill="EDF2F7"/>
            <w:vAlign w:val="center"/>
          </w:tcPr>
          <w:p>
            <w:pPr>
              <w:spacing w:before="60" w:after="60"/>
              <w:jc w:val="left"/>
            </w:pPr>
            <w:r/>
            <w:r>
              <w:rPr>
                <w:rFonts w:ascii="Calibri" w:hAnsi="Calibri"/>
                <w:b w:val="0"/>
                <w:color w:val="333333"/>
                <w:sz w:val="19"/>
              </w:rPr>
              <w:t>Agent Marketplace</w:t>
            </w:r>
          </w:p>
        </w:tc>
        <w:tc>
          <w:tcPr>
            <w:tcW w:type="dxa" w:w="1440"/>
            <w:shd w:fill="EDF2F7"/>
            <w:vAlign w:val="center"/>
          </w:tcPr>
          <w:p>
            <w:pPr>
              <w:spacing w:before="60" w:after="60"/>
              <w:jc w:val="left"/>
            </w:pPr>
            <w:r/>
            <w:r>
              <w:rPr>
                <w:rFonts w:ascii="Calibri" w:hAnsi="Calibri"/>
                <w:b w:val="0"/>
                <w:color w:val="333333"/>
                <w:sz w:val="19"/>
              </w:rPr>
              <w:t>Planned</w:t>
            </w:r>
          </w:p>
        </w:tc>
        <w:tc>
          <w:tcPr>
            <w:tcW w:type="dxa" w:w="1368"/>
            <w:shd w:fill="EDF2F7"/>
            <w:vAlign w:val="center"/>
          </w:tcPr>
          <w:p>
            <w:pPr>
              <w:spacing w:before="60" w:after="60"/>
              <w:jc w:val="left"/>
            </w:pPr>
            <w:r/>
            <w:r>
              <w:rPr>
                <w:rFonts w:ascii="Calibri" w:hAnsi="Calibri"/>
                <w:b w:val="0"/>
                <w:color w:val="333333"/>
                <w:sz w:val="19"/>
              </w:rPr>
              <w:t>GPT Store</w:t>
            </w:r>
          </w:p>
        </w:tc>
        <w:tc>
          <w:tcPr>
            <w:tcW w:type="dxa" w:w="1368"/>
            <w:shd w:fill="EDF2F7"/>
            <w:vAlign w:val="center"/>
          </w:tcPr>
          <w:p>
            <w:pPr>
              <w:spacing w:before="60" w:after="60"/>
              <w:jc w:val="left"/>
            </w:pPr>
            <w:r/>
            <w:r>
              <w:rPr>
                <w:rFonts w:ascii="Calibri" w:hAnsi="Calibri"/>
                <w:b w:val="0"/>
                <w:color w:val="333333"/>
                <w:sz w:val="19"/>
              </w:rPr>
              <w:t>No</w:t>
            </w:r>
          </w:p>
        </w:tc>
        <w:tc>
          <w:tcPr>
            <w:tcW w:type="dxa" w:w="1368"/>
            <w:shd w:fill="EDF2F7"/>
            <w:vAlign w:val="center"/>
          </w:tcPr>
          <w:p>
            <w:pPr>
              <w:spacing w:before="60" w:after="60"/>
              <w:jc w:val="left"/>
            </w:pPr>
            <w:r/>
            <w:r>
              <w:rPr>
                <w:rFonts w:ascii="Calibri" w:hAnsi="Calibri"/>
                <w:b w:val="0"/>
                <w:color w:val="333333"/>
                <w:sz w:val="19"/>
              </w:rPr>
              <w:t>No</w:t>
            </w:r>
          </w:p>
        </w:tc>
        <w:tc>
          <w:tcPr>
            <w:tcW w:type="dxa" w:w="1368"/>
            <w:shd w:fill="EDF2F7"/>
            <w:vAlign w:val="center"/>
          </w:tcPr>
          <w:p>
            <w:pPr>
              <w:spacing w:before="60" w:after="60"/>
              <w:jc w:val="left"/>
            </w:pPr>
            <w:r/>
            <w:r>
              <w:rPr>
                <w:rFonts w:ascii="Calibri" w:hAnsi="Calibri"/>
                <w:b w:val="0"/>
                <w:color w:val="333333"/>
                <w:sz w:val="19"/>
              </w:rPr>
              <w:t>No</w:t>
            </w:r>
          </w:p>
        </w:tc>
        <w:tc>
          <w:tcPr>
            <w:tcW w:type="dxa" w:w="1152"/>
            <w:shd w:fill="EDF2F7"/>
            <w:vAlign w:val="center"/>
          </w:tcPr>
          <w:p>
            <w:pPr>
              <w:spacing w:before="60" w:after="60"/>
              <w:jc w:val="left"/>
            </w:pPr>
            <w:r/>
            <w:r>
              <w:rPr>
                <w:rFonts w:ascii="Calibri" w:hAnsi="Calibri"/>
                <w:b w:val="0"/>
                <w:color w:val="333333"/>
                <w:sz w:val="19"/>
              </w:rPr>
              <w:t>No</w:t>
            </w:r>
          </w:p>
        </w:tc>
      </w:tr>
      <w:tr>
        <w:tc>
          <w:tcPr>
            <w:tcW w:type="dxa" w:w="1872"/>
            <w:vAlign w:val="center"/>
          </w:tcPr>
          <w:p>
            <w:pPr>
              <w:spacing w:before="60" w:after="60"/>
              <w:jc w:val="left"/>
            </w:pPr>
            <w:r/>
            <w:r>
              <w:rPr>
                <w:rFonts w:ascii="Calibri" w:hAnsi="Calibri"/>
                <w:b w:val="0"/>
                <w:color w:val="333333"/>
                <w:sz w:val="19"/>
              </w:rPr>
              <w:t>Data Sovereignty</w:t>
            </w:r>
          </w:p>
        </w:tc>
        <w:tc>
          <w:tcPr>
            <w:tcW w:type="dxa" w:w="1440"/>
            <w:vAlign w:val="center"/>
          </w:tcPr>
          <w:p>
            <w:pPr>
              <w:spacing w:before="60" w:after="60"/>
              <w:jc w:val="left"/>
            </w:pPr>
            <w:r/>
            <w:r>
              <w:rPr>
                <w:rFonts w:ascii="Calibri" w:hAnsi="Calibri"/>
                <w:b w:val="0"/>
                <w:color w:val="333333"/>
                <w:sz w:val="19"/>
              </w:rPr>
              <w:t>Full control</w:t>
            </w:r>
          </w:p>
        </w:tc>
        <w:tc>
          <w:tcPr>
            <w:tcW w:type="dxa" w:w="1368"/>
            <w:vAlign w:val="center"/>
          </w:tcPr>
          <w:p>
            <w:pPr>
              <w:spacing w:before="60" w:after="60"/>
              <w:jc w:val="left"/>
            </w:pPr>
            <w:r/>
            <w:r>
              <w:rPr>
                <w:rFonts w:ascii="Calibri" w:hAnsi="Calibri"/>
                <w:b w:val="0"/>
                <w:color w:val="333333"/>
                <w:sz w:val="19"/>
              </w:rPr>
              <w:t>US-based</w:t>
            </w:r>
          </w:p>
        </w:tc>
        <w:tc>
          <w:tcPr>
            <w:tcW w:type="dxa" w:w="1368"/>
            <w:vAlign w:val="center"/>
          </w:tcPr>
          <w:p>
            <w:pPr>
              <w:spacing w:before="60" w:after="60"/>
              <w:jc w:val="left"/>
            </w:pPr>
            <w:r/>
            <w:r>
              <w:rPr>
                <w:rFonts w:ascii="Calibri" w:hAnsi="Calibri"/>
                <w:b w:val="0"/>
                <w:color w:val="333333"/>
                <w:sz w:val="19"/>
              </w:rPr>
              <w:t>US-based</w:t>
            </w:r>
          </w:p>
        </w:tc>
        <w:tc>
          <w:tcPr>
            <w:tcW w:type="dxa" w:w="1368"/>
            <w:vAlign w:val="center"/>
          </w:tcPr>
          <w:p>
            <w:pPr>
              <w:spacing w:before="60" w:after="60"/>
              <w:jc w:val="left"/>
            </w:pPr>
            <w:r/>
            <w:r>
              <w:rPr>
                <w:rFonts w:ascii="Calibri" w:hAnsi="Calibri"/>
                <w:b w:val="0"/>
                <w:color w:val="333333"/>
                <w:sz w:val="19"/>
              </w:rPr>
              <w:t>Google Cloud</w:t>
            </w:r>
          </w:p>
        </w:tc>
        <w:tc>
          <w:tcPr>
            <w:tcW w:type="dxa" w:w="1368"/>
            <w:vAlign w:val="center"/>
          </w:tcPr>
          <w:p>
            <w:pPr>
              <w:spacing w:before="60" w:after="60"/>
              <w:jc w:val="left"/>
            </w:pPr>
            <w:r/>
            <w:r>
              <w:rPr>
                <w:rFonts w:ascii="Calibri" w:hAnsi="Calibri"/>
                <w:b w:val="0"/>
                <w:color w:val="333333"/>
                <w:sz w:val="19"/>
              </w:rPr>
              <w:t>Self-host</w:t>
            </w:r>
          </w:p>
        </w:tc>
        <w:tc>
          <w:tcPr>
            <w:tcW w:type="dxa" w:w="1152"/>
            <w:vAlign w:val="center"/>
          </w:tcPr>
          <w:p>
            <w:pPr>
              <w:spacing w:before="60" w:after="60"/>
              <w:jc w:val="left"/>
            </w:pPr>
            <w:r/>
            <w:r>
              <w:rPr>
                <w:rFonts w:ascii="Calibri" w:hAnsi="Calibri"/>
                <w:b w:val="0"/>
                <w:color w:val="333333"/>
                <w:sz w:val="19"/>
              </w:rPr>
              <w:t>Varies</w:t>
            </w:r>
          </w:p>
        </w:tc>
      </w:tr>
      <w:tr>
        <w:tc>
          <w:tcPr>
            <w:tcW w:type="dxa" w:w="1872"/>
            <w:shd w:fill="EDF2F7"/>
            <w:vAlign w:val="center"/>
          </w:tcPr>
          <w:p>
            <w:pPr>
              <w:spacing w:before="60" w:after="60"/>
              <w:jc w:val="left"/>
            </w:pPr>
            <w:r/>
            <w:r>
              <w:rPr>
                <w:rFonts w:ascii="Calibri" w:hAnsi="Calibri"/>
                <w:b w:val="0"/>
                <w:color w:val="333333"/>
                <w:sz w:val="19"/>
              </w:rPr>
              <w:t>Custom Fine-tuning</w:t>
            </w:r>
          </w:p>
        </w:tc>
        <w:tc>
          <w:tcPr>
            <w:tcW w:type="dxa" w:w="1440"/>
            <w:shd w:fill="EDF2F7"/>
            <w:vAlign w:val="center"/>
          </w:tcPr>
          <w:p>
            <w:pPr>
              <w:spacing w:before="60" w:after="60"/>
              <w:jc w:val="left"/>
            </w:pPr>
            <w:r/>
            <w:r>
              <w:rPr>
                <w:rFonts w:ascii="Calibri" w:hAnsi="Calibri"/>
                <w:b w:val="0"/>
                <w:color w:val="333333"/>
                <w:sz w:val="19"/>
              </w:rPr>
              <w:t>Supported</w:t>
            </w:r>
          </w:p>
        </w:tc>
        <w:tc>
          <w:tcPr>
            <w:tcW w:type="dxa" w:w="1368"/>
            <w:shd w:fill="EDF2F7"/>
            <w:vAlign w:val="center"/>
          </w:tcPr>
          <w:p>
            <w:pPr>
              <w:spacing w:before="60" w:after="60"/>
              <w:jc w:val="left"/>
            </w:pPr>
            <w:r/>
            <w:r>
              <w:rPr>
                <w:rFonts w:ascii="Calibri" w:hAnsi="Calibri"/>
                <w:b w:val="0"/>
                <w:color w:val="333333"/>
                <w:sz w:val="19"/>
              </w:rPr>
              <w:t>Yes (expensive)</w:t>
            </w:r>
          </w:p>
        </w:tc>
        <w:tc>
          <w:tcPr>
            <w:tcW w:type="dxa" w:w="1368"/>
            <w:shd w:fill="EDF2F7"/>
            <w:vAlign w:val="center"/>
          </w:tcPr>
          <w:p>
            <w:pPr>
              <w:spacing w:before="60" w:after="60"/>
              <w:jc w:val="left"/>
            </w:pPr>
            <w:r/>
            <w:r>
              <w:rPr>
                <w:rFonts w:ascii="Calibri" w:hAnsi="Calibri"/>
                <w:b w:val="0"/>
                <w:color w:val="333333"/>
                <w:sz w:val="19"/>
              </w:rPr>
              <w:t>Limited</w:t>
            </w:r>
          </w:p>
        </w:tc>
        <w:tc>
          <w:tcPr>
            <w:tcW w:type="dxa" w:w="1368"/>
            <w:shd w:fill="EDF2F7"/>
            <w:vAlign w:val="center"/>
          </w:tcPr>
          <w:p>
            <w:pPr>
              <w:spacing w:before="60" w:after="60"/>
              <w:jc w:val="left"/>
            </w:pPr>
            <w:r/>
            <w:r>
              <w:rPr>
                <w:rFonts w:ascii="Calibri" w:hAnsi="Calibri"/>
                <w:b w:val="0"/>
                <w:color w:val="333333"/>
                <w:sz w:val="19"/>
              </w:rPr>
              <w:t>Vertex AI</w:t>
            </w:r>
          </w:p>
        </w:tc>
        <w:tc>
          <w:tcPr>
            <w:tcW w:type="dxa" w:w="1368"/>
            <w:shd w:fill="EDF2F7"/>
            <w:vAlign w:val="center"/>
          </w:tcPr>
          <w:p>
            <w:pPr>
              <w:spacing w:before="60" w:after="60"/>
              <w:jc w:val="left"/>
            </w:pPr>
            <w:r/>
            <w:r>
              <w:rPr>
                <w:rFonts w:ascii="Calibri" w:hAnsi="Calibri"/>
                <w:b w:val="0"/>
                <w:color w:val="333333"/>
                <w:sz w:val="19"/>
              </w:rPr>
              <w:t>Yes</w:t>
            </w:r>
          </w:p>
        </w:tc>
        <w:tc>
          <w:tcPr>
            <w:tcW w:type="dxa" w:w="1152"/>
            <w:shd w:fill="EDF2F7"/>
            <w:vAlign w:val="center"/>
          </w:tcPr>
          <w:p>
            <w:pPr>
              <w:spacing w:before="60" w:after="60"/>
              <w:jc w:val="left"/>
            </w:pPr>
            <w:r/>
            <w:r>
              <w:rPr>
                <w:rFonts w:ascii="Calibri" w:hAnsi="Calibri"/>
                <w:b w:val="0"/>
                <w:color w:val="333333"/>
                <w:sz w:val="19"/>
              </w:rPr>
              <w:t>No</w:t>
            </w:r>
          </w:p>
        </w:tc>
      </w:tr>
    </w:tbl>
    <w:p>
      <w:pPr>
        <w:spacing w:before="80"/>
      </w:pPr>
      <w:r>
        <w:rPr>
          <w:i/>
          <w:color w:val="666666"/>
          <w:sz w:val="18"/>
        </w:rPr>
        <w:t>Table 3: Competitive Feature Comparison Matrix</w:t>
      </w:r>
    </w:p>
    <w:p>
      <w:pPr>
        <w:pStyle w:val="Heading2"/>
      </w:pPr>
      <w:r>
        <w:t>6.3 NexusAI Competitive Advantages</w:t>
      </w:r>
    </w:p>
    <w:p>
      <w:r>
        <w:rPr>
          <w:rFonts w:ascii="Calibri" w:hAnsi="Calibri"/>
          <w:color w:val="333333"/>
          <w:sz w:val="22"/>
        </w:rPr>
        <w:t xml:space="preserve">NexusAI competitive advantages can be summarized in four pillars: Free Access, Agent Intelligence, Open Architecture, and Bilingual Excellence. The </w:t>
      </w:r>
      <w:r>
        <w:rPr>
          <w:rFonts w:ascii="Calibri" w:hAnsi="Calibri"/>
          <w:b/>
          <w:color w:val="333333"/>
          <w:sz w:val="22"/>
        </w:rPr>
        <w:t>Free Access</w:t>
      </w:r>
      <w:r>
        <w:rPr>
          <w:rFonts w:ascii="Calibri" w:hAnsi="Calibri"/>
          <w:color w:val="333333"/>
          <w:sz w:val="22"/>
        </w:rPr>
        <w:t xml:space="preserve"> advantage means that NexusAI provides genuinely useful AI capabilities at no cost, unlike competitors whose free tiers are severely limited in rate, model quality, or features. A developer can build, test, and deploy a production AI application using only the free tier, creating a strong value proposition that drives adoption and community growth.</w:t>
      </w:r>
    </w:p>
    <w:p>
      <w:r>
        <w:rPr>
          <w:rFonts w:ascii="Calibri" w:hAnsi="Calibri"/>
          <w:color w:val="333333"/>
          <w:sz w:val="22"/>
        </w:rPr>
        <w:t xml:space="preserve">The </w:t>
      </w:r>
      <w:r>
        <w:rPr>
          <w:rFonts w:ascii="Calibri" w:hAnsi="Calibri"/>
          <w:b/>
          <w:color w:val="333333"/>
          <w:sz w:val="22"/>
        </w:rPr>
        <w:t>Agent Intelligence</w:t>
      </w:r>
      <w:r>
        <w:rPr>
          <w:rFonts w:ascii="Calibri" w:hAnsi="Calibri"/>
          <w:color w:val="333333"/>
          <w:sz w:val="22"/>
        </w:rPr>
        <w:t xml:space="preserve"> advantage refers to the built-in Agent Framework that transforms NexusAI from a simple chat API into a complete AI application platform. No competitor offers a comparable agent system as part of their core platform. The </w:t>
      </w:r>
      <w:r>
        <w:rPr>
          <w:rFonts w:ascii="Calibri" w:hAnsi="Calibri"/>
          <w:b/>
          <w:color w:val="333333"/>
          <w:sz w:val="22"/>
        </w:rPr>
        <w:t>Open Architecture</w:t>
      </w:r>
      <w:r>
        <w:rPr>
          <w:rFonts w:ascii="Calibri" w:hAnsi="Calibri"/>
          <w:color w:val="333333"/>
          <w:sz w:val="22"/>
        </w:rPr>
        <w:t xml:space="preserve"> advantage ensures that organizations are never locked into NexusAI; they can deploy on-premise, fork the codebase, switch models, and customize every aspect of the platform. This transparency builds trust and is particularly important for enterprise customers in regulated industries. Finally, the </w:t>
      </w:r>
      <w:r>
        <w:rPr>
          <w:rFonts w:ascii="Calibri" w:hAnsi="Calibri"/>
          <w:b/>
          <w:color w:val="333333"/>
          <w:sz w:val="22"/>
        </w:rPr>
        <w:t>Bilingual Excellence</w:t>
      </w:r>
      <w:r>
        <w:rPr>
          <w:rFonts w:ascii="Calibri" w:hAnsi="Calibri"/>
          <w:color w:val="333333"/>
          <w:sz w:val="22"/>
        </w:rPr>
        <w:t xml:space="preserve"> advantage provides native, high-quality Urdu support that no major competitor offers, giving NexusAI a defensible position in the South Asian market. Together, these four pillars create a unique value proposition that is difficult for any single competitor to replicate.</w:t>
      </w:r>
    </w:p>
    <w:p>
      <w:r>
        <w:br w:type="page"/>
      </w:r>
    </w:p>
    <w:p>
      <w:pPr>
        <w:pStyle w:val="Heading1"/>
      </w:pPr>
      <w:r>
        <w:t>7. Target Market &amp; User Segments</w:t>
      </w:r>
    </w:p>
    <w:p>
      <w:pPr>
        <w:pStyle w:val="Heading2"/>
      </w:pPr>
      <w:r>
        <w:t>7.1 Segment 1: Individual Developers</w:t>
      </w:r>
    </w:p>
    <w:p>
      <w:r>
        <w:rPr>
          <w:rFonts w:ascii="Calibri" w:hAnsi="Calibri"/>
          <w:color w:val="333333"/>
          <w:sz w:val="22"/>
        </w:rPr>
        <w:t>Individual developers represent the largest user segment for NexusAI, encompassing software engineers, data scientists, AI enthusiasts, and hobbyists who want to integrate AI capabilities into their personal projects, side businesses, or learning endeavors. This segment is particularly sensitive to cost and values ease of integration, comprehensive documentation, and active community support. Individual developers use NexusAI to build AI-powered applications such as chatbots, content generators, code assistants, data analysis tools, and creative applications. The OpenAI-compatible API and Python SDK make it straightforward for developers familiar with existing AI tools to adopt NexusAI, while the free tier removes the financial risk of experimentation.</w:t>
      </w:r>
    </w:p>
    <w:p>
      <w:r>
        <w:rPr>
          <w:rFonts w:ascii="Calibri" w:hAnsi="Calibri"/>
          <w:color w:val="333333"/>
          <w:sz w:val="22"/>
        </w:rPr>
        <w:t>Within this segment, we identify two sub-groups: professional developers who build commercial applications and will potentially convert to premium or enterprise tiers, and student developers who use NexusAI for learning and personal projects and serve as long-term brand ambassadors. The global developer population is estimated at 30 million, with approximately 5 million in South Asia alone. Even capturing 0.1% of this market would represent 30,000 active developers, a substantial user base for a platform in its early stages. Key acquisition channels for this segment include GitHub, Hacker News, Reddit (r/LocalLLaMA, r/MachineLearning), Stack Overflow, developer conferences, and word-of-mouth referrals.</w:t>
      </w:r>
    </w:p>
    <w:p>
      <w:pPr>
        <w:pStyle w:val="Heading2"/>
      </w:pPr>
      <w:r>
        <w:t>7.2 Segment 2: Small Businesses</w:t>
      </w:r>
    </w:p>
    <w:p>
      <w:r>
        <w:rPr>
          <w:rFonts w:ascii="Calibri" w:hAnsi="Calibri"/>
          <w:color w:val="333333"/>
          <w:sz w:val="22"/>
        </w:rPr>
        <w:t>Small businesses represent a high-value segment with clear use cases for AI automation. This segment includes e-commerce stores, service providers, restaurants, clinics, law firms, accounting practices, and other small enterprises that can benefit from AI-powered customer service chatbots, automated email responses, document processing, content generation, and basic data analysis. The key barrier for small businesses is the total cost of ownership, which includes not only API costs but also the development effort required to build and maintain AI-powered solutions. NexusAI addresses both barriers: the free tier and affordable pricing minimize ongoing costs, while the pre-built agent archetypes and Tool System reduce development effort to a fraction of what it would be with raw API access.</w:t>
      </w:r>
    </w:p>
    <w:p>
      <w:r>
        <w:rPr>
          <w:rFonts w:ascii="Calibri" w:hAnsi="Calibri"/>
          <w:color w:val="333333"/>
          <w:sz w:val="22"/>
        </w:rPr>
        <w:t>The Agent Marketplace, planned for Phase 3, will further lower the barrier by allowing small businesses to purchase pre-built agent solutions tailored to their industry. For example, a restaurant owner could purchase a reservation management agent for $10/month, or a law firm could deploy a legal document analysis agent for $50/month. This marketplace approach transforms NexusAI from a developer tool into a business solution platform, dramatically expanding the addressable market. There are approximately 400 million small and medium businesses globally, with significant concentrations in South Asia, Southeast Asia, and the Middle East. Even a tiny penetration of this market would generate substantial revenue.</w:t>
      </w:r>
    </w:p>
    <w:p>
      <w:pPr>
        <w:pStyle w:val="Heading2"/>
      </w:pPr>
      <w:r>
        <w:t>7.3 Segment 3: Students &amp; Researchers</w:t>
      </w:r>
    </w:p>
    <w:p>
      <w:r>
        <w:rPr>
          <w:rFonts w:ascii="Calibri" w:hAnsi="Calibri"/>
          <w:color w:val="333333"/>
          <w:sz w:val="22"/>
        </w:rPr>
        <w:t>Students and researchers represent an important segment for both current adoption and long-term brand building. University students in computer science, data science, linguistics, and business programs need access to AI tools for coursework, thesis projects, and skill development. Researchers in academia and industry use AI platforms for literature review, data analysis, hypothesis generation, and experimental design. This segment is highly price-sensitive but also highly influential, as students who learn to use NexusAI during their education are likely to continue using it in their professional careers, creating a pipeline of long-term users.</w:t>
      </w:r>
    </w:p>
    <w:p>
      <w:r>
        <w:rPr>
          <w:rFonts w:ascii="Calibri" w:hAnsi="Calibri"/>
          <w:color w:val="333333"/>
          <w:sz w:val="22"/>
        </w:rPr>
        <w:t>NexusAI offers specific value to this segment through the free tier, which provides sufficient capacity for research and learning purposes, and the RAG pipeline, which enables researchers to build custom knowledge bases from academic papers and datasets. The bilingual support is particularly valuable for researchers working on Urdu NLP, cross-lingual information retrieval, and regional AI applications. We plan to establish university partnership programs that provide enhanced free-tier access to accredited institutions, along with curriculum materials, tutorials, and guest lectures. These partnerships not only build the user base but also establish NexusAI as a thought leader in AI education, particularly in the South Asian academic community.</w:t>
      </w:r>
    </w:p>
    <w:p>
      <w:pPr>
        <w:pStyle w:val="Heading2"/>
      </w:pPr>
      <w:r>
        <w:t>7.4 Segment 4: Enterprises</w:t>
      </w:r>
    </w:p>
    <w:p>
      <w:r>
        <w:rPr>
          <w:rFonts w:ascii="Calibri" w:hAnsi="Calibri"/>
          <w:color w:val="333333"/>
          <w:sz w:val="22"/>
        </w:rPr>
        <w:t>Enterprise customers represent the highest revenue potential per user, with custom pricing that reflects the significant value NexusAI delivers to large organizations. This segment includes banks, telecommunications companies, healthcare providers, government agencies, and large corporations that need AI capabilities but face strict requirements around data sovereignty, regulatory compliance, and vendor lock-in. For these organizations, NexusAI on-premise deployment option is a critical differentiator that enables them to leverage advanced AI capabilities while keeping sensitive data within their own infrastructure. The bilingual support is also highly valuable for enterprises operating in multilingual environments, such as customer service centers that handle both English and Urdu inquiries.</w:t>
      </w:r>
    </w:p>
    <w:p>
      <w:r>
        <w:rPr>
          <w:rFonts w:ascii="Calibri" w:hAnsi="Calibri"/>
          <w:color w:val="333333"/>
          <w:sz w:val="22"/>
        </w:rPr>
        <w:t>Enterprise customers typically require a 3-6 month sales cycle involving technical evaluations, security reviews, proof-of-concept deployments, and executive-level purchasing decisions. NexusAI will address this through dedicated enterprise sales efforts, technical pre-sales support, comprehensive security documentation, and a formal partner network for implementation services. The enterprise tier is priced to deliver 5-10x ROI compared to building equivalent capabilities in-house or purchasing from proprietary vendors, while providing the transparency and control that enterprise IT and security teams demand.</w:t>
      </w:r>
    </w:p>
    <w:p>
      <w:pPr>
        <w:pStyle w:val="Heading2"/>
      </w:pPr>
      <w:r>
        <w:t>7.5 Market Size Estimation (TAM / SAM / SOM)</w:t>
      </w:r>
    </w:p>
    <w:tbl>
      <w:tblPr>
        <w:tblStyle w:val="TableGrid"/>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120"/>
        <w:gridCol w:w="3120"/>
        <w:gridCol w:w="3120"/>
      </w:tblGrid>
      <w:tr>
        <w:tc>
          <w:tcPr>
            <w:tcW w:type="dxa" w:w="2880"/>
            <w:shd w:fill="1A2744"/>
            <w:vAlign w:val="center"/>
          </w:tcPr>
          <w:p>
            <w:pPr>
              <w:spacing w:before="60" w:after="60"/>
              <w:jc w:val="center"/>
            </w:pPr>
            <w:r/>
            <w:r>
              <w:rPr>
                <w:rFonts w:ascii="Calibri" w:hAnsi="Calibri"/>
                <w:b/>
                <w:color w:val="FFFFFF"/>
                <w:sz w:val="20"/>
              </w:rPr>
              <w:t>Metric</w:t>
            </w:r>
          </w:p>
        </w:tc>
        <w:tc>
          <w:tcPr>
            <w:tcW w:type="dxa" w:w="2160"/>
            <w:shd w:fill="1A2744"/>
            <w:vAlign w:val="center"/>
          </w:tcPr>
          <w:p>
            <w:pPr>
              <w:spacing w:before="60" w:after="60"/>
              <w:jc w:val="center"/>
            </w:pPr>
            <w:r/>
            <w:r>
              <w:rPr>
                <w:rFonts w:ascii="Calibri" w:hAnsi="Calibri"/>
                <w:b/>
                <w:color w:val="FFFFFF"/>
                <w:sz w:val="20"/>
              </w:rPr>
              <w:t>Estimate</w:t>
            </w:r>
          </w:p>
        </w:tc>
        <w:tc>
          <w:tcPr>
            <w:tcW w:type="dxa" w:w="4320"/>
            <w:shd w:fill="1A2744"/>
            <w:vAlign w:val="center"/>
          </w:tcPr>
          <w:p>
            <w:pPr>
              <w:spacing w:before="60" w:after="60"/>
              <w:jc w:val="center"/>
            </w:pPr>
            <w:r/>
            <w:r>
              <w:rPr>
                <w:rFonts w:ascii="Calibri" w:hAnsi="Calibri"/>
                <w:b/>
                <w:color w:val="FFFFFF"/>
                <w:sz w:val="20"/>
              </w:rPr>
              <w:t>Basis</w:t>
            </w:r>
          </w:p>
        </w:tc>
      </w:tr>
      <w:tr>
        <w:tc>
          <w:tcPr>
            <w:tcW w:type="dxa" w:w="2880"/>
            <w:vAlign w:val="center"/>
          </w:tcPr>
          <w:p>
            <w:pPr>
              <w:spacing w:before="60" w:after="60"/>
              <w:jc w:val="left"/>
            </w:pPr>
            <w:r/>
            <w:r>
              <w:rPr>
                <w:rFonts w:ascii="Calibri" w:hAnsi="Calibri"/>
                <w:b w:val="0"/>
                <w:color w:val="333333"/>
                <w:sz w:val="19"/>
              </w:rPr>
              <w:t>Total Addressable Market (TAM)</w:t>
            </w:r>
          </w:p>
        </w:tc>
        <w:tc>
          <w:tcPr>
            <w:tcW w:type="dxa" w:w="2160"/>
            <w:vAlign w:val="center"/>
          </w:tcPr>
          <w:p>
            <w:pPr>
              <w:spacing w:before="60" w:after="60"/>
              <w:jc w:val="left"/>
            </w:pPr>
            <w:r/>
            <w:r>
              <w:rPr>
                <w:rFonts w:ascii="Calibri" w:hAnsi="Calibri"/>
                <w:b w:val="0"/>
                <w:color w:val="333333"/>
                <w:sz w:val="19"/>
              </w:rPr>
              <w:t>$45B (2027)</w:t>
            </w:r>
          </w:p>
        </w:tc>
        <w:tc>
          <w:tcPr>
            <w:tcW w:type="dxa" w:w="4320"/>
            <w:vAlign w:val="center"/>
          </w:tcPr>
          <w:p>
            <w:pPr>
              <w:spacing w:before="60" w:after="60"/>
              <w:jc w:val="left"/>
            </w:pPr>
            <w:r/>
            <w:r>
              <w:rPr>
                <w:rFonts w:ascii="Calibri" w:hAnsi="Calibri"/>
                <w:b w:val="0"/>
                <w:color w:val="333333"/>
                <w:sz w:val="19"/>
              </w:rPr>
              <w:t>Global AI development platform market</w:t>
            </w:r>
          </w:p>
        </w:tc>
      </w:tr>
      <w:tr>
        <w:tc>
          <w:tcPr>
            <w:tcW w:type="dxa" w:w="2880"/>
            <w:shd w:fill="EDF2F7"/>
            <w:vAlign w:val="center"/>
          </w:tcPr>
          <w:p>
            <w:pPr>
              <w:spacing w:before="60" w:after="60"/>
              <w:jc w:val="left"/>
            </w:pPr>
            <w:r/>
            <w:r>
              <w:rPr>
                <w:rFonts w:ascii="Calibri" w:hAnsi="Calibri"/>
                <w:b w:val="0"/>
                <w:color w:val="333333"/>
                <w:sz w:val="19"/>
              </w:rPr>
              <w:t>Serviceable Available Market (SAM)</w:t>
            </w:r>
          </w:p>
        </w:tc>
        <w:tc>
          <w:tcPr>
            <w:tcW w:type="dxa" w:w="2160"/>
            <w:shd w:fill="EDF2F7"/>
            <w:vAlign w:val="center"/>
          </w:tcPr>
          <w:p>
            <w:pPr>
              <w:spacing w:before="60" w:after="60"/>
              <w:jc w:val="left"/>
            </w:pPr>
            <w:r/>
            <w:r>
              <w:rPr>
                <w:rFonts w:ascii="Calibri" w:hAnsi="Calibri"/>
                <w:b w:val="0"/>
                <w:color w:val="333333"/>
                <w:sz w:val="19"/>
              </w:rPr>
              <w:t>$2.5B</w:t>
            </w:r>
          </w:p>
        </w:tc>
        <w:tc>
          <w:tcPr>
            <w:tcW w:type="dxa" w:w="4320"/>
            <w:shd w:fill="EDF2F7"/>
            <w:vAlign w:val="center"/>
          </w:tcPr>
          <w:p>
            <w:pPr>
              <w:spacing w:before="60" w:after="60"/>
              <w:jc w:val="left"/>
            </w:pPr>
            <w:r/>
            <w:r>
              <w:rPr>
                <w:rFonts w:ascii="Calibri" w:hAnsi="Calibri"/>
                <w:b w:val="0"/>
                <w:color w:val="333333"/>
                <w:sz w:val="19"/>
              </w:rPr>
              <w:t>South Asia, Middle East, and developing markets</w:t>
            </w:r>
          </w:p>
        </w:tc>
      </w:tr>
      <w:tr>
        <w:tc>
          <w:tcPr>
            <w:tcW w:type="dxa" w:w="2880"/>
            <w:vAlign w:val="center"/>
          </w:tcPr>
          <w:p>
            <w:pPr>
              <w:spacing w:before="60" w:after="60"/>
              <w:jc w:val="left"/>
            </w:pPr>
            <w:r/>
            <w:r>
              <w:rPr>
                <w:rFonts w:ascii="Calibri" w:hAnsi="Calibri"/>
                <w:b w:val="0"/>
                <w:color w:val="333333"/>
                <w:sz w:val="19"/>
              </w:rPr>
              <w:t>Serviceable Obtainable Market (SOM)</w:t>
            </w:r>
          </w:p>
        </w:tc>
        <w:tc>
          <w:tcPr>
            <w:tcW w:type="dxa" w:w="2160"/>
            <w:vAlign w:val="center"/>
          </w:tcPr>
          <w:p>
            <w:pPr>
              <w:spacing w:before="60" w:after="60"/>
              <w:jc w:val="left"/>
            </w:pPr>
            <w:r/>
            <w:r>
              <w:rPr>
                <w:rFonts w:ascii="Calibri" w:hAnsi="Calibri"/>
                <w:b w:val="0"/>
                <w:color w:val="333333"/>
                <w:sz w:val="19"/>
              </w:rPr>
              <w:t>$12M (Year 2)</w:t>
            </w:r>
          </w:p>
        </w:tc>
        <w:tc>
          <w:tcPr>
            <w:tcW w:type="dxa" w:w="4320"/>
            <w:vAlign w:val="center"/>
          </w:tcPr>
          <w:p>
            <w:pPr>
              <w:spacing w:before="60" w:after="60"/>
              <w:jc w:val="left"/>
            </w:pPr>
            <w:r/>
            <w:r>
              <w:rPr>
                <w:rFonts w:ascii="Calibri" w:hAnsi="Calibri"/>
                <w:b w:val="0"/>
                <w:color w:val="333333"/>
                <w:sz w:val="19"/>
              </w:rPr>
              <w:t>3-5% of SAM with current resources</w:t>
            </w:r>
          </w:p>
        </w:tc>
      </w:tr>
      <w:tr>
        <w:tc>
          <w:tcPr>
            <w:tcW w:type="dxa" w:w="2880"/>
            <w:shd w:fill="EDF2F7"/>
            <w:vAlign w:val="center"/>
          </w:tcPr>
          <w:p>
            <w:pPr>
              <w:spacing w:before="60" w:after="60"/>
              <w:jc w:val="left"/>
            </w:pPr>
            <w:r/>
            <w:r>
              <w:rPr>
                <w:rFonts w:ascii="Calibri" w:hAnsi="Calibri"/>
                <w:b w:val="0"/>
                <w:color w:val="333333"/>
                <w:sz w:val="19"/>
              </w:rPr>
              <w:t>Target Free Users (Year 1)</w:t>
            </w:r>
          </w:p>
        </w:tc>
        <w:tc>
          <w:tcPr>
            <w:tcW w:type="dxa" w:w="2160"/>
            <w:shd w:fill="EDF2F7"/>
            <w:vAlign w:val="center"/>
          </w:tcPr>
          <w:p>
            <w:pPr>
              <w:spacing w:before="60" w:after="60"/>
              <w:jc w:val="left"/>
            </w:pPr>
            <w:r/>
            <w:r>
              <w:rPr>
                <w:rFonts w:ascii="Calibri" w:hAnsi="Calibri"/>
                <w:b w:val="0"/>
                <w:color w:val="333333"/>
                <w:sz w:val="19"/>
              </w:rPr>
              <w:t>25,000</w:t>
            </w:r>
          </w:p>
        </w:tc>
        <w:tc>
          <w:tcPr>
            <w:tcW w:type="dxa" w:w="4320"/>
            <w:shd w:fill="EDF2F7"/>
            <w:vAlign w:val="center"/>
          </w:tcPr>
          <w:p>
            <w:pPr>
              <w:spacing w:before="60" w:after="60"/>
              <w:jc w:val="left"/>
            </w:pPr>
            <w:r/>
            <w:r>
              <w:rPr>
                <w:rFonts w:ascii="Calibri" w:hAnsi="Calibri"/>
                <w:b w:val="0"/>
                <w:color w:val="333333"/>
                <w:sz w:val="19"/>
              </w:rPr>
              <w:t>Developer community growth projections</w:t>
            </w:r>
          </w:p>
        </w:tc>
      </w:tr>
      <w:tr>
        <w:tc>
          <w:tcPr>
            <w:tcW w:type="dxa" w:w="2880"/>
            <w:vAlign w:val="center"/>
          </w:tcPr>
          <w:p>
            <w:pPr>
              <w:spacing w:before="60" w:after="60"/>
              <w:jc w:val="left"/>
            </w:pPr>
            <w:r/>
            <w:r>
              <w:rPr>
                <w:rFonts w:ascii="Calibri" w:hAnsi="Calibri"/>
                <w:b w:val="0"/>
                <w:color w:val="333333"/>
                <w:sz w:val="19"/>
              </w:rPr>
              <w:t>Target Premium Users (Year 1)</w:t>
            </w:r>
          </w:p>
        </w:tc>
        <w:tc>
          <w:tcPr>
            <w:tcW w:type="dxa" w:w="2160"/>
            <w:vAlign w:val="center"/>
          </w:tcPr>
          <w:p>
            <w:pPr>
              <w:spacing w:before="60" w:after="60"/>
              <w:jc w:val="left"/>
            </w:pPr>
            <w:r/>
            <w:r>
              <w:rPr>
                <w:rFonts w:ascii="Calibri" w:hAnsi="Calibri"/>
                <w:b w:val="0"/>
                <w:color w:val="333333"/>
                <w:sz w:val="19"/>
              </w:rPr>
              <w:t>750</w:t>
            </w:r>
          </w:p>
        </w:tc>
        <w:tc>
          <w:tcPr>
            <w:tcW w:type="dxa" w:w="4320"/>
            <w:vAlign w:val="center"/>
          </w:tcPr>
          <w:p>
            <w:pPr>
              <w:spacing w:before="60" w:after="60"/>
              <w:jc w:val="left"/>
            </w:pPr>
            <w:r/>
            <w:r>
              <w:rPr>
                <w:rFonts w:ascii="Calibri" w:hAnsi="Calibri"/>
                <w:b w:val="0"/>
                <w:color w:val="333333"/>
                <w:sz w:val="19"/>
              </w:rPr>
              <w:t>3% conversion rate from free tier</w:t>
            </w:r>
          </w:p>
        </w:tc>
      </w:tr>
      <w:tr>
        <w:tc>
          <w:tcPr>
            <w:tcW w:type="dxa" w:w="2880"/>
            <w:shd w:fill="EDF2F7"/>
            <w:vAlign w:val="center"/>
          </w:tcPr>
          <w:p>
            <w:pPr>
              <w:spacing w:before="60" w:after="60"/>
              <w:jc w:val="left"/>
            </w:pPr>
            <w:r/>
            <w:r>
              <w:rPr>
                <w:rFonts w:ascii="Calibri" w:hAnsi="Calibri"/>
                <w:b w:val="0"/>
                <w:color w:val="333333"/>
                <w:sz w:val="19"/>
              </w:rPr>
              <w:t>Target Enterprise Clients (Year 1)</w:t>
            </w:r>
          </w:p>
        </w:tc>
        <w:tc>
          <w:tcPr>
            <w:tcW w:type="dxa" w:w="2160"/>
            <w:shd w:fill="EDF2F7"/>
            <w:vAlign w:val="center"/>
          </w:tcPr>
          <w:p>
            <w:pPr>
              <w:spacing w:before="60" w:after="60"/>
              <w:jc w:val="left"/>
            </w:pPr>
            <w:r/>
            <w:r>
              <w:rPr>
                <w:rFonts w:ascii="Calibri" w:hAnsi="Calibri"/>
                <w:b w:val="0"/>
                <w:color w:val="333333"/>
                <w:sz w:val="19"/>
              </w:rPr>
              <w:t>5</w:t>
            </w:r>
          </w:p>
        </w:tc>
        <w:tc>
          <w:tcPr>
            <w:tcW w:type="dxa" w:w="4320"/>
            <w:shd w:fill="EDF2F7"/>
            <w:vAlign w:val="center"/>
          </w:tcPr>
          <w:p>
            <w:pPr>
              <w:spacing w:before="60" w:after="60"/>
              <w:jc w:val="left"/>
            </w:pPr>
            <w:r/>
            <w:r>
              <w:rPr>
                <w:rFonts w:ascii="Calibri" w:hAnsi="Calibri"/>
                <w:b w:val="0"/>
                <w:color w:val="333333"/>
                <w:sz w:val="19"/>
              </w:rPr>
              <w:t>Pilot program conversion targets</w:t>
            </w:r>
          </w:p>
        </w:tc>
      </w:tr>
    </w:tbl>
    <w:p>
      <w:pPr>
        <w:spacing w:before="80"/>
      </w:pPr>
      <w:r>
        <w:rPr>
          <w:i/>
          <w:color w:val="666666"/>
          <w:sz w:val="18"/>
        </w:rPr>
        <w:t>Table 4: Market Size Estimation</w:t>
      </w:r>
    </w:p>
    <w:p>
      <w:r>
        <w:br w:type="page"/>
      </w:r>
    </w:p>
    <w:p>
      <w:pPr>
        <w:pStyle w:val="Heading1"/>
      </w:pPr>
      <w:r>
        <w:t>8. Go-to-Market Strategy</w:t>
      </w:r>
    </w:p>
    <w:p>
      <w:pPr>
        <w:pStyle w:val="Heading2"/>
      </w:pPr>
      <w:r>
        <w:t>8.1 Phase 1: Developer Community Launch (Months 1-6)</w:t>
      </w:r>
    </w:p>
    <w:p>
      <w:r>
        <w:rPr>
          <w:rFonts w:ascii="Calibri" w:hAnsi="Calibri"/>
          <w:color w:val="333333"/>
          <w:sz w:val="22"/>
        </w:rPr>
        <w:t>The go-to-market strategy begins with a focused effort to build a vibrant developer community around NexusAI. This phase is critical for establishing credibility, gathering early feedback, and creating the network effects that will drive organic growth. The primary objectives for Phase 1 are: achieve 5,000 GitHub stars, onboard 1,000 active developers, publish 50 community-contributed integrations or agents, and establish NexusAI as a recognized name in the open-source AI community. The launch sequence is designed to maximize visibility and momentum, starting with a well-crafted Product Hunt launch, followed by strategic posts on Hacker News, Reddit, and dev.to, and culminating in a dedicated launch event streamed on YouTube and shared across social media channels.</w:t>
      </w:r>
    </w:p>
    <w:p>
      <w:r>
        <w:rPr>
          <w:rFonts w:ascii="Calibri" w:hAnsi="Calibri"/>
          <w:color w:val="333333"/>
          <w:sz w:val="22"/>
        </w:rPr>
        <w:t>Content marketing plays a central role in Phase 1. We will publish weekly technical blog posts covering topics such as building AI agents, RAG pipeline optimization, bilingual NLP challenges, and cost-effective model deployment. These posts serve dual purposes: providing genuine value to the developer community and establishing NexusAI as a thought leader. We will also create comprehensive documentation, video tutorials, and example projects that demonstrate the platform capabilities. Community engagement activities include weekly office hours on Discord, monthly community calls, hackathon sponsorships, and a contributor recognition program. Special attention will be given to Urdu-language content creation, including Urdu blog posts, tutorial videos, and a dedicated Urdu Discord channel, to build awareness in the primary regional market.</w:t>
      </w:r>
    </w:p>
    <w:p>
      <w:pPr>
        <w:pStyle w:val="Heading2"/>
      </w:pPr>
      <w:r>
        <w:t>8.2 Phase 2: Open Source Growth (Months 4-12)</w:t>
      </w:r>
    </w:p>
    <w:p>
      <w:r>
        <w:rPr>
          <w:rFonts w:ascii="Calibri" w:hAnsi="Calibri"/>
          <w:color w:val="333333"/>
          <w:sz w:val="22"/>
        </w:rPr>
        <w:t>Phase 2 focuses on deepening the open-source community and establishing NexusAI as a platform that developers actively contribute to and build upon. The key objectives are: reach 15,000 GitHub stars, onboard 200+ code contributors, publish the Agent Marketplace beta, and establish formal partnerships with 10 universities and 5 technology companies. This phase overlaps with Phase 1, as community building is a continuous activity that accelerates as the project gains visibility. A contributor onboarding program will be established with clear contribution guidelines, good-first-issue labels, mentorship for new contributors, and a contributor ladder that recognizes and rewards sustained participation.</w:t>
      </w:r>
    </w:p>
    <w:p>
      <w:r>
        <w:rPr>
          <w:rFonts w:ascii="Calibri" w:hAnsi="Calibri"/>
          <w:color w:val="333333"/>
          <w:sz w:val="22"/>
        </w:rPr>
        <w:t>Strategic open-source partnerships will be pursued with complementary projects. For example, integrating NexusAI with popular frameworks like LangChain, LlamaIndex, and Flowise would expose the platform to their large user bases. We will also explore integration with cloud platforms like DigitalOcean and Railway that offer GPU instances, making it easy for developers to deploy NexusAI-compatible models. Conference speaking engagements at major AI and open-source events (PyCon, AI Dev Summit, Open Source Summit) will increase visibility and credibility. The bilingual content strategy will expand to include Urdu-language podcasts, partnerships with Pakistani and Indian tech media outlets, and participation in regional technology events like Karachi AI Meetup and Lahore DevFest.</w:t>
      </w:r>
    </w:p>
    <w:p>
      <w:pPr>
        <w:pStyle w:val="Heading2"/>
      </w:pPr>
      <w:r>
        <w:t>8.3 Phase 3: Enterprise Sales (Months 8-18)</w:t>
      </w:r>
    </w:p>
    <w:p>
      <w:r>
        <w:rPr>
          <w:rFonts w:ascii="Calibri" w:hAnsi="Calibri"/>
          <w:color w:val="333333"/>
          <w:sz w:val="22"/>
        </w:rPr>
        <w:t>Phase 3 marks the transition from community-driven growth to revenue-focused enterprise sales. The key objectives are: sign 10 enterprise customers, achieve $50,000 in monthly recurring revenue, launch the Agent Marketplace generally, and establish a formal enterprise sales process. Enterprise sales require a fundamentally different approach than developer community building. We will create enterprise-grade marketing materials including whitepapers, case studies, ROI calculators, and security compliance documentation. A dedicated enterprise landing page will highlight on-premise deployment, data sovereignty, bilingual capabilities, and compliance features.</w:t>
      </w:r>
    </w:p>
    <w:p>
      <w:r>
        <w:rPr>
          <w:rFonts w:ascii="Calibri" w:hAnsi="Calibri"/>
          <w:color w:val="333333"/>
          <w:sz w:val="22"/>
        </w:rPr>
        <w:t>The enterprise sales process will be supported by a partner network of system integrators and consulting firms who can provide implementation services, custom development, and ongoing support. Initial enterprise targets will be organizations in Pakistan, the UAE, and Saudi Arabia, where the bilingual capability and data sovereignty features provide the strongest value proposition. Pilot programs offering 90-day free trials with full enterprise features will lower the barrier to entry. Success stories from early enterprise adopters will be developed into detailed case studies that demonstrate measurable business outcomes, such as cost savings, efficiency improvements, and customer satisfaction increases. These case studies will be the most powerful sales tool for subsequent enterprise engagements.</w:t>
      </w:r>
    </w:p>
    <w:p>
      <w:pPr>
        <w:pStyle w:val="Heading2"/>
      </w:pPr>
      <w:r>
        <w:t>8.4 Phase 4: Regional Expansion (Months 12-24)</w:t>
      </w:r>
    </w:p>
    <w:p>
      <w:r>
        <w:rPr>
          <w:rFonts w:ascii="Calibri" w:hAnsi="Calibri"/>
          <w:color w:val="333333"/>
          <w:sz w:val="22"/>
        </w:rPr>
        <w:t>Phase 4 focuses on expanding NexusAI presence in South Asian and Middle Eastern markets, leveraging the bilingual capability and regional partnerships established in earlier phases. The key objectives are: achieve 50,000 GitHub stars, reach 5,000 premium subscribers, sign 20 enterprise customers, and establish NexusAI as the leading AI platform in Pakistan and a recognized platform in India, Bangladesh, and the Gulf states. Regional expansion requires localized marketing, partnerships with regional technology companies, participation in regional events, and potentially the establishment of local offices or representatives.</w:t>
      </w:r>
    </w:p>
    <w:p>
      <w:r>
        <w:rPr>
          <w:rFonts w:ascii="Calibri" w:hAnsi="Calibri"/>
          <w:color w:val="333333"/>
          <w:sz w:val="22"/>
        </w:rPr>
        <w:t>A regional ambassador program will be launched to identify and empower community leaders in key markets. Ambassadors will organize local meetups, create region-specific content, provide feedback on localization, and serve as the primary point of contact for the NexusAI community in their region. Language expansion beyond Urdu will be evaluated based on market demand, with Arabic, Hindi, and Bengali as potential candidates. The financial infrastructure will also be localized to support regional payment methods, including JazzCash, Easypaisa, and UPI, reducing friction for premium subscriptions in markets where credit card penetration is low. This comprehensive regional strategy ensures that NexusAI captures market share efficiently in its target geographies while building a foundation for global expansion.</w:t>
      </w:r>
    </w:p>
    <w:p>
      <w:r>
        <w:br w:type="page"/>
      </w:r>
    </w:p>
    <w:p>
      <w:pPr>
        <w:pStyle w:val="Heading1"/>
      </w:pPr>
      <w:r>
        <w:t>9. Development Roadmap &amp; Timeline</w:t>
      </w:r>
    </w:p>
    <w:p>
      <w:pPr>
        <w:pStyle w:val="Heading2"/>
      </w:pPr>
      <w:r>
        <w:t>9.1 Roadmap Overview</w:t>
      </w:r>
    </w:p>
    <w:p>
      <w:r>
        <w:rPr>
          <w:rFonts w:ascii="Calibri" w:hAnsi="Calibri"/>
          <w:color w:val="333333"/>
          <w:sz w:val="22"/>
        </w:rPr>
        <w:t>The NexusAI development roadmap is organized into four phases spanning 24 months, with each phase delivering a set of features, milestones, and measurable outcomes. The roadmap is designed to follow a progressive enhancement approach where each phase builds on the capabilities delivered in the previous phase. This approach ensures that the platform is always in a usable, valuable state, even during early development stages. The roadmap also incorporates regular feedback cycles with the community, allowing the development priorities to be adjusted based on real-world usage patterns and user needs.</w:t>
      </w:r>
    </w:p>
    <w:p>
      <w:pPr>
        <w:pStyle w:val="Heading2"/>
      </w:pPr>
      <w:r>
        <w:t>9.2 Detailed Timeline</w:t>
      </w:r>
    </w:p>
    <w:tbl>
      <w:tblPr>
        <w:tblStyle w:val="TableGrid"/>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340"/>
        <w:gridCol w:w="2340"/>
        <w:gridCol w:w="2340"/>
        <w:gridCol w:w="2340"/>
      </w:tblGrid>
      <w:tr>
        <w:tc>
          <w:tcPr>
            <w:tcW w:type="dxa" w:w="1728"/>
            <w:shd w:fill="1A2744"/>
            <w:vAlign w:val="center"/>
          </w:tcPr>
          <w:p>
            <w:pPr>
              <w:spacing w:before="60" w:after="60"/>
              <w:jc w:val="center"/>
            </w:pPr>
            <w:r/>
            <w:r>
              <w:rPr>
                <w:rFonts w:ascii="Calibri" w:hAnsi="Calibri"/>
                <w:b/>
                <w:color w:val="FFFFFF"/>
                <w:sz w:val="20"/>
              </w:rPr>
              <w:t>Phase</w:t>
            </w:r>
          </w:p>
        </w:tc>
        <w:tc>
          <w:tcPr>
            <w:tcW w:type="dxa" w:w="1440"/>
            <w:shd w:fill="1A2744"/>
            <w:vAlign w:val="center"/>
          </w:tcPr>
          <w:p>
            <w:pPr>
              <w:spacing w:before="60" w:after="60"/>
              <w:jc w:val="center"/>
            </w:pPr>
            <w:r/>
            <w:r>
              <w:rPr>
                <w:rFonts w:ascii="Calibri" w:hAnsi="Calibri"/>
                <w:b/>
                <w:color w:val="FFFFFF"/>
                <w:sz w:val="20"/>
              </w:rPr>
              <w:t>Timeline</w:t>
            </w:r>
          </w:p>
        </w:tc>
        <w:tc>
          <w:tcPr>
            <w:tcW w:type="dxa" w:w="3600"/>
            <w:shd w:fill="1A2744"/>
            <w:vAlign w:val="center"/>
          </w:tcPr>
          <w:p>
            <w:pPr>
              <w:spacing w:before="60" w:after="60"/>
              <w:jc w:val="center"/>
            </w:pPr>
            <w:r/>
            <w:r>
              <w:rPr>
                <w:rFonts w:ascii="Calibri" w:hAnsi="Calibri"/>
                <w:b/>
                <w:color w:val="FFFFFF"/>
                <w:sz w:val="20"/>
              </w:rPr>
              <w:t>Key Deliverables</w:t>
            </w:r>
          </w:p>
        </w:tc>
        <w:tc>
          <w:tcPr>
            <w:tcW w:type="dxa" w:w="2592"/>
            <w:shd w:fill="1A2744"/>
            <w:vAlign w:val="center"/>
          </w:tcPr>
          <w:p>
            <w:pPr>
              <w:spacing w:before="60" w:after="60"/>
              <w:jc w:val="center"/>
            </w:pPr>
            <w:r/>
            <w:r>
              <w:rPr>
                <w:rFonts w:ascii="Calibri" w:hAnsi="Calibri"/>
                <w:b/>
                <w:color w:val="FFFFFF"/>
                <w:sz w:val="20"/>
              </w:rPr>
              <w:t>Success Metrics</w:t>
            </w:r>
          </w:p>
        </w:tc>
      </w:tr>
      <w:tr>
        <w:tc>
          <w:tcPr>
            <w:tcW w:type="dxa" w:w="1728"/>
            <w:vAlign w:val="center"/>
          </w:tcPr>
          <w:p>
            <w:pPr>
              <w:spacing w:before="60" w:after="60"/>
              <w:jc w:val="left"/>
            </w:pPr>
            <w:r/>
            <w:r>
              <w:rPr>
                <w:rFonts w:ascii="Calibri" w:hAnsi="Calibri"/>
                <w:b w:val="0"/>
                <w:color w:val="333333"/>
                <w:sz w:val="19"/>
              </w:rPr>
              <w:t>Phase 1: Foundation</w:t>
            </w:r>
          </w:p>
        </w:tc>
        <w:tc>
          <w:tcPr>
            <w:tcW w:type="dxa" w:w="1440"/>
            <w:vAlign w:val="center"/>
          </w:tcPr>
          <w:p>
            <w:pPr>
              <w:spacing w:before="60" w:after="60"/>
              <w:jc w:val="left"/>
            </w:pPr>
            <w:r/>
            <w:r>
              <w:rPr>
                <w:rFonts w:ascii="Calibri" w:hAnsi="Calibri"/>
                <w:b w:val="0"/>
                <w:color w:val="333333"/>
                <w:sz w:val="19"/>
              </w:rPr>
              <w:t>Months 1-3</w:t>
            </w:r>
          </w:p>
        </w:tc>
        <w:tc>
          <w:tcPr>
            <w:tcW w:type="dxa" w:w="3600"/>
            <w:vAlign w:val="center"/>
          </w:tcPr>
          <w:p>
            <w:pPr>
              <w:spacing w:before="60" w:after="60"/>
              <w:jc w:val="left"/>
            </w:pPr>
            <w:r/>
            <w:r>
              <w:rPr>
                <w:rFonts w:ascii="Calibri" w:hAnsi="Calibri"/>
                <w:b w:val="0"/>
                <w:color w:val="333333"/>
                <w:sz w:val="19"/>
              </w:rPr>
              <w:t>Chat API, basic SDK, Qwen 2.5 7B/14B deployment, CI/CD pipeline, documentation site</w:t>
            </w:r>
          </w:p>
        </w:tc>
        <w:tc>
          <w:tcPr>
            <w:tcW w:type="dxa" w:w="2592"/>
            <w:vAlign w:val="center"/>
          </w:tcPr>
          <w:p>
            <w:pPr>
              <w:spacing w:before="60" w:after="60"/>
              <w:jc w:val="left"/>
            </w:pPr>
            <w:r/>
            <w:r>
              <w:rPr>
                <w:rFonts w:ascii="Calibri" w:hAnsi="Calibri"/>
                <w:b w:val="0"/>
                <w:color w:val="333333"/>
                <w:sz w:val="19"/>
              </w:rPr>
              <w:t>API response &lt;2s, 99% uptime, 500 GitHub stars</w:t>
            </w:r>
          </w:p>
        </w:tc>
      </w:tr>
      <w:tr>
        <w:tc>
          <w:tcPr>
            <w:tcW w:type="dxa" w:w="1728"/>
            <w:shd w:fill="EDF2F7"/>
            <w:vAlign w:val="center"/>
          </w:tcPr>
          <w:p>
            <w:pPr>
              <w:spacing w:before="60" w:after="60"/>
              <w:jc w:val="left"/>
            </w:pPr>
            <w:r/>
            <w:r>
              <w:rPr>
                <w:rFonts w:ascii="Calibri" w:hAnsi="Calibri"/>
                <w:b w:val="0"/>
                <w:color w:val="333333"/>
                <w:sz w:val="19"/>
              </w:rPr>
              <w:t>Phase 2: Intelligence</w:t>
            </w:r>
          </w:p>
        </w:tc>
        <w:tc>
          <w:tcPr>
            <w:tcW w:type="dxa" w:w="1440"/>
            <w:shd w:fill="EDF2F7"/>
            <w:vAlign w:val="center"/>
          </w:tcPr>
          <w:p>
            <w:pPr>
              <w:spacing w:before="60" w:after="60"/>
              <w:jc w:val="left"/>
            </w:pPr>
            <w:r/>
            <w:r>
              <w:rPr>
                <w:rFonts w:ascii="Calibri" w:hAnsi="Calibri"/>
                <w:b w:val="0"/>
                <w:color w:val="333333"/>
                <w:sz w:val="19"/>
              </w:rPr>
              <w:t>Months 4-6</w:t>
            </w:r>
          </w:p>
        </w:tc>
        <w:tc>
          <w:tcPr>
            <w:tcW w:type="dxa" w:w="3600"/>
            <w:shd w:fill="EDF2F7"/>
            <w:vAlign w:val="center"/>
          </w:tcPr>
          <w:p>
            <w:pPr>
              <w:spacing w:before="60" w:after="60"/>
              <w:jc w:val="left"/>
            </w:pPr>
            <w:r/>
            <w:r>
              <w:rPr>
                <w:rFonts w:ascii="Calibri" w:hAnsi="Calibri"/>
                <w:b w:val="0"/>
                <w:color w:val="333333"/>
                <w:sz w:val="19"/>
              </w:rPr>
              <w:t>Agent Framework v1, Tool System, Memory System, Qwen 2.5 72B deployment, Premium tier launch</w:t>
            </w:r>
          </w:p>
        </w:tc>
        <w:tc>
          <w:tcPr>
            <w:tcW w:type="dxa" w:w="2592"/>
            <w:shd w:fill="EDF2F7"/>
            <w:vAlign w:val="center"/>
          </w:tcPr>
          <w:p>
            <w:pPr>
              <w:spacing w:before="60" w:after="60"/>
              <w:jc w:val="left"/>
            </w:pPr>
            <w:r/>
            <w:r>
              <w:rPr>
                <w:rFonts w:ascii="Calibri" w:hAnsi="Calibri"/>
                <w:b w:val="0"/>
                <w:color w:val="333333"/>
                <w:sz w:val="19"/>
              </w:rPr>
              <w:t>1,000 active users, 5,000 stars, 50 premium subs</w:t>
            </w:r>
          </w:p>
        </w:tc>
      </w:tr>
      <w:tr>
        <w:tc>
          <w:tcPr>
            <w:tcW w:type="dxa" w:w="1728"/>
            <w:vAlign w:val="center"/>
          </w:tcPr>
          <w:p>
            <w:pPr>
              <w:spacing w:before="60" w:after="60"/>
              <w:jc w:val="left"/>
            </w:pPr>
            <w:r/>
            <w:r>
              <w:rPr>
                <w:rFonts w:ascii="Calibri" w:hAnsi="Calibri"/>
                <w:b w:val="0"/>
                <w:color w:val="333333"/>
                <w:sz w:val="19"/>
              </w:rPr>
              <w:t>Phase 3: Platform</w:t>
            </w:r>
          </w:p>
        </w:tc>
        <w:tc>
          <w:tcPr>
            <w:tcW w:type="dxa" w:w="1440"/>
            <w:vAlign w:val="center"/>
          </w:tcPr>
          <w:p>
            <w:pPr>
              <w:spacing w:before="60" w:after="60"/>
              <w:jc w:val="left"/>
            </w:pPr>
            <w:r/>
            <w:r>
              <w:rPr>
                <w:rFonts w:ascii="Calibri" w:hAnsi="Calibri"/>
                <w:b w:val="0"/>
                <w:color w:val="333333"/>
                <w:sz w:val="19"/>
              </w:rPr>
              <w:t>Months 7-12</w:t>
            </w:r>
          </w:p>
        </w:tc>
        <w:tc>
          <w:tcPr>
            <w:tcW w:type="dxa" w:w="3600"/>
            <w:vAlign w:val="center"/>
          </w:tcPr>
          <w:p>
            <w:pPr>
              <w:spacing w:before="60" w:after="60"/>
              <w:jc w:val="left"/>
            </w:pPr>
            <w:r/>
            <w:r>
              <w:rPr>
                <w:rFonts w:ascii="Calibri" w:hAnsi="Calibri"/>
                <w:b w:val="0"/>
                <w:color w:val="333333"/>
                <w:sz w:val="19"/>
              </w:rPr>
              <w:t>RAG pipeline, Multi-model routing, Agent Marketplace beta, Next.js dashboard, Urdu fine-tune</w:t>
            </w:r>
          </w:p>
        </w:tc>
        <w:tc>
          <w:tcPr>
            <w:tcW w:type="dxa" w:w="2592"/>
            <w:vAlign w:val="center"/>
          </w:tcPr>
          <w:p>
            <w:pPr>
              <w:spacing w:before="60" w:after="60"/>
              <w:jc w:val="left"/>
            </w:pPr>
            <w:r/>
            <w:r>
              <w:rPr>
                <w:rFonts w:ascii="Calibri" w:hAnsi="Calibri"/>
                <w:b w:val="0"/>
                <w:color w:val="333333"/>
                <w:sz w:val="19"/>
              </w:rPr>
              <w:t>10,000 users, 15,000 stars, 10 enterprise pilots</w:t>
            </w:r>
          </w:p>
        </w:tc>
      </w:tr>
      <w:tr>
        <w:tc>
          <w:tcPr>
            <w:tcW w:type="dxa" w:w="1728"/>
            <w:shd w:fill="EDF2F7"/>
            <w:vAlign w:val="center"/>
          </w:tcPr>
          <w:p>
            <w:pPr>
              <w:spacing w:before="60" w:after="60"/>
              <w:jc w:val="left"/>
            </w:pPr>
            <w:r/>
            <w:r>
              <w:rPr>
                <w:rFonts w:ascii="Calibri" w:hAnsi="Calibri"/>
                <w:b w:val="0"/>
                <w:color w:val="333333"/>
                <w:sz w:val="19"/>
              </w:rPr>
              <w:t>Phase 4: Scale</w:t>
            </w:r>
          </w:p>
        </w:tc>
        <w:tc>
          <w:tcPr>
            <w:tcW w:type="dxa" w:w="1440"/>
            <w:shd w:fill="EDF2F7"/>
            <w:vAlign w:val="center"/>
          </w:tcPr>
          <w:p>
            <w:pPr>
              <w:spacing w:before="60" w:after="60"/>
              <w:jc w:val="left"/>
            </w:pPr>
            <w:r/>
            <w:r>
              <w:rPr>
                <w:rFonts w:ascii="Calibri" w:hAnsi="Calibri"/>
                <w:b w:val="0"/>
                <w:color w:val="333333"/>
                <w:sz w:val="19"/>
              </w:rPr>
              <w:t>Months 13-24</w:t>
            </w:r>
          </w:p>
        </w:tc>
        <w:tc>
          <w:tcPr>
            <w:tcW w:type="dxa" w:w="3600"/>
            <w:shd w:fill="EDF2F7"/>
            <w:vAlign w:val="center"/>
          </w:tcPr>
          <w:p>
            <w:pPr>
              <w:spacing w:before="60" w:after="60"/>
              <w:jc w:val="left"/>
            </w:pPr>
            <w:r/>
            <w:r>
              <w:rPr>
                <w:rFonts w:ascii="Calibri" w:hAnsi="Calibri"/>
                <w:b w:val="0"/>
                <w:color w:val="333333"/>
                <w:sz w:val="19"/>
              </w:rPr>
              <w:t>Advanced analytics, Custom fine-tuning API, Arabic support, Mobile SDK, Partner integrations</w:t>
            </w:r>
          </w:p>
        </w:tc>
        <w:tc>
          <w:tcPr>
            <w:tcW w:type="dxa" w:w="2592"/>
            <w:shd w:fill="EDF2F7"/>
            <w:vAlign w:val="center"/>
          </w:tcPr>
          <w:p>
            <w:pPr>
              <w:spacing w:before="60" w:after="60"/>
              <w:jc w:val="left"/>
            </w:pPr>
            <w:r/>
            <w:r>
              <w:rPr>
                <w:rFonts w:ascii="Calibri" w:hAnsi="Calibri"/>
                <w:b w:val="0"/>
                <w:color w:val="333333"/>
                <w:sz w:val="19"/>
              </w:rPr>
              <w:t>50,000 users, 5,000 premium, 20 enterprise clients</w:t>
            </w:r>
          </w:p>
        </w:tc>
      </w:tr>
    </w:tbl>
    <w:p>
      <w:pPr>
        <w:spacing w:before="80"/>
      </w:pPr>
      <w:r>
        <w:rPr>
          <w:i/>
          <w:color w:val="666666"/>
          <w:sz w:val="18"/>
        </w:rPr>
        <w:t>Table 5: Development Roadmap &amp; Timeline</w:t>
      </w:r>
    </w:p>
    <w:p>
      <w:pPr>
        <w:pStyle w:val="Heading2"/>
      </w:pPr>
      <w:r>
        <w:t>9.3 Phase 1: Foundation (Months 1-3) - Detailed</w:t>
      </w:r>
    </w:p>
    <w:p>
      <w:r>
        <w:rPr>
          <w:rFonts w:ascii="Calibri" w:hAnsi="Calibri"/>
          <w:color w:val="333333"/>
          <w:sz w:val="22"/>
        </w:rPr>
        <w:t>Phase 1 focuses on establishing the core infrastructure and delivering a minimal viable product that demonstrates the fundamental value proposition of NexusAI. The primary deliverable is a production-ready Chat API compatible with the OpenAI format, served through a FastAPI backend with comprehensive authentication, rate limiting, and monitoring. The initial model deployment will use Qwen 2.5 7B and 14B models, which offer an excellent balance of quality and resource efficiency, allowing the platform to serve a reasonable number of users on cost-effective GPU infrastructure. The Python SDK will be published on PyPI with support for chat completions, streaming, and basic error handling.</w:t>
      </w:r>
    </w:p>
    <w:p>
      <w:r>
        <w:rPr>
          <w:rFonts w:ascii="Calibri" w:hAnsi="Calibri"/>
          <w:color w:val="333333"/>
          <w:sz w:val="22"/>
        </w:rPr>
        <w:t>Infrastructure setup includes Docker containerization, a basic CI/CD pipeline using GitHub Actions, automated testing with pytest, and a monitoring stack with Prometheus and Grafana. The documentation site, built with MkDocs or Docusaurus, will provide comprehensive API reference documentation, quickstart guides, and tutorials. The GitHub repository will be properly structured with contribution guidelines, issue templates, and a code of conduct to facilitate community participation. Resource requirements for Phase 1 include 2-3 GPU instances (NVIDIA A10G or equivalent), a small server for the API and database, and an estimated 500-700 development hours by the core team.</w:t>
      </w:r>
    </w:p>
    <w:p>
      <w:pPr>
        <w:pStyle w:val="Heading2"/>
      </w:pPr>
      <w:r>
        <w:t>9.4 Phase 2: Intelligence (Months 4-6) - Detailed</w:t>
      </w:r>
    </w:p>
    <w:p>
      <w:r>
        <w:rPr>
          <w:rFonts w:ascii="Calibri" w:hAnsi="Calibri"/>
          <w:color w:val="333333"/>
          <w:sz w:val="22"/>
        </w:rPr>
        <w:t>Phase 2 introduces the intelligence layer that differentiates NexusAI from simple API wrappers. The Agent Framework v1 will support the creation of autonomous agents with tool access, basic memory, and multi-step reasoning. The Tool System will launch with 15-20 built-in tools covering common use cases (web search, calculator, code execution, file operations) along with a clear developer interface for creating custom tools. The Memory System will implement working memory and basic short-term memory using Redis, enabling agents to maintain context across multiple interactions within a session.</w:t>
      </w:r>
    </w:p>
    <w:p>
      <w:r>
        <w:rPr>
          <w:rFonts w:ascii="Calibri" w:hAnsi="Calibri"/>
          <w:color w:val="333333"/>
          <w:sz w:val="22"/>
        </w:rPr>
        <w:t>The deployment of Qwen 2.5 72B represents a significant milestone, requiring careful GPU resource planning (2x A100 80GB or equivalent) and optimization of the serving pipeline. The Premium subscription tier will be launched with Stripe integration, providing enhanced rate limits, access to the 72B model, and priority queue positioning. The success metrics for Phase 2 are aggressive but achievable: 1,000 active users, 5,000 GitHub stars, 50 premium subscribers, and 10 community-contributed tools or agents. Resource requirements increase to 4-6 GPU instances and 1,000-1,500 development hours.</w:t>
      </w:r>
    </w:p>
    <w:p>
      <w:pPr>
        <w:pStyle w:val="Heading2"/>
      </w:pPr>
      <w:r>
        <w:t>9.5 Phase 3: Platform (Months 7-12) - Detailed</w:t>
      </w:r>
    </w:p>
    <w:p>
      <w:r>
        <w:rPr>
          <w:rFonts w:ascii="Calibri" w:hAnsi="Calibri"/>
          <w:color w:val="333333"/>
          <w:sz w:val="22"/>
        </w:rPr>
        <w:t>Phase 3 transforms NexusAI from a capable AI service into a comprehensive platform. The RAG pipeline enables knowledge-grounded responses, a critical feature for enterprise adoption and educational use cases. The Agent Marketplace beta allows developers to publish, share, and monetize their agents, creating a self-reinforcing ecosystem. The Next.js dashboard provides a web interface for managing agents, knowledge bases, API keys, and usage analytics. Urdu fine-tuning of the Qwen model using high-quality Urdu datasets will significantly improve the quality of Urdu responses, strengthening the bilingual value proposition.</w:t>
      </w:r>
    </w:p>
    <w:p>
      <w:r>
        <w:rPr>
          <w:rFonts w:ascii="Calibri" w:hAnsi="Calibri"/>
          <w:color w:val="333333"/>
          <w:sz w:val="22"/>
        </w:rPr>
        <w:t>Multi-model routing will be implemented to optimize cost and latency by directing requests to the most appropriate model based on complexity analysis. The enterprise sales program will be formally launched with dedicated marketing materials, pilot program structure, and partner network. Success metrics for Phase 3 include 10,000 active users, 15,000 GitHub stars, 500 premium subscribers, 5 enterprise pilot programs, and 50 marketplace listings. Resource requirements scale to 8-12 GPU instances and 2,000-2,500 development hours.</w:t>
      </w:r>
    </w:p>
    <w:p>
      <w:pPr>
        <w:pStyle w:val="Heading2"/>
      </w:pPr>
      <w:r>
        <w:t>9.6 Phase 4: Scale (Months 13-24) - Detailed</w:t>
      </w:r>
    </w:p>
    <w:p>
      <w:r>
        <w:rPr>
          <w:rFonts w:ascii="Calibri" w:hAnsi="Calibri"/>
          <w:color w:val="333333"/>
          <w:sz w:val="22"/>
        </w:rPr>
        <w:t>Phase 4 focuses on scaling the platform to serve tens of thousands of users while deepening enterprise adoption and expanding into new markets. Advanced analytics and observability features will provide users with detailed insights into their API usage, agent performance, and cost patterns. The custom fine-tuning API will allow enterprise customers to fine-tune models on their proprietary data, creating a powerful differentiation from generic AI platforms. Arabic language support will be added, expanding the bilingual capability to serve the Gulf market. A mobile SDK (React Native) will enable the development of AI-powered mobile applications.</w:t>
      </w:r>
    </w:p>
    <w:p>
      <w:r>
        <w:rPr>
          <w:rFonts w:ascii="Calibri" w:hAnsi="Calibri"/>
          <w:color w:val="333333"/>
          <w:sz w:val="22"/>
        </w:rPr>
        <w:t>Partner integrations with platforms like Slack, Microsoft Teams, WhatsApp Business, and Shopify will create new distribution channels and use cases. The enterprise sales team will be expanded, and formal partnerships with system integrators will be established in target markets. Success metrics for Phase 4 include 50,000 active users, 30,000 GitHub stars, 5,000 premium subscribers, $1.5M ARR, and 20 enterprise clients. Resource requirements at this stage include 15-25 GPU instances and a team of 8-12 people across engineering, community, and sales.</w:t>
      </w:r>
    </w:p>
    <w:p>
      <w:r>
        <w:br w:type="page"/>
      </w:r>
    </w:p>
    <w:p>
      <w:pPr>
        <w:pStyle w:val="Heading1"/>
      </w:pPr>
      <w:r>
        <w:t>10. Financial Projections</w:t>
      </w:r>
    </w:p>
    <w:p>
      <w:pPr>
        <w:pStyle w:val="Heading2"/>
      </w:pPr>
      <w:r>
        <w:t>10.1 Cost Structure</w:t>
      </w:r>
    </w:p>
    <w:p>
      <w:r>
        <w:rPr>
          <w:rFonts w:ascii="Calibri" w:hAnsi="Calibri"/>
          <w:color w:val="333333"/>
          <w:sz w:val="22"/>
        </w:rPr>
        <w:t>NexusAI cost structure is dominated by GPU infrastructure costs, which represent approximately 60-70% of total operating expenses. The remaining costs are distributed across development (salaries, contractor fees), marketing (content creation, events, advertising), and operations (hosting, tools, legal). The cost structure is designed to be highly efficient during the bootstrap phase, leveraging free and open-source tools wherever possible and using GPU spot instances and preemptible VMs to reduce infrastructure costs by 50-70% compared to on-demand pricing. As the platform scales, costs will increase proportionally but are expected to decrease on a per-user basis due to economies of scale and optimization of model serving efficiency.</w:t>
      </w:r>
    </w:p>
    <w:p>
      <w:pPr>
        <w:pStyle w:val="Heading2"/>
      </w:pPr>
      <w:r>
        <w:t>10.2 Three-Year Financial Projections</w:t>
      </w:r>
    </w:p>
    <w:tbl>
      <w:tblPr>
        <w:tblStyle w:val="TableGrid"/>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340"/>
        <w:gridCol w:w="2340"/>
        <w:gridCol w:w="2340"/>
        <w:gridCol w:w="2340"/>
      </w:tblGrid>
      <w:tr>
        <w:tc>
          <w:tcPr>
            <w:tcW w:type="dxa" w:w="2592"/>
            <w:shd w:fill="1A2744"/>
            <w:vAlign w:val="center"/>
          </w:tcPr>
          <w:p>
            <w:pPr>
              <w:spacing w:before="60" w:after="60"/>
              <w:jc w:val="center"/>
            </w:pPr>
            <w:r/>
            <w:r>
              <w:rPr>
                <w:rFonts w:ascii="Calibri" w:hAnsi="Calibri"/>
                <w:b/>
                <w:color w:val="FFFFFF"/>
                <w:sz w:val="20"/>
              </w:rPr>
              <w:t>Metric</w:t>
            </w:r>
          </w:p>
        </w:tc>
        <w:tc>
          <w:tcPr>
            <w:tcW w:type="dxa" w:w="2160"/>
            <w:shd w:fill="1A2744"/>
            <w:vAlign w:val="center"/>
          </w:tcPr>
          <w:p>
            <w:pPr>
              <w:spacing w:before="60" w:after="60"/>
              <w:jc w:val="center"/>
            </w:pPr>
            <w:r/>
            <w:r>
              <w:rPr>
                <w:rFonts w:ascii="Calibri" w:hAnsi="Calibri"/>
                <w:b/>
                <w:color w:val="FFFFFF"/>
                <w:sz w:val="20"/>
              </w:rPr>
              <w:t>Year 1</w:t>
            </w:r>
          </w:p>
        </w:tc>
        <w:tc>
          <w:tcPr>
            <w:tcW w:type="dxa" w:w="2160"/>
            <w:shd w:fill="1A2744"/>
            <w:vAlign w:val="center"/>
          </w:tcPr>
          <w:p>
            <w:pPr>
              <w:spacing w:before="60" w:after="60"/>
              <w:jc w:val="center"/>
            </w:pPr>
            <w:r/>
            <w:r>
              <w:rPr>
                <w:rFonts w:ascii="Calibri" w:hAnsi="Calibri"/>
                <w:b/>
                <w:color w:val="FFFFFF"/>
                <w:sz w:val="20"/>
              </w:rPr>
              <w:t>Year 2</w:t>
            </w:r>
          </w:p>
        </w:tc>
        <w:tc>
          <w:tcPr>
            <w:tcW w:type="dxa" w:w="2160"/>
            <w:shd w:fill="1A2744"/>
            <w:vAlign w:val="center"/>
          </w:tcPr>
          <w:p>
            <w:pPr>
              <w:spacing w:before="60" w:after="60"/>
              <w:jc w:val="center"/>
            </w:pPr>
            <w:r/>
            <w:r>
              <w:rPr>
                <w:rFonts w:ascii="Calibri" w:hAnsi="Calibri"/>
                <w:b/>
                <w:color w:val="FFFFFF"/>
                <w:sz w:val="20"/>
              </w:rPr>
              <w:t>Year 3</w:t>
            </w:r>
          </w:p>
        </w:tc>
      </w:tr>
      <w:tr>
        <w:tc>
          <w:tcPr>
            <w:tcW w:type="dxa" w:w="2592"/>
            <w:vAlign w:val="center"/>
          </w:tcPr>
          <w:p>
            <w:pPr>
              <w:spacing w:before="60" w:after="60"/>
              <w:jc w:val="left"/>
            </w:pPr>
            <w:r/>
            <w:r>
              <w:rPr>
                <w:rFonts w:ascii="Calibri" w:hAnsi="Calibri"/>
                <w:b w:val="0"/>
                <w:color w:val="333333"/>
                <w:sz w:val="19"/>
              </w:rPr>
              <w:t>GPU Infrastructure</w:t>
            </w:r>
          </w:p>
        </w:tc>
        <w:tc>
          <w:tcPr>
            <w:tcW w:type="dxa" w:w="2160"/>
            <w:vAlign w:val="center"/>
          </w:tcPr>
          <w:p>
            <w:pPr>
              <w:spacing w:before="60" w:after="60"/>
              <w:jc w:val="left"/>
            </w:pPr>
            <w:r/>
            <w:r>
              <w:rPr>
                <w:rFonts w:ascii="Calibri" w:hAnsi="Calibri"/>
                <w:b w:val="0"/>
                <w:color w:val="333333"/>
                <w:sz w:val="19"/>
              </w:rPr>
              <w:t>$18,000</w:t>
            </w:r>
          </w:p>
        </w:tc>
        <w:tc>
          <w:tcPr>
            <w:tcW w:type="dxa" w:w="2160"/>
            <w:vAlign w:val="center"/>
          </w:tcPr>
          <w:p>
            <w:pPr>
              <w:spacing w:before="60" w:after="60"/>
              <w:jc w:val="left"/>
            </w:pPr>
            <w:r/>
            <w:r>
              <w:rPr>
                <w:rFonts w:ascii="Calibri" w:hAnsi="Calibri"/>
                <w:b w:val="0"/>
                <w:color w:val="333333"/>
                <w:sz w:val="19"/>
              </w:rPr>
              <w:t>$72,000</w:t>
            </w:r>
          </w:p>
        </w:tc>
        <w:tc>
          <w:tcPr>
            <w:tcW w:type="dxa" w:w="2160"/>
            <w:vAlign w:val="center"/>
          </w:tcPr>
          <w:p>
            <w:pPr>
              <w:spacing w:before="60" w:after="60"/>
              <w:jc w:val="left"/>
            </w:pPr>
            <w:r/>
            <w:r>
              <w:rPr>
                <w:rFonts w:ascii="Calibri" w:hAnsi="Calibri"/>
                <w:b w:val="0"/>
                <w:color w:val="333333"/>
                <w:sz w:val="19"/>
              </w:rPr>
              <w:t>$156,000</w:t>
            </w:r>
          </w:p>
        </w:tc>
      </w:tr>
      <w:tr>
        <w:tc>
          <w:tcPr>
            <w:tcW w:type="dxa" w:w="2592"/>
            <w:shd w:fill="EDF2F7"/>
            <w:vAlign w:val="center"/>
          </w:tcPr>
          <w:p>
            <w:pPr>
              <w:spacing w:before="60" w:after="60"/>
              <w:jc w:val="left"/>
            </w:pPr>
            <w:r/>
            <w:r>
              <w:rPr>
                <w:rFonts w:ascii="Calibri" w:hAnsi="Calibri"/>
                <w:b w:val="0"/>
                <w:color w:val="333333"/>
                <w:sz w:val="19"/>
              </w:rPr>
              <w:t>Development Costs</w:t>
            </w:r>
          </w:p>
        </w:tc>
        <w:tc>
          <w:tcPr>
            <w:tcW w:type="dxa" w:w="2160"/>
            <w:shd w:fill="EDF2F7"/>
            <w:vAlign w:val="center"/>
          </w:tcPr>
          <w:p>
            <w:pPr>
              <w:spacing w:before="60" w:after="60"/>
              <w:jc w:val="left"/>
            </w:pPr>
            <w:r/>
            <w:r>
              <w:rPr>
                <w:rFonts w:ascii="Calibri" w:hAnsi="Calibri"/>
                <w:b w:val="0"/>
                <w:color w:val="333333"/>
                <w:sz w:val="19"/>
              </w:rPr>
              <w:t>$12,000</w:t>
            </w:r>
          </w:p>
        </w:tc>
        <w:tc>
          <w:tcPr>
            <w:tcW w:type="dxa" w:w="2160"/>
            <w:shd w:fill="EDF2F7"/>
            <w:vAlign w:val="center"/>
          </w:tcPr>
          <w:p>
            <w:pPr>
              <w:spacing w:before="60" w:after="60"/>
              <w:jc w:val="left"/>
            </w:pPr>
            <w:r/>
            <w:r>
              <w:rPr>
                <w:rFonts w:ascii="Calibri" w:hAnsi="Calibri"/>
                <w:b w:val="0"/>
                <w:color w:val="333333"/>
                <w:sz w:val="19"/>
              </w:rPr>
              <w:t>$48,000</w:t>
            </w:r>
          </w:p>
        </w:tc>
        <w:tc>
          <w:tcPr>
            <w:tcW w:type="dxa" w:w="2160"/>
            <w:shd w:fill="EDF2F7"/>
            <w:vAlign w:val="center"/>
          </w:tcPr>
          <w:p>
            <w:pPr>
              <w:spacing w:before="60" w:after="60"/>
              <w:jc w:val="left"/>
            </w:pPr>
            <w:r/>
            <w:r>
              <w:rPr>
                <w:rFonts w:ascii="Calibri" w:hAnsi="Calibri"/>
                <w:b w:val="0"/>
                <w:color w:val="333333"/>
                <w:sz w:val="19"/>
              </w:rPr>
              <w:t>$120,000</w:t>
            </w:r>
          </w:p>
        </w:tc>
      </w:tr>
      <w:tr>
        <w:tc>
          <w:tcPr>
            <w:tcW w:type="dxa" w:w="2592"/>
            <w:vAlign w:val="center"/>
          </w:tcPr>
          <w:p>
            <w:pPr>
              <w:spacing w:before="60" w:after="60"/>
              <w:jc w:val="left"/>
            </w:pPr>
            <w:r/>
            <w:r>
              <w:rPr>
                <w:rFonts w:ascii="Calibri" w:hAnsi="Calibri"/>
                <w:b w:val="0"/>
                <w:color w:val="333333"/>
                <w:sz w:val="19"/>
              </w:rPr>
              <w:t>Marketing &amp; Community</w:t>
            </w:r>
          </w:p>
        </w:tc>
        <w:tc>
          <w:tcPr>
            <w:tcW w:type="dxa" w:w="2160"/>
            <w:vAlign w:val="center"/>
          </w:tcPr>
          <w:p>
            <w:pPr>
              <w:spacing w:before="60" w:after="60"/>
              <w:jc w:val="left"/>
            </w:pPr>
            <w:r/>
            <w:r>
              <w:rPr>
                <w:rFonts w:ascii="Calibri" w:hAnsi="Calibri"/>
                <w:b w:val="0"/>
                <w:color w:val="333333"/>
                <w:sz w:val="19"/>
              </w:rPr>
              <w:t>$6,000</w:t>
            </w:r>
          </w:p>
        </w:tc>
        <w:tc>
          <w:tcPr>
            <w:tcW w:type="dxa" w:w="2160"/>
            <w:vAlign w:val="center"/>
          </w:tcPr>
          <w:p>
            <w:pPr>
              <w:spacing w:before="60" w:after="60"/>
              <w:jc w:val="left"/>
            </w:pPr>
            <w:r/>
            <w:r>
              <w:rPr>
                <w:rFonts w:ascii="Calibri" w:hAnsi="Calibri"/>
                <w:b w:val="0"/>
                <w:color w:val="333333"/>
                <w:sz w:val="19"/>
              </w:rPr>
              <w:t>$24,000</w:t>
            </w:r>
          </w:p>
        </w:tc>
        <w:tc>
          <w:tcPr>
            <w:tcW w:type="dxa" w:w="2160"/>
            <w:vAlign w:val="center"/>
          </w:tcPr>
          <w:p>
            <w:pPr>
              <w:spacing w:before="60" w:after="60"/>
              <w:jc w:val="left"/>
            </w:pPr>
            <w:r/>
            <w:r>
              <w:rPr>
                <w:rFonts w:ascii="Calibri" w:hAnsi="Calibri"/>
                <w:b w:val="0"/>
                <w:color w:val="333333"/>
                <w:sz w:val="19"/>
              </w:rPr>
              <w:t>$60,000</w:t>
            </w:r>
          </w:p>
        </w:tc>
      </w:tr>
      <w:tr>
        <w:tc>
          <w:tcPr>
            <w:tcW w:type="dxa" w:w="2592"/>
            <w:shd w:fill="EDF2F7"/>
            <w:vAlign w:val="center"/>
          </w:tcPr>
          <w:p>
            <w:pPr>
              <w:spacing w:before="60" w:after="60"/>
              <w:jc w:val="left"/>
            </w:pPr>
            <w:r/>
            <w:r>
              <w:rPr>
                <w:rFonts w:ascii="Calibri" w:hAnsi="Calibri"/>
                <w:b w:val="0"/>
                <w:color w:val="333333"/>
                <w:sz w:val="19"/>
              </w:rPr>
              <w:t>Operations &amp; Tools</w:t>
            </w:r>
          </w:p>
        </w:tc>
        <w:tc>
          <w:tcPr>
            <w:tcW w:type="dxa" w:w="2160"/>
            <w:shd w:fill="EDF2F7"/>
            <w:vAlign w:val="center"/>
          </w:tcPr>
          <w:p>
            <w:pPr>
              <w:spacing w:before="60" w:after="60"/>
              <w:jc w:val="left"/>
            </w:pPr>
            <w:r/>
            <w:r>
              <w:rPr>
                <w:rFonts w:ascii="Calibri" w:hAnsi="Calibri"/>
                <w:b w:val="0"/>
                <w:color w:val="333333"/>
                <w:sz w:val="19"/>
              </w:rPr>
              <w:t>$3,000</w:t>
            </w:r>
          </w:p>
        </w:tc>
        <w:tc>
          <w:tcPr>
            <w:tcW w:type="dxa" w:w="2160"/>
            <w:shd w:fill="EDF2F7"/>
            <w:vAlign w:val="center"/>
          </w:tcPr>
          <w:p>
            <w:pPr>
              <w:spacing w:before="60" w:after="60"/>
              <w:jc w:val="left"/>
            </w:pPr>
            <w:r/>
            <w:r>
              <w:rPr>
                <w:rFonts w:ascii="Calibri" w:hAnsi="Calibri"/>
                <w:b w:val="0"/>
                <w:color w:val="333333"/>
                <w:sz w:val="19"/>
              </w:rPr>
              <w:t>$10,000</w:t>
            </w:r>
          </w:p>
        </w:tc>
        <w:tc>
          <w:tcPr>
            <w:tcW w:type="dxa" w:w="2160"/>
            <w:shd w:fill="EDF2F7"/>
            <w:vAlign w:val="center"/>
          </w:tcPr>
          <w:p>
            <w:pPr>
              <w:spacing w:before="60" w:after="60"/>
              <w:jc w:val="left"/>
            </w:pPr>
            <w:r/>
            <w:r>
              <w:rPr>
                <w:rFonts w:ascii="Calibri" w:hAnsi="Calibri"/>
                <w:b w:val="0"/>
                <w:color w:val="333333"/>
                <w:sz w:val="19"/>
              </w:rPr>
              <w:t>$24,000</w:t>
            </w:r>
          </w:p>
        </w:tc>
      </w:tr>
      <w:tr>
        <w:tc>
          <w:tcPr>
            <w:tcW w:type="dxa" w:w="2592"/>
            <w:vAlign w:val="center"/>
          </w:tcPr>
          <w:p>
            <w:pPr>
              <w:spacing w:before="60" w:after="60"/>
              <w:jc w:val="left"/>
            </w:pPr>
            <w:r/>
            <w:r>
              <w:rPr>
                <w:rFonts w:ascii="Calibri" w:hAnsi="Calibri"/>
                <w:b w:val="0"/>
                <w:color w:val="333333"/>
                <w:sz w:val="19"/>
              </w:rPr>
              <w:t>Total Costs</w:t>
            </w:r>
          </w:p>
        </w:tc>
        <w:tc>
          <w:tcPr>
            <w:tcW w:type="dxa" w:w="2160"/>
            <w:vAlign w:val="center"/>
          </w:tcPr>
          <w:p>
            <w:pPr>
              <w:spacing w:before="60" w:after="60"/>
              <w:jc w:val="left"/>
            </w:pPr>
            <w:r/>
            <w:r>
              <w:rPr>
                <w:rFonts w:ascii="Calibri" w:hAnsi="Calibri"/>
                <w:b w:val="0"/>
                <w:color w:val="333333"/>
                <w:sz w:val="19"/>
              </w:rPr>
              <w:t>$39,000</w:t>
            </w:r>
          </w:p>
        </w:tc>
        <w:tc>
          <w:tcPr>
            <w:tcW w:type="dxa" w:w="2160"/>
            <w:vAlign w:val="center"/>
          </w:tcPr>
          <w:p>
            <w:pPr>
              <w:spacing w:before="60" w:after="60"/>
              <w:jc w:val="left"/>
            </w:pPr>
            <w:r/>
            <w:r>
              <w:rPr>
                <w:rFonts w:ascii="Calibri" w:hAnsi="Calibri"/>
                <w:b w:val="0"/>
                <w:color w:val="333333"/>
                <w:sz w:val="19"/>
              </w:rPr>
              <w:t>$154,000</w:t>
            </w:r>
          </w:p>
        </w:tc>
        <w:tc>
          <w:tcPr>
            <w:tcW w:type="dxa" w:w="2160"/>
            <w:vAlign w:val="center"/>
          </w:tcPr>
          <w:p>
            <w:pPr>
              <w:spacing w:before="60" w:after="60"/>
              <w:jc w:val="left"/>
            </w:pPr>
            <w:r/>
            <w:r>
              <w:rPr>
                <w:rFonts w:ascii="Calibri" w:hAnsi="Calibri"/>
                <w:b w:val="0"/>
                <w:color w:val="333333"/>
                <w:sz w:val="19"/>
              </w:rPr>
              <w:t>$360,000</w:t>
            </w:r>
          </w:p>
        </w:tc>
      </w:tr>
      <w:tr>
        <w:tc>
          <w:tcPr>
            <w:tcW w:type="dxa" w:w="2592"/>
            <w:shd w:fill="EDF2F7"/>
            <w:vAlign w:val="center"/>
          </w:tcPr>
          <w:p>
            <w:pPr>
              <w:spacing w:before="60" w:after="60"/>
              <w:jc w:val="left"/>
            </w:pPr>
            <w:r/>
            <w:r>
              <w:rPr>
                <w:rFonts w:ascii="Calibri" w:hAnsi="Calibri"/>
                <w:b w:val="0"/>
                <w:color w:val="333333"/>
                <w:sz w:val="19"/>
              </w:rPr>
            </w:r>
          </w:p>
        </w:tc>
        <w:tc>
          <w:tcPr>
            <w:tcW w:type="dxa" w:w="2160"/>
            <w:shd w:fill="EDF2F7"/>
            <w:vAlign w:val="center"/>
          </w:tcPr>
          <w:p>
            <w:pPr>
              <w:spacing w:before="60" w:after="60"/>
              <w:jc w:val="left"/>
            </w:pPr>
            <w:r/>
            <w:r>
              <w:rPr>
                <w:rFonts w:ascii="Calibri" w:hAnsi="Calibri"/>
                <w:b w:val="0"/>
                <w:color w:val="333333"/>
                <w:sz w:val="19"/>
              </w:rPr>
            </w:r>
          </w:p>
        </w:tc>
        <w:tc>
          <w:tcPr>
            <w:tcW w:type="dxa" w:w="2160"/>
            <w:shd w:fill="EDF2F7"/>
            <w:vAlign w:val="center"/>
          </w:tcPr>
          <w:p>
            <w:pPr>
              <w:spacing w:before="60" w:after="60"/>
              <w:jc w:val="left"/>
            </w:pPr>
            <w:r/>
            <w:r>
              <w:rPr>
                <w:rFonts w:ascii="Calibri" w:hAnsi="Calibri"/>
                <w:b w:val="0"/>
                <w:color w:val="333333"/>
                <w:sz w:val="19"/>
              </w:rPr>
            </w:r>
          </w:p>
        </w:tc>
        <w:tc>
          <w:tcPr>
            <w:tcW w:type="dxa" w:w="2160"/>
            <w:shd w:fill="EDF2F7"/>
            <w:vAlign w:val="center"/>
          </w:tcPr>
          <w:p>
            <w:pPr>
              <w:spacing w:before="60" w:after="60"/>
              <w:jc w:val="left"/>
            </w:pPr>
            <w:r/>
            <w:r>
              <w:rPr>
                <w:rFonts w:ascii="Calibri" w:hAnsi="Calibri"/>
                <w:b w:val="0"/>
                <w:color w:val="333333"/>
                <w:sz w:val="19"/>
              </w:rPr>
            </w:r>
          </w:p>
        </w:tc>
      </w:tr>
      <w:tr>
        <w:tc>
          <w:tcPr>
            <w:tcW w:type="dxa" w:w="2592"/>
            <w:vAlign w:val="center"/>
          </w:tcPr>
          <w:p>
            <w:pPr>
              <w:spacing w:before="60" w:after="60"/>
              <w:jc w:val="left"/>
            </w:pPr>
            <w:r/>
            <w:r>
              <w:rPr>
                <w:rFonts w:ascii="Calibri" w:hAnsi="Calibri"/>
                <w:b w:val="0"/>
                <w:color w:val="333333"/>
                <w:sz w:val="19"/>
              </w:rPr>
              <w:t>Premium Subscriptions</w:t>
            </w:r>
          </w:p>
        </w:tc>
        <w:tc>
          <w:tcPr>
            <w:tcW w:type="dxa" w:w="2160"/>
            <w:vAlign w:val="center"/>
          </w:tcPr>
          <w:p>
            <w:pPr>
              <w:spacing w:before="60" w:after="60"/>
              <w:jc w:val="left"/>
            </w:pPr>
            <w:r/>
            <w:r>
              <w:rPr>
                <w:rFonts w:ascii="Calibri" w:hAnsi="Calibri"/>
                <w:b w:val="0"/>
                <w:color w:val="333333"/>
                <w:sz w:val="19"/>
              </w:rPr>
              <w:t>$17,100</w:t>
            </w:r>
          </w:p>
        </w:tc>
        <w:tc>
          <w:tcPr>
            <w:tcW w:type="dxa" w:w="2160"/>
            <w:vAlign w:val="center"/>
          </w:tcPr>
          <w:p>
            <w:pPr>
              <w:spacing w:before="60" w:after="60"/>
              <w:jc w:val="left"/>
            </w:pPr>
            <w:r/>
            <w:r>
              <w:rPr>
                <w:rFonts w:ascii="Calibri" w:hAnsi="Calibri"/>
                <w:b w:val="0"/>
                <w:color w:val="333333"/>
                <w:sz w:val="19"/>
              </w:rPr>
              <w:t>$114,000</w:t>
            </w:r>
          </w:p>
        </w:tc>
        <w:tc>
          <w:tcPr>
            <w:tcW w:type="dxa" w:w="2160"/>
            <w:vAlign w:val="center"/>
          </w:tcPr>
          <w:p>
            <w:pPr>
              <w:spacing w:before="60" w:after="60"/>
              <w:jc w:val="left"/>
            </w:pPr>
            <w:r/>
            <w:r>
              <w:rPr>
                <w:rFonts w:ascii="Calibri" w:hAnsi="Calibri"/>
                <w:b w:val="0"/>
                <w:color w:val="333333"/>
                <w:sz w:val="19"/>
              </w:rPr>
              <w:t>$342,000</w:t>
            </w:r>
          </w:p>
        </w:tc>
      </w:tr>
      <w:tr>
        <w:tc>
          <w:tcPr>
            <w:tcW w:type="dxa" w:w="2592"/>
            <w:shd w:fill="EDF2F7"/>
            <w:vAlign w:val="center"/>
          </w:tcPr>
          <w:p>
            <w:pPr>
              <w:spacing w:before="60" w:after="60"/>
              <w:jc w:val="left"/>
            </w:pPr>
            <w:r/>
            <w:r>
              <w:rPr>
                <w:rFonts w:ascii="Calibri" w:hAnsi="Calibri"/>
                <w:b w:val="0"/>
                <w:color w:val="333333"/>
                <w:sz w:val="19"/>
              </w:rPr>
              <w:t>Enterprise Licensing</w:t>
            </w:r>
          </w:p>
        </w:tc>
        <w:tc>
          <w:tcPr>
            <w:tcW w:type="dxa" w:w="2160"/>
            <w:shd w:fill="EDF2F7"/>
            <w:vAlign w:val="center"/>
          </w:tcPr>
          <w:p>
            <w:pPr>
              <w:spacing w:before="60" w:after="60"/>
              <w:jc w:val="left"/>
            </w:pPr>
            <w:r/>
            <w:r>
              <w:rPr>
                <w:rFonts w:ascii="Calibri" w:hAnsi="Calibri"/>
                <w:b w:val="0"/>
                <w:color w:val="333333"/>
                <w:sz w:val="19"/>
              </w:rPr>
              <w:t>$12,000</w:t>
            </w:r>
          </w:p>
        </w:tc>
        <w:tc>
          <w:tcPr>
            <w:tcW w:type="dxa" w:w="2160"/>
            <w:shd w:fill="EDF2F7"/>
            <w:vAlign w:val="center"/>
          </w:tcPr>
          <w:p>
            <w:pPr>
              <w:spacing w:before="60" w:after="60"/>
              <w:jc w:val="left"/>
            </w:pPr>
            <w:r/>
            <w:r>
              <w:rPr>
                <w:rFonts w:ascii="Calibri" w:hAnsi="Calibri"/>
                <w:b w:val="0"/>
                <w:color w:val="333333"/>
                <w:sz w:val="19"/>
              </w:rPr>
              <w:t>$240,000</w:t>
            </w:r>
          </w:p>
        </w:tc>
        <w:tc>
          <w:tcPr>
            <w:tcW w:type="dxa" w:w="2160"/>
            <w:shd w:fill="EDF2F7"/>
            <w:vAlign w:val="center"/>
          </w:tcPr>
          <w:p>
            <w:pPr>
              <w:spacing w:before="60" w:after="60"/>
              <w:jc w:val="left"/>
            </w:pPr>
            <w:r/>
            <w:r>
              <w:rPr>
                <w:rFonts w:ascii="Calibri" w:hAnsi="Calibri"/>
                <w:b w:val="0"/>
                <w:color w:val="333333"/>
                <w:sz w:val="19"/>
              </w:rPr>
              <w:t>$720,000</w:t>
            </w:r>
          </w:p>
        </w:tc>
      </w:tr>
      <w:tr>
        <w:tc>
          <w:tcPr>
            <w:tcW w:type="dxa" w:w="2592"/>
            <w:vAlign w:val="center"/>
          </w:tcPr>
          <w:p>
            <w:pPr>
              <w:spacing w:before="60" w:after="60"/>
              <w:jc w:val="left"/>
            </w:pPr>
            <w:r/>
            <w:r>
              <w:rPr>
                <w:rFonts w:ascii="Calibri" w:hAnsi="Calibri"/>
                <w:b w:val="0"/>
                <w:color w:val="333333"/>
                <w:sz w:val="19"/>
              </w:rPr>
              <w:t>Marketplace Fees</w:t>
            </w:r>
          </w:p>
        </w:tc>
        <w:tc>
          <w:tcPr>
            <w:tcW w:type="dxa" w:w="2160"/>
            <w:vAlign w:val="center"/>
          </w:tcPr>
          <w:p>
            <w:pPr>
              <w:spacing w:before="60" w:after="60"/>
              <w:jc w:val="left"/>
            </w:pPr>
            <w:r/>
            <w:r>
              <w:rPr>
                <w:rFonts w:ascii="Calibri" w:hAnsi="Calibri"/>
                <w:b w:val="0"/>
                <w:color w:val="333333"/>
                <w:sz w:val="19"/>
              </w:rPr>
              <w:t>$5,000</w:t>
            </w:r>
          </w:p>
        </w:tc>
        <w:tc>
          <w:tcPr>
            <w:tcW w:type="dxa" w:w="2160"/>
            <w:vAlign w:val="center"/>
          </w:tcPr>
          <w:p>
            <w:pPr>
              <w:spacing w:before="60" w:after="60"/>
              <w:jc w:val="left"/>
            </w:pPr>
            <w:r/>
            <w:r>
              <w:rPr>
                <w:rFonts w:ascii="Calibri" w:hAnsi="Calibri"/>
                <w:b w:val="0"/>
                <w:color w:val="333333"/>
                <w:sz w:val="19"/>
              </w:rPr>
              <w:t>$200,000</w:t>
            </w:r>
          </w:p>
        </w:tc>
        <w:tc>
          <w:tcPr>
            <w:tcW w:type="dxa" w:w="2160"/>
            <w:vAlign w:val="center"/>
          </w:tcPr>
          <w:p>
            <w:pPr>
              <w:spacing w:before="60" w:after="60"/>
              <w:jc w:val="left"/>
            </w:pPr>
            <w:r/>
            <w:r>
              <w:rPr>
                <w:rFonts w:ascii="Calibri" w:hAnsi="Calibri"/>
                <w:b w:val="0"/>
                <w:color w:val="333333"/>
                <w:sz w:val="19"/>
              </w:rPr>
              <w:t>$600,000</w:t>
            </w:r>
          </w:p>
        </w:tc>
      </w:tr>
      <w:tr>
        <w:tc>
          <w:tcPr>
            <w:tcW w:type="dxa" w:w="2592"/>
            <w:shd w:fill="EDF2F7"/>
            <w:vAlign w:val="center"/>
          </w:tcPr>
          <w:p>
            <w:pPr>
              <w:spacing w:before="60" w:after="60"/>
              <w:jc w:val="left"/>
            </w:pPr>
            <w:r/>
            <w:r>
              <w:rPr>
                <w:rFonts w:ascii="Calibri" w:hAnsi="Calibri"/>
                <w:b w:val="0"/>
                <w:color w:val="333333"/>
                <w:sz w:val="19"/>
              </w:rPr>
              <w:t>Consulting Services</w:t>
            </w:r>
          </w:p>
        </w:tc>
        <w:tc>
          <w:tcPr>
            <w:tcW w:type="dxa" w:w="2160"/>
            <w:shd w:fill="EDF2F7"/>
            <w:vAlign w:val="center"/>
          </w:tcPr>
          <w:p>
            <w:pPr>
              <w:spacing w:before="60" w:after="60"/>
              <w:jc w:val="left"/>
            </w:pPr>
            <w:r/>
            <w:r>
              <w:rPr>
                <w:rFonts w:ascii="Calibri" w:hAnsi="Calibri"/>
                <w:b w:val="0"/>
                <w:color w:val="333333"/>
                <w:sz w:val="19"/>
              </w:rPr>
              <w:t>$50,000</w:t>
            </w:r>
          </w:p>
        </w:tc>
        <w:tc>
          <w:tcPr>
            <w:tcW w:type="dxa" w:w="2160"/>
            <w:shd w:fill="EDF2F7"/>
            <w:vAlign w:val="center"/>
          </w:tcPr>
          <w:p>
            <w:pPr>
              <w:spacing w:before="60" w:after="60"/>
              <w:jc w:val="left"/>
            </w:pPr>
            <w:r/>
            <w:r>
              <w:rPr>
                <w:rFonts w:ascii="Calibri" w:hAnsi="Calibri"/>
                <w:b w:val="0"/>
                <w:color w:val="333333"/>
                <w:sz w:val="19"/>
              </w:rPr>
              <w:t>$150,000</w:t>
            </w:r>
          </w:p>
        </w:tc>
        <w:tc>
          <w:tcPr>
            <w:tcW w:type="dxa" w:w="2160"/>
            <w:shd w:fill="EDF2F7"/>
            <w:vAlign w:val="center"/>
          </w:tcPr>
          <w:p>
            <w:pPr>
              <w:spacing w:before="60" w:after="60"/>
              <w:jc w:val="left"/>
            </w:pPr>
            <w:r/>
            <w:r>
              <w:rPr>
                <w:rFonts w:ascii="Calibri" w:hAnsi="Calibri"/>
                <w:b w:val="0"/>
                <w:color w:val="333333"/>
                <w:sz w:val="19"/>
              </w:rPr>
              <w:t>$300,000</w:t>
            </w:r>
          </w:p>
        </w:tc>
      </w:tr>
      <w:tr>
        <w:tc>
          <w:tcPr>
            <w:tcW w:type="dxa" w:w="2592"/>
            <w:vAlign w:val="center"/>
          </w:tcPr>
          <w:p>
            <w:pPr>
              <w:spacing w:before="60" w:after="60"/>
              <w:jc w:val="left"/>
            </w:pPr>
            <w:r/>
            <w:r>
              <w:rPr>
                <w:rFonts w:ascii="Calibri" w:hAnsi="Calibri"/>
                <w:b w:val="0"/>
                <w:color w:val="333333"/>
                <w:sz w:val="19"/>
              </w:rPr>
              <w:t>Total Revenue</w:t>
            </w:r>
          </w:p>
        </w:tc>
        <w:tc>
          <w:tcPr>
            <w:tcW w:type="dxa" w:w="2160"/>
            <w:vAlign w:val="center"/>
          </w:tcPr>
          <w:p>
            <w:pPr>
              <w:spacing w:before="60" w:after="60"/>
              <w:jc w:val="left"/>
            </w:pPr>
            <w:r/>
            <w:r>
              <w:rPr>
                <w:rFonts w:ascii="Calibri" w:hAnsi="Calibri"/>
                <w:b w:val="0"/>
                <w:color w:val="333333"/>
                <w:sz w:val="19"/>
              </w:rPr>
              <w:t>$84,100</w:t>
            </w:r>
          </w:p>
        </w:tc>
        <w:tc>
          <w:tcPr>
            <w:tcW w:type="dxa" w:w="2160"/>
            <w:vAlign w:val="center"/>
          </w:tcPr>
          <w:p>
            <w:pPr>
              <w:spacing w:before="60" w:after="60"/>
              <w:jc w:val="left"/>
            </w:pPr>
            <w:r/>
            <w:r>
              <w:rPr>
                <w:rFonts w:ascii="Calibri" w:hAnsi="Calibri"/>
                <w:b w:val="0"/>
                <w:color w:val="333333"/>
                <w:sz w:val="19"/>
              </w:rPr>
              <w:t>$704,000</w:t>
            </w:r>
          </w:p>
        </w:tc>
        <w:tc>
          <w:tcPr>
            <w:tcW w:type="dxa" w:w="2160"/>
            <w:vAlign w:val="center"/>
          </w:tcPr>
          <w:p>
            <w:pPr>
              <w:spacing w:before="60" w:after="60"/>
              <w:jc w:val="left"/>
            </w:pPr>
            <w:r/>
            <w:r>
              <w:rPr>
                <w:rFonts w:ascii="Calibri" w:hAnsi="Calibri"/>
                <w:b w:val="0"/>
                <w:color w:val="333333"/>
                <w:sz w:val="19"/>
              </w:rPr>
              <w:t>$1,962,000</w:t>
            </w:r>
          </w:p>
        </w:tc>
      </w:tr>
      <w:tr>
        <w:tc>
          <w:tcPr>
            <w:tcW w:type="dxa" w:w="2592"/>
            <w:shd w:fill="EDF2F7"/>
            <w:vAlign w:val="center"/>
          </w:tcPr>
          <w:p>
            <w:pPr>
              <w:spacing w:before="60" w:after="60"/>
              <w:jc w:val="left"/>
            </w:pPr>
            <w:r/>
            <w:r>
              <w:rPr>
                <w:rFonts w:ascii="Calibri" w:hAnsi="Calibri"/>
                <w:b w:val="0"/>
                <w:color w:val="333333"/>
                <w:sz w:val="19"/>
              </w:rPr>
            </w:r>
          </w:p>
        </w:tc>
        <w:tc>
          <w:tcPr>
            <w:tcW w:type="dxa" w:w="2160"/>
            <w:shd w:fill="EDF2F7"/>
            <w:vAlign w:val="center"/>
          </w:tcPr>
          <w:p>
            <w:pPr>
              <w:spacing w:before="60" w:after="60"/>
              <w:jc w:val="left"/>
            </w:pPr>
            <w:r/>
            <w:r>
              <w:rPr>
                <w:rFonts w:ascii="Calibri" w:hAnsi="Calibri"/>
                <w:b w:val="0"/>
                <w:color w:val="333333"/>
                <w:sz w:val="19"/>
              </w:rPr>
            </w:r>
          </w:p>
        </w:tc>
        <w:tc>
          <w:tcPr>
            <w:tcW w:type="dxa" w:w="2160"/>
            <w:shd w:fill="EDF2F7"/>
            <w:vAlign w:val="center"/>
          </w:tcPr>
          <w:p>
            <w:pPr>
              <w:spacing w:before="60" w:after="60"/>
              <w:jc w:val="left"/>
            </w:pPr>
            <w:r/>
            <w:r>
              <w:rPr>
                <w:rFonts w:ascii="Calibri" w:hAnsi="Calibri"/>
                <w:b w:val="0"/>
                <w:color w:val="333333"/>
                <w:sz w:val="19"/>
              </w:rPr>
            </w:r>
          </w:p>
        </w:tc>
        <w:tc>
          <w:tcPr>
            <w:tcW w:type="dxa" w:w="2160"/>
            <w:shd w:fill="EDF2F7"/>
            <w:vAlign w:val="center"/>
          </w:tcPr>
          <w:p>
            <w:pPr>
              <w:spacing w:before="60" w:after="60"/>
              <w:jc w:val="left"/>
            </w:pPr>
            <w:r/>
            <w:r>
              <w:rPr>
                <w:rFonts w:ascii="Calibri" w:hAnsi="Calibri"/>
                <w:b w:val="0"/>
                <w:color w:val="333333"/>
                <w:sz w:val="19"/>
              </w:rPr>
            </w:r>
          </w:p>
        </w:tc>
      </w:tr>
      <w:tr>
        <w:tc>
          <w:tcPr>
            <w:tcW w:type="dxa" w:w="2592"/>
            <w:vAlign w:val="center"/>
          </w:tcPr>
          <w:p>
            <w:pPr>
              <w:spacing w:before="60" w:after="60"/>
              <w:jc w:val="left"/>
            </w:pPr>
            <w:r/>
            <w:r>
              <w:rPr>
                <w:rFonts w:ascii="Calibri" w:hAnsi="Calibri"/>
                <w:b w:val="0"/>
                <w:color w:val="333333"/>
                <w:sz w:val="19"/>
              </w:rPr>
              <w:t>Net Income (Loss)</w:t>
            </w:r>
          </w:p>
        </w:tc>
        <w:tc>
          <w:tcPr>
            <w:tcW w:type="dxa" w:w="2160"/>
            <w:vAlign w:val="center"/>
          </w:tcPr>
          <w:p>
            <w:pPr>
              <w:spacing w:before="60" w:after="60"/>
              <w:jc w:val="left"/>
            </w:pPr>
            <w:r/>
            <w:r>
              <w:rPr>
                <w:rFonts w:ascii="Calibri" w:hAnsi="Calibri"/>
                <w:b w:val="0"/>
                <w:color w:val="333333"/>
                <w:sz w:val="19"/>
              </w:rPr>
              <w:t>$45,100</w:t>
            </w:r>
          </w:p>
        </w:tc>
        <w:tc>
          <w:tcPr>
            <w:tcW w:type="dxa" w:w="2160"/>
            <w:vAlign w:val="center"/>
          </w:tcPr>
          <w:p>
            <w:pPr>
              <w:spacing w:before="60" w:after="60"/>
              <w:jc w:val="left"/>
            </w:pPr>
            <w:r/>
            <w:r>
              <w:rPr>
                <w:rFonts w:ascii="Calibri" w:hAnsi="Calibri"/>
                <w:b w:val="0"/>
                <w:color w:val="333333"/>
                <w:sz w:val="19"/>
              </w:rPr>
              <w:t>$550,000</w:t>
            </w:r>
          </w:p>
        </w:tc>
        <w:tc>
          <w:tcPr>
            <w:tcW w:type="dxa" w:w="2160"/>
            <w:vAlign w:val="center"/>
          </w:tcPr>
          <w:p>
            <w:pPr>
              <w:spacing w:before="60" w:after="60"/>
              <w:jc w:val="left"/>
            </w:pPr>
            <w:r/>
            <w:r>
              <w:rPr>
                <w:rFonts w:ascii="Calibri" w:hAnsi="Calibri"/>
                <w:b w:val="0"/>
                <w:color w:val="333333"/>
                <w:sz w:val="19"/>
              </w:rPr>
              <w:t>$1,602,000</w:t>
            </w:r>
          </w:p>
        </w:tc>
      </w:tr>
      <w:tr>
        <w:tc>
          <w:tcPr>
            <w:tcW w:type="dxa" w:w="2592"/>
            <w:shd w:fill="EDF2F7"/>
            <w:vAlign w:val="center"/>
          </w:tcPr>
          <w:p>
            <w:pPr>
              <w:spacing w:before="60" w:after="60"/>
              <w:jc w:val="left"/>
            </w:pPr>
            <w:r/>
            <w:r>
              <w:rPr>
                <w:rFonts w:ascii="Calibri" w:hAnsi="Calibri"/>
                <w:b w:val="0"/>
                <w:color w:val="333333"/>
                <w:sz w:val="19"/>
              </w:rPr>
              <w:t>Cumulative Net Income</w:t>
            </w:r>
          </w:p>
        </w:tc>
        <w:tc>
          <w:tcPr>
            <w:tcW w:type="dxa" w:w="2160"/>
            <w:shd w:fill="EDF2F7"/>
            <w:vAlign w:val="center"/>
          </w:tcPr>
          <w:p>
            <w:pPr>
              <w:spacing w:before="60" w:after="60"/>
              <w:jc w:val="left"/>
            </w:pPr>
            <w:r/>
            <w:r>
              <w:rPr>
                <w:rFonts w:ascii="Calibri" w:hAnsi="Calibri"/>
                <w:b w:val="0"/>
                <w:color w:val="333333"/>
                <w:sz w:val="19"/>
              </w:rPr>
              <w:t>$45,100</w:t>
            </w:r>
          </w:p>
        </w:tc>
        <w:tc>
          <w:tcPr>
            <w:tcW w:type="dxa" w:w="2160"/>
            <w:shd w:fill="EDF2F7"/>
            <w:vAlign w:val="center"/>
          </w:tcPr>
          <w:p>
            <w:pPr>
              <w:spacing w:before="60" w:after="60"/>
              <w:jc w:val="left"/>
            </w:pPr>
            <w:r/>
            <w:r>
              <w:rPr>
                <w:rFonts w:ascii="Calibri" w:hAnsi="Calibri"/>
                <w:b w:val="0"/>
                <w:color w:val="333333"/>
                <w:sz w:val="19"/>
              </w:rPr>
              <w:t>$595,100</w:t>
            </w:r>
          </w:p>
        </w:tc>
        <w:tc>
          <w:tcPr>
            <w:tcW w:type="dxa" w:w="2160"/>
            <w:shd w:fill="EDF2F7"/>
            <w:vAlign w:val="center"/>
          </w:tcPr>
          <w:p>
            <w:pPr>
              <w:spacing w:before="60" w:after="60"/>
              <w:jc w:val="left"/>
            </w:pPr>
            <w:r/>
            <w:r>
              <w:rPr>
                <w:rFonts w:ascii="Calibri" w:hAnsi="Calibri"/>
                <w:b w:val="0"/>
                <w:color w:val="333333"/>
                <w:sz w:val="19"/>
              </w:rPr>
              <w:t>$2,197,100</w:t>
            </w:r>
          </w:p>
        </w:tc>
      </w:tr>
    </w:tbl>
    <w:p>
      <w:pPr>
        <w:spacing w:before="80"/>
      </w:pPr>
      <w:r>
        <w:rPr>
          <w:i/>
          <w:color w:val="666666"/>
          <w:sz w:val="18"/>
        </w:rPr>
        <w:t>Table 6: Three-Year Financial Projections</w:t>
      </w:r>
    </w:p>
    <w:p>
      <w:pPr>
        <w:pStyle w:val="Heading2"/>
      </w:pPr>
      <w:r>
        <w:t>10.3 Quarterly Revenue Projections (Year 1)</w:t>
      </w:r>
    </w:p>
    <w:tbl>
      <w:tblPr>
        <w:tblStyle w:val="TableGrid"/>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560"/>
        <w:gridCol w:w="1560"/>
        <w:gridCol w:w="1560"/>
        <w:gridCol w:w="1560"/>
        <w:gridCol w:w="1560"/>
        <w:gridCol w:w="1560"/>
      </w:tblGrid>
      <w:tr>
        <w:tc>
          <w:tcPr>
            <w:tcW w:type="dxa" w:w="1584"/>
            <w:shd w:fill="1A2744"/>
            <w:vAlign w:val="center"/>
          </w:tcPr>
          <w:p>
            <w:pPr>
              <w:spacing w:before="60" w:after="60"/>
              <w:jc w:val="center"/>
            </w:pPr>
            <w:r/>
            <w:r>
              <w:rPr>
                <w:rFonts w:ascii="Calibri" w:hAnsi="Calibri"/>
                <w:b/>
                <w:color w:val="FFFFFF"/>
                <w:sz w:val="20"/>
              </w:rPr>
              <w:t>Quarter</w:t>
            </w:r>
          </w:p>
        </w:tc>
        <w:tc>
          <w:tcPr>
            <w:tcW w:type="dxa" w:w="1584"/>
            <w:shd w:fill="1A2744"/>
            <w:vAlign w:val="center"/>
          </w:tcPr>
          <w:p>
            <w:pPr>
              <w:spacing w:before="60" w:after="60"/>
              <w:jc w:val="center"/>
            </w:pPr>
            <w:r/>
            <w:r>
              <w:rPr>
                <w:rFonts w:ascii="Calibri" w:hAnsi="Calibri"/>
                <w:b/>
                <w:color w:val="FFFFFF"/>
                <w:sz w:val="20"/>
              </w:rPr>
              <w:t>Premium Subs</w:t>
            </w:r>
          </w:p>
        </w:tc>
        <w:tc>
          <w:tcPr>
            <w:tcW w:type="dxa" w:w="1440"/>
            <w:shd w:fill="1A2744"/>
            <w:vAlign w:val="center"/>
          </w:tcPr>
          <w:p>
            <w:pPr>
              <w:spacing w:before="60" w:after="60"/>
              <w:jc w:val="center"/>
            </w:pPr>
            <w:r/>
            <w:r>
              <w:rPr>
                <w:rFonts w:ascii="Calibri" w:hAnsi="Calibri"/>
                <w:b/>
                <w:color w:val="FFFFFF"/>
                <w:sz w:val="20"/>
              </w:rPr>
              <w:t>Enterprise</w:t>
            </w:r>
          </w:p>
        </w:tc>
        <w:tc>
          <w:tcPr>
            <w:tcW w:type="dxa" w:w="1440"/>
            <w:shd w:fill="1A2744"/>
            <w:vAlign w:val="center"/>
          </w:tcPr>
          <w:p>
            <w:pPr>
              <w:spacing w:before="60" w:after="60"/>
              <w:jc w:val="center"/>
            </w:pPr>
            <w:r/>
            <w:r>
              <w:rPr>
                <w:rFonts w:ascii="Calibri" w:hAnsi="Calibri"/>
                <w:b/>
                <w:color w:val="FFFFFF"/>
                <w:sz w:val="20"/>
              </w:rPr>
              <w:t>Marketplace</w:t>
            </w:r>
          </w:p>
        </w:tc>
        <w:tc>
          <w:tcPr>
            <w:tcW w:type="dxa" w:w="1440"/>
            <w:shd w:fill="1A2744"/>
            <w:vAlign w:val="center"/>
          </w:tcPr>
          <w:p>
            <w:pPr>
              <w:spacing w:before="60" w:after="60"/>
              <w:jc w:val="center"/>
            </w:pPr>
            <w:r/>
            <w:r>
              <w:rPr>
                <w:rFonts w:ascii="Calibri" w:hAnsi="Calibri"/>
                <w:b/>
                <w:color w:val="FFFFFF"/>
                <w:sz w:val="20"/>
              </w:rPr>
              <w:t>Consulting</w:t>
            </w:r>
          </w:p>
        </w:tc>
        <w:tc>
          <w:tcPr>
            <w:tcW w:type="dxa" w:w="1728"/>
            <w:shd w:fill="1A2744"/>
            <w:vAlign w:val="center"/>
          </w:tcPr>
          <w:p>
            <w:pPr>
              <w:spacing w:before="60" w:after="60"/>
              <w:jc w:val="center"/>
            </w:pPr>
            <w:r/>
            <w:r>
              <w:rPr>
                <w:rFonts w:ascii="Calibri" w:hAnsi="Calibri"/>
                <w:b/>
                <w:color w:val="FFFFFF"/>
                <w:sz w:val="20"/>
              </w:rPr>
              <w:t>Total Revenue</w:t>
            </w:r>
          </w:p>
        </w:tc>
      </w:tr>
      <w:tr>
        <w:tc>
          <w:tcPr>
            <w:tcW w:type="dxa" w:w="1584"/>
            <w:vAlign w:val="center"/>
          </w:tcPr>
          <w:p>
            <w:pPr>
              <w:spacing w:before="60" w:after="60"/>
              <w:jc w:val="left"/>
            </w:pPr>
            <w:r/>
            <w:r>
              <w:rPr>
                <w:rFonts w:ascii="Calibri" w:hAnsi="Calibri"/>
                <w:b w:val="0"/>
                <w:color w:val="333333"/>
                <w:sz w:val="19"/>
              </w:rPr>
              <w:t>Q1 2025</w:t>
            </w:r>
          </w:p>
        </w:tc>
        <w:tc>
          <w:tcPr>
            <w:tcW w:type="dxa" w:w="1584"/>
            <w:vAlign w:val="center"/>
          </w:tcPr>
          <w:p>
            <w:pPr>
              <w:spacing w:before="60" w:after="60"/>
              <w:jc w:val="left"/>
            </w:pPr>
            <w:r/>
            <w:r>
              <w:rPr>
                <w:rFonts w:ascii="Calibri" w:hAnsi="Calibri"/>
                <w:b w:val="0"/>
                <w:color w:val="333333"/>
                <w:sz w:val="19"/>
              </w:rPr>
              <w:t>$500</w:t>
            </w:r>
          </w:p>
        </w:tc>
        <w:tc>
          <w:tcPr>
            <w:tcW w:type="dxa" w:w="1440"/>
            <w:vAlign w:val="center"/>
          </w:tcPr>
          <w:p>
            <w:pPr>
              <w:spacing w:before="60" w:after="60"/>
              <w:jc w:val="left"/>
            </w:pPr>
            <w:r/>
            <w:r>
              <w:rPr>
                <w:rFonts w:ascii="Calibri" w:hAnsi="Calibri"/>
                <w:b w:val="0"/>
                <w:color w:val="333333"/>
                <w:sz w:val="19"/>
              </w:rPr>
              <w:t>$0</w:t>
            </w:r>
          </w:p>
        </w:tc>
        <w:tc>
          <w:tcPr>
            <w:tcW w:type="dxa" w:w="1440"/>
            <w:vAlign w:val="center"/>
          </w:tcPr>
          <w:p>
            <w:pPr>
              <w:spacing w:before="60" w:after="60"/>
              <w:jc w:val="left"/>
            </w:pPr>
            <w:r/>
            <w:r>
              <w:rPr>
                <w:rFonts w:ascii="Calibri" w:hAnsi="Calibri"/>
                <w:b w:val="0"/>
                <w:color w:val="333333"/>
                <w:sz w:val="19"/>
              </w:rPr>
              <w:t>$0</w:t>
            </w:r>
          </w:p>
        </w:tc>
        <w:tc>
          <w:tcPr>
            <w:tcW w:type="dxa" w:w="1440"/>
            <w:vAlign w:val="center"/>
          </w:tcPr>
          <w:p>
            <w:pPr>
              <w:spacing w:before="60" w:after="60"/>
              <w:jc w:val="left"/>
            </w:pPr>
            <w:r/>
            <w:r>
              <w:rPr>
                <w:rFonts w:ascii="Calibri" w:hAnsi="Calibri"/>
                <w:b w:val="0"/>
                <w:color w:val="333333"/>
                <w:sz w:val="19"/>
              </w:rPr>
              <w:t>$5,000</w:t>
            </w:r>
          </w:p>
        </w:tc>
        <w:tc>
          <w:tcPr>
            <w:tcW w:type="dxa" w:w="1728"/>
            <w:vAlign w:val="center"/>
          </w:tcPr>
          <w:p>
            <w:pPr>
              <w:spacing w:before="60" w:after="60"/>
              <w:jc w:val="left"/>
            </w:pPr>
            <w:r/>
            <w:r>
              <w:rPr>
                <w:rFonts w:ascii="Calibri" w:hAnsi="Calibri"/>
                <w:b w:val="0"/>
                <w:color w:val="333333"/>
                <w:sz w:val="19"/>
              </w:rPr>
              <w:t>$5,500</w:t>
            </w:r>
          </w:p>
        </w:tc>
      </w:tr>
      <w:tr>
        <w:tc>
          <w:tcPr>
            <w:tcW w:type="dxa" w:w="1584"/>
            <w:shd w:fill="EDF2F7"/>
            <w:vAlign w:val="center"/>
          </w:tcPr>
          <w:p>
            <w:pPr>
              <w:spacing w:before="60" w:after="60"/>
              <w:jc w:val="left"/>
            </w:pPr>
            <w:r/>
            <w:r>
              <w:rPr>
                <w:rFonts w:ascii="Calibri" w:hAnsi="Calibri"/>
                <w:b w:val="0"/>
                <w:color w:val="333333"/>
                <w:sz w:val="19"/>
              </w:rPr>
              <w:t>Q2 2025</w:t>
            </w:r>
          </w:p>
        </w:tc>
        <w:tc>
          <w:tcPr>
            <w:tcW w:type="dxa" w:w="1584"/>
            <w:shd w:fill="EDF2F7"/>
            <w:vAlign w:val="center"/>
          </w:tcPr>
          <w:p>
            <w:pPr>
              <w:spacing w:before="60" w:after="60"/>
              <w:jc w:val="left"/>
            </w:pPr>
            <w:r/>
            <w:r>
              <w:rPr>
                <w:rFonts w:ascii="Calibri" w:hAnsi="Calibri"/>
                <w:b w:val="0"/>
                <w:color w:val="333333"/>
                <w:sz w:val="19"/>
              </w:rPr>
              <w:t>$2,850</w:t>
            </w:r>
          </w:p>
        </w:tc>
        <w:tc>
          <w:tcPr>
            <w:tcW w:type="dxa" w:w="1440"/>
            <w:shd w:fill="EDF2F7"/>
            <w:vAlign w:val="center"/>
          </w:tcPr>
          <w:p>
            <w:pPr>
              <w:spacing w:before="60" w:after="60"/>
              <w:jc w:val="left"/>
            </w:pPr>
            <w:r/>
            <w:r>
              <w:rPr>
                <w:rFonts w:ascii="Calibri" w:hAnsi="Calibri"/>
                <w:b w:val="0"/>
                <w:color w:val="333333"/>
                <w:sz w:val="19"/>
              </w:rPr>
              <w:t>$0</w:t>
            </w:r>
          </w:p>
        </w:tc>
        <w:tc>
          <w:tcPr>
            <w:tcW w:type="dxa" w:w="1440"/>
            <w:shd w:fill="EDF2F7"/>
            <w:vAlign w:val="center"/>
          </w:tcPr>
          <w:p>
            <w:pPr>
              <w:spacing w:before="60" w:after="60"/>
              <w:jc w:val="left"/>
            </w:pPr>
            <w:r/>
            <w:r>
              <w:rPr>
                <w:rFonts w:ascii="Calibri" w:hAnsi="Calibri"/>
                <w:b w:val="0"/>
                <w:color w:val="333333"/>
                <w:sz w:val="19"/>
              </w:rPr>
              <w:t>$0</w:t>
            </w:r>
          </w:p>
        </w:tc>
        <w:tc>
          <w:tcPr>
            <w:tcW w:type="dxa" w:w="1440"/>
            <w:shd w:fill="EDF2F7"/>
            <w:vAlign w:val="center"/>
          </w:tcPr>
          <w:p>
            <w:pPr>
              <w:spacing w:before="60" w:after="60"/>
              <w:jc w:val="left"/>
            </w:pPr>
            <w:r/>
            <w:r>
              <w:rPr>
                <w:rFonts w:ascii="Calibri" w:hAnsi="Calibri"/>
                <w:b w:val="0"/>
                <w:color w:val="333333"/>
                <w:sz w:val="19"/>
              </w:rPr>
              <w:t>$15,000</w:t>
            </w:r>
          </w:p>
        </w:tc>
        <w:tc>
          <w:tcPr>
            <w:tcW w:type="dxa" w:w="1728"/>
            <w:shd w:fill="EDF2F7"/>
            <w:vAlign w:val="center"/>
          </w:tcPr>
          <w:p>
            <w:pPr>
              <w:spacing w:before="60" w:after="60"/>
              <w:jc w:val="left"/>
            </w:pPr>
            <w:r/>
            <w:r>
              <w:rPr>
                <w:rFonts w:ascii="Calibri" w:hAnsi="Calibri"/>
                <w:b w:val="0"/>
                <w:color w:val="333333"/>
                <w:sz w:val="19"/>
              </w:rPr>
              <w:t>$17,850</w:t>
            </w:r>
          </w:p>
        </w:tc>
      </w:tr>
      <w:tr>
        <w:tc>
          <w:tcPr>
            <w:tcW w:type="dxa" w:w="1584"/>
            <w:vAlign w:val="center"/>
          </w:tcPr>
          <w:p>
            <w:pPr>
              <w:spacing w:before="60" w:after="60"/>
              <w:jc w:val="left"/>
            </w:pPr>
            <w:r/>
            <w:r>
              <w:rPr>
                <w:rFonts w:ascii="Calibri" w:hAnsi="Calibri"/>
                <w:b w:val="0"/>
                <w:color w:val="333333"/>
                <w:sz w:val="19"/>
              </w:rPr>
              <w:t>Q3 2025</w:t>
            </w:r>
          </w:p>
        </w:tc>
        <w:tc>
          <w:tcPr>
            <w:tcW w:type="dxa" w:w="1584"/>
            <w:vAlign w:val="center"/>
          </w:tcPr>
          <w:p>
            <w:pPr>
              <w:spacing w:before="60" w:after="60"/>
              <w:jc w:val="left"/>
            </w:pPr>
            <w:r/>
            <w:r>
              <w:rPr>
                <w:rFonts w:ascii="Calibri" w:hAnsi="Calibri"/>
                <w:b w:val="0"/>
                <w:color w:val="333333"/>
                <w:sz w:val="19"/>
              </w:rPr>
              <w:t>$5,700</w:t>
            </w:r>
          </w:p>
        </w:tc>
        <w:tc>
          <w:tcPr>
            <w:tcW w:type="dxa" w:w="1440"/>
            <w:vAlign w:val="center"/>
          </w:tcPr>
          <w:p>
            <w:pPr>
              <w:spacing w:before="60" w:after="60"/>
              <w:jc w:val="left"/>
            </w:pPr>
            <w:r/>
            <w:r>
              <w:rPr>
                <w:rFonts w:ascii="Calibri" w:hAnsi="Calibri"/>
                <w:b w:val="0"/>
                <w:color w:val="333333"/>
                <w:sz w:val="19"/>
              </w:rPr>
              <w:t>$6,000</w:t>
            </w:r>
          </w:p>
        </w:tc>
        <w:tc>
          <w:tcPr>
            <w:tcW w:type="dxa" w:w="1440"/>
            <w:vAlign w:val="center"/>
          </w:tcPr>
          <w:p>
            <w:pPr>
              <w:spacing w:before="60" w:after="60"/>
              <w:jc w:val="left"/>
            </w:pPr>
            <w:r/>
            <w:r>
              <w:rPr>
                <w:rFonts w:ascii="Calibri" w:hAnsi="Calibri"/>
                <w:b w:val="0"/>
                <w:color w:val="333333"/>
                <w:sz w:val="19"/>
              </w:rPr>
              <w:t>$1,000</w:t>
            </w:r>
          </w:p>
        </w:tc>
        <w:tc>
          <w:tcPr>
            <w:tcW w:type="dxa" w:w="1440"/>
            <w:vAlign w:val="center"/>
          </w:tcPr>
          <w:p>
            <w:pPr>
              <w:spacing w:before="60" w:after="60"/>
              <w:jc w:val="left"/>
            </w:pPr>
            <w:r/>
            <w:r>
              <w:rPr>
                <w:rFonts w:ascii="Calibri" w:hAnsi="Calibri"/>
                <w:b w:val="0"/>
                <w:color w:val="333333"/>
                <w:sz w:val="19"/>
              </w:rPr>
              <w:t>$15,000</w:t>
            </w:r>
          </w:p>
        </w:tc>
        <w:tc>
          <w:tcPr>
            <w:tcW w:type="dxa" w:w="1728"/>
            <w:vAlign w:val="center"/>
          </w:tcPr>
          <w:p>
            <w:pPr>
              <w:spacing w:before="60" w:after="60"/>
              <w:jc w:val="left"/>
            </w:pPr>
            <w:r/>
            <w:r>
              <w:rPr>
                <w:rFonts w:ascii="Calibri" w:hAnsi="Calibri"/>
                <w:b w:val="0"/>
                <w:color w:val="333333"/>
                <w:sz w:val="19"/>
              </w:rPr>
              <w:t>$27,700</w:t>
            </w:r>
          </w:p>
        </w:tc>
      </w:tr>
      <w:tr>
        <w:tc>
          <w:tcPr>
            <w:tcW w:type="dxa" w:w="1584"/>
            <w:shd w:fill="EDF2F7"/>
            <w:vAlign w:val="center"/>
          </w:tcPr>
          <w:p>
            <w:pPr>
              <w:spacing w:before="60" w:after="60"/>
              <w:jc w:val="left"/>
            </w:pPr>
            <w:r/>
            <w:r>
              <w:rPr>
                <w:rFonts w:ascii="Calibri" w:hAnsi="Calibri"/>
                <w:b w:val="0"/>
                <w:color w:val="333333"/>
                <w:sz w:val="19"/>
              </w:rPr>
              <w:t>Q4 2025</w:t>
            </w:r>
          </w:p>
        </w:tc>
        <w:tc>
          <w:tcPr>
            <w:tcW w:type="dxa" w:w="1584"/>
            <w:shd w:fill="EDF2F7"/>
            <w:vAlign w:val="center"/>
          </w:tcPr>
          <w:p>
            <w:pPr>
              <w:spacing w:before="60" w:after="60"/>
              <w:jc w:val="left"/>
            </w:pPr>
            <w:r/>
            <w:r>
              <w:rPr>
                <w:rFonts w:ascii="Calibri" w:hAnsi="Calibri"/>
                <w:b w:val="0"/>
                <w:color w:val="333333"/>
                <w:sz w:val="19"/>
              </w:rPr>
              <w:t>$8,050</w:t>
            </w:r>
          </w:p>
        </w:tc>
        <w:tc>
          <w:tcPr>
            <w:tcW w:type="dxa" w:w="1440"/>
            <w:shd w:fill="EDF2F7"/>
            <w:vAlign w:val="center"/>
          </w:tcPr>
          <w:p>
            <w:pPr>
              <w:spacing w:before="60" w:after="60"/>
              <w:jc w:val="left"/>
            </w:pPr>
            <w:r/>
            <w:r>
              <w:rPr>
                <w:rFonts w:ascii="Calibri" w:hAnsi="Calibri"/>
                <w:b w:val="0"/>
                <w:color w:val="333333"/>
                <w:sz w:val="19"/>
              </w:rPr>
              <w:t>$6,000</w:t>
            </w:r>
          </w:p>
        </w:tc>
        <w:tc>
          <w:tcPr>
            <w:tcW w:type="dxa" w:w="1440"/>
            <w:shd w:fill="EDF2F7"/>
            <w:vAlign w:val="center"/>
          </w:tcPr>
          <w:p>
            <w:pPr>
              <w:spacing w:before="60" w:after="60"/>
              <w:jc w:val="left"/>
            </w:pPr>
            <w:r/>
            <w:r>
              <w:rPr>
                <w:rFonts w:ascii="Calibri" w:hAnsi="Calibri"/>
                <w:b w:val="0"/>
                <w:color w:val="333333"/>
                <w:sz w:val="19"/>
              </w:rPr>
              <w:t>$4,000</w:t>
            </w:r>
          </w:p>
        </w:tc>
        <w:tc>
          <w:tcPr>
            <w:tcW w:type="dxa" w:w="1440"/>
            <w:shd w:fill="EDF2F7"/>
            <w:vAlign w:val="center"/>
          </w:tcPr>
          <w:p>
            <w:pPr>
              <w:spacing w:before="60" w:after="60"/>
              <w:jc w:val="left"/>
            </w:pPr>
            <w:r/>
            <w:r>
              <w:rPr>
                <w:rFonts w:ascii="Calibri" w:hAnsi="Calibri"/>
                <w:b w:val="0"/>
                <w:color w:val="333333"/>
                <w:sz w:val="19"/>
              </w:rPr>
              <w:t>$15,000</w:t>
            </w:r>
          </w:p>
        </w:tc>
        <w:tc>
          <w:tcPr>
            <w:tcW w:type="dxa" w:w="1728"/>
            <w:shd w:fill="EDF2F7"/>
            <w:vAlign w:val="center"/>
          </w:tcPr>
          <w:p>
            <w:pPr>
              <w:spacing w:before="60" w:after="60"/>
              <w:jc w:val="left"/>
            </w:pPr>
            <w:r/>
            <w:r>
              <w:rPr>
                <w:rFonts w:ascii="Calibri" w:hAnsi="Calibri"/>
                <w:b w:val="0"/>
                <w:color w:val="333333"/>
                <w:sz w:val="19"/>
              </w:rPr>
              <w:t>$33,050</w:t>
            </w:r>
          </w:p>
        </w:tc>
      </w:tr>
      <w:tr>
        <w:tc>
          <w:tcPr>
            <w:tcW w:type="dxa" w:w="1584"/>
            <w:vAlign w:val="center"/>
          </w:tcPr>
          <w:p>
            <w:pPr>
              <w:spacing w:before="60" w:after="60"/>
              <w:jc w:val="left"/>
            </w:pPr>
            <w:r/>
            <w:r>
              <w:rPr>
                <w:rFonts w:ascii="Calibri" w:hAnsi="Calibri"/>
                <w:b w:val="0"/>
                <w:color w:val="333333"/>
                <w:sz w:val="19"/>
              </w:rPr>
              <w:t>Year 1 Total</w:t>
            </w:r>
          </w:p>
        </w:tc>
        <w:tc>
          <w:tcPr>
            <w:tcW w:type="dxa" w:w="1584"/>
            <w:vAlign w:val="center"/>
          </w:tcPr>
          <w:p>
            <w:pPr>
              <w:spacing w:before="60" w:after="60"/>
              <w:jc w:val="left"/>
            </w:pPr>
            <w:r/>
            <w:r>
              <w:rPr>
                <w:rFonts w:ascii="Calibri" w:hAnsi="Calibri"/>
                <w:b w:val="0"/>
                <w:color w:val="333333"/>
                <w:sz w:val="19"/>
              </w:rPr>
              <w:t>$17,100</w:t>
            </w:r>
          </w:p>
        </w:tc>
        <w:tc>
          <w:tcPr>
            <w:tcW w:type="dxa" w:w="1440"/>
            <w:vAlign w:val="center"/>
          </w:tcPr>
          <w:p>
            <w:pPr>
              <w:spacing w:before="60" w:after="60"/>
              <w:jc w:val="left"/>
            </w:pPr>
            <w:r/>
            <w:r>
              <w:rPr>
                <w:rFonts w:ascii="Calibri" w:hAnsi="Calibri"/>
                <w:b w:val="0"/>
                <w:color w:val="333333"/>
                <w:sz w:val="19"/>
              </w:rPr>
              <w:t>$12,000</w:t>
            </w:r>
          </w:p>
        </w:tc>
        <w:tc>
          <w:tcPr>
            <w:tcW w:type="dxa" w:w="1440"/>
            <w:vAlign w:val="center"/>
          </w:tcPr>
          <w:p>
            <w:pPr>
              <w:spacing w:before="60" w:after="60"/>
              <w:jc w:val="left"/>
            </w:pPr>
            <w:r/>
            <w:r>
              <w:rPr>
                <w:rFonts w:ascii="Calibri" w:hAnsi="Calibri"/>
                <w:b w:val="0"/>
                <w:color w:val="333333"/>
                <w:sz w:val="19"/>
              </w:rPr>
              <w:t>$5,000</w:t>
            </w:r>
          </w:p>
        </w:tc>
        <w:tc>
          <w:tcPr>
            <w:tcW w:type="dxa" w:w="1440"/>
            <w:vAlign w:val="center"/>
          </w:tcPr>
          <w:p>
            <w:pPr>
              <w:spacing w:before="60" w:after="60"/>
              <w:jc w:val="left"/>
            </w:pPr>
            <w:r/>
            <w:r>
              <w:rPr>
                <w:rFonts w:ascii="Calibri" w:hAnsi="Calibri"/>
                <w:b w:val="0"/>
                <w:color w:val="333333"/>
                <w:sz w:val="19"/>
              </w:rPr>
              <w:t>$50,000</w:t>
            </w:r>
          </w:p>
        </w:tc>
        <w:tc>
          <w:tcPr>
            <w:tcW w:type="dxa" w:w="1728"/>
            <w:vAlign w:val="center"/>
          </w:tcPr>
          <w:p>
            <w:pPr>
              <w:spacing w:before="60" w:after="60"/>
              <w:jc w:val="left"/>
            </w:pPr>
            <w:r/>
            <w:r>
              <w:rPr>
                <w:rFonts w:ascii="Calibri" w:hAnsi="Calibri"/>
                <w:b w:val="0"/>
                <w:color w:val="333333"/>
                <w:sz w:val="19"/>
              </w:rPr>
              <w:t>$84,100</w:t>
            </w:r>
          </w:p>
        </w:tc>
      </w:tr>
    </w:tbl>
    <w:p>
      <w:pPr>
        <w:spacing w:before="80"/>
      </w:pPr>
      <w:r>
        <w:rPr>
          <w:i/>
          <w:color w:val="666666"/>
          <w:sz w:val="18"/>
        </w:rPr>
        <w:t>Table 7: Quarterly Revenue Breakdown (Year 1)</w:t>
      </w:r>
    </w:p>
    <w:p>
      <w:pPr>
        <w:pStyle w:val="Heading2"/>
      </w:pPr>
      <w:r>
        <w:t>10.4 Break-Even Analysis</w:t>
      </w:r>
    </w:p>
    <w:p>
      <w:r>
        <w:rPr>
          <w:rFonts w:ascii="Calibri" w:hAnsi="Calibri"/>
          <w:color w:val="333333"/>
          <w:sz w:val="22"/>
        </w:rPr>
        <w:t>The break-even analysis reveals a favorable financial trajectory for NexusAI. With a lean cost structure during the bootstrap phase, the platform is expected to achieve cash-flow positivity within the first quarter, primarily driven by consulting services revenue that offsets early infrastructure costs. The true break-even point, where recurring revenue (subscriptions and enterprise licensing) exceeds recurring costs (infrastructure and operations), is projected to occur in Q3 2025 (Month 7-9). By this point, premium subscriptions are expected to generate approximately $5,700 per quarter, combined with the first enterprise licensing revenue of $6,000, totaling $11,700 in recurring revenue against approximately $9,750 in quarterly recurring costs.</w:t>
      </w:r>
    </w:p>
    <w:p>
      <w:r>
        <w:rPr>
          <w:rFonts w:ascii="Calibri" w:hAnsi="Calibri"/>
          <w:color w:val="333333"/>
          <w:sz w:val="22"/>
        </w:rPr>
        <w:t>The path to break-even is accelerated by several factors: the low fixed-cost structure of an open-source project, the use of spot GPU instances that reduce infrastructure costs by 50-70%, the consulting revenue stream that provides immediate cash flow without significant incremental costs, and the community-driven development model that reduces the need for large paid engineering teams. The financial projections assume a conservative conversion rate of 3% from free to premium, which is at the lower end of the industry benchmark range of 2-5% for developer tools. If the conversion rate reaches 5%, premium revenue in Year 1 would increase to approximately $28,500, significantly improving the financial position. The enterprise pipeline is also conservatively estimated, with significant upside potential if pilot programs convert to annual contracts at higher values.</w:t>
      </w:r>
    </w:p>
    <w:p>
      <w:r>
        <w:br w:type="page"/>
      </w:r>
    </w:p>
    <w:p>
      <w:pPr>
        <w:pStyle w:val="Heading1"/>
      </w:pPr>
      <w:r>
        <w:t>11. Risk Analysis &amp; Mitigation</w:t>
      </w:r>
    </w:p>
    <w:p>
      <w:pPr>
        <w:pStyle w:val="Heading2"/>
      </w:pPr>
      <w:r>
        <w:t>11.1 Risk Matrix</w:t>
      </w:r>
    </w:p>
    <w:tbl>
      <w:tblPr>
        <w:tblStyle w:val="TableGrid"/>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872"/>
        <w:gridCol w:w="1872"/>
        <w:gridCol w:w="1872"/>
        <w:gridCol w:w="1872"/>
        <w:gridCol w:w="1872"/>
      </w:tblGrid>
      <w:tr>
        <w:tc>
          <w:tcPr>
            <w:tcW w:type="dxa" w:w="2160"/>
            <w:shd w:fill="1A2744"/>
            <w:vAlign w:val="center"/>
          </w:tcPr>
          <w:p>
            <w:pPr>
              <w:spacing w:before="60" w:after="60"/>
              <w:jc w:val="center"/>
            </w:pPr>
            <w:r/>
            <w:r>
              <w:rPr>
                <w:rFonts w:ascii="Calibri" w:hAnsi="Calibri"/>
                <w:b/>
                <w:color w:val="FFFFFF"/>
                <w:sz w:val="20"/>
              </w:rPr>
              <w:t>Risk</w:t>
            </w:r>
          </w:p>
        </w:tc>
        <w:tc>
          <w:tcPr>
            <w:tcW w:type="dxa" w:w="1296"/>
            <w:shd w:fill="1A2744"/>
            <w:vAlign w:val="center"/>
          </w:tcPr>
          <w:p>
            <w:pPr>
              <w:spacing w:before="60" w:after="60"/>
              <w:jc w:val="center"/>
            </w:pPr>
            <w:r/>
            <w:r>
              <w:rPr>
                <w:rFonts w:ascii="Calibri" w:hAnsi="Calibri"/>
                <w:b/>
                <w:color w:val="FFFFFF"/>
                <w:sz w:val="20"/>
              </w:rPr>
              <w:t>Category</w:t>
            </w:r>
          </w:p>
        </w:tc>
        <w:tc>
          <w:tcPr>
            <w:tcW w:type="dxa" w:w="1152"/>
            <w:shd w:fill="1A2744"/>
            <w:vAlign w:val="center"/>
          </w:tcPr>
          <w:p>
            <w:pPr>
              <w:spacing w:before="60" w:after="60"/>
              <w:jc w:val="center"/>
            </w:pPr>
            <w:r/>
            <w:r>
              <w:rPr>
                <w:rFonts w:ascii="Calibri" w:hAnsi="Calibri"/>
                <w:b/>
                <w:color w:val="FFFFFF"/>
                <w:sz w:val="20"/>
              </w:rPr>
              <w:t>Probability</w:t>
            </w:r>
          </w:p>
        </w:tc>
        <w:tc>
          <w:tcPr>
            <w:tcW w:type="dxa" w:w="1008"/>
            <w:shd w:fill="1A2744"/>
            <w:vAlign w:val="center"/>
          </w:tcPr>
          <w:p>
            <w:pPr>
              <w:spacing w:before="60" w:after="60"/>
              <w:jc w:val="center"/>
            </w:pPr>
            <w:r/>
            <w:r>
              <w:rPr>
                <w:rFonts w:ascii="Calibri" w:hAnsi="Calibri"/>
                <w:b/>
                <w:color w:val="FFFFFF"/>
                <w:sz w:val="20"/>
              </w:rPr>
              <w:t>Impact</w:t>
            </w:r>
          </w:p>
        </w:tc>
        <w:tc>
          <w:tcPr>
            <w:tcW w:type="dxa" w:w="3744"/>
            <w:shd w:fill="1A2744"/>
            <w:vAlign w:val="center"/>
          </w:tcPr>
          <w:p>
            <w:pPr>
              <w:spacing w:before="60" w:after="60"/>
              <w:jc w:val="center"/>
            </w:pPr>
            <w:r/>
            <w:r>
              <w:rPr>
                <w:rFonts w:ascii="Calibri" w:hAnsi="Calibri"/>
                <w:b/>
                <w:color w:val="FFFFFF"/>
                <w:sz w:val="20"/>
              </w:rPr>
              <w:t>Mitigation Strategy</w:t>
            </w:r>
          </w:p>
        </w:tc>
      </w:tr>
      <w:tr>
        <w:tc>
          <w:tcPr>
            <w:tcW w:type="dxa" w:w="2160"/>
            <w:vAlign w:val="center"/>
          </w:tcPr>
          <w:p>
            <w:pPr>
              <w:spacing w:before="60" w:after="60"/>
              <w:jc w:val="left"/>
            </w:pPr>
            <w:r/>
            <w:r>
              <w:rPr>
                <w:rFonts w:ascii="Calibri" w:hAnsi="Calibri"/>
                <w:b w:val="0"/>
                <w:color w:val="333333"/>
                <w:sz w:val="19"/>
              </w:rPr>
              <w:t>Model quality inferior to GPT-4</w:t>
            </w:r>
          </w:p>
        </w:tc>
        <w:tc>
          <w:tcPr>
            <w:tcW w:type="dxa" w:w="1296"/>
            <w:vAlign w:val="center"/>
          </w:tcPr>
          <w:p>
            <w:pPr>
              <w:spacing w:before="60" w:after="60"/>
              <w:jc w:val="left"/>
            </w:pPr>
            <w:r/>
            <w:r>
              <w:rPr>
                <w:rFonts w:ascii="Calibri" w:hAnsi="Calibri"/>
                <w:b w:val="0"/>
                <w:color w:val="333333"/>
                <w:sz w:val="19"/>
              </w:rPr>
              <w:t>Technical</w:t>
            </w:r>
          </w:p>
        </w:tc>
        <w:tc>
          <w:tcPr>
            <w:tcW w:type="dxa" w:w="1152"/>
            <w:vAlign w:val="center"/>
          </w:tcPr>
          <w:p>
            <w:pPr>
              <w:spacing w:before="60" w:after="60"/>
              <w:jc w:val="left"/>
            </w:pPr>
            <w:r/>
            <w:r>
              <w:rPr>
                <w:rFonts w:ascii="Calibri" w:hAnsi="Calibri"/>
                <w:b w:val="0"/>
                <w:color w:val="333333"/>
                <w:sz w:val="19"/>
              </w:rPr>
              <w:t>Medium</w:t>
            </w:r>
          </w:p>
        </w:tc>
        <w:tc>
          <w:tcPr>
            <w:tcW w:type="dxa" w:w="1008"/>
            <w:vAlign w:val="center"/>
          </w:tcPr>
          <w:p>
            <w:pPr>
              <w:spacing w:before="60" w:after="60"/>
              <w:jc w:val="left"/>
            </w:pPr>
            <w:r/>
            <w:r>
              <w:rPr>
                <w:rFonts w:ascii="Calibri" w:hAnsi="Calibri"/>
                <w:b w:val="0"/>
                <w:color w:val="333333"/>
                <w:sz w:val="19"/>
              </w:rPr>
              <w:t>High</w:t>
            </w:r>
          </w:p>
        </w:tc>
        <w:tc>
          <w:tcPr>
            <w:tcW w:type="dxa" w:w="3744"/>
            <w:vAlign w:val="center"/>
          </w:tcPr>
          <w:p>
            <w:pPr>
              <w:spacing w:before="60" w:after="60"/>
              <w:jc w:val="left"/>
            </w:pPr>
            <w:r/>
            <w:r>
              <w:rPr>
                <w:rFonts w:ascii="Calibri" w:hAnsi="Calibri"/>
                <w:b w:val="0"/>
                <w:color w:val="333333"/>
                <w:sz w:val="19"/>
              </w:rPr>
              <w:t>Continuous benchmarking; community fine-tuning; multi-model fallback</w:t>
            </w:r>
          </w:p>
        </w:tc>
      </w:tr>
      <w:tr>
        <w:tc>
          <w:tcPr>
            <w:tcW w:type="dxa" w:w="2160"/>
            <w:shd w:fill="EDF2F7"/>
            <w:vAlign w:val="center"/>
          </w:tcPr>
          <w:p>
            <w:pPr>
              <w:spacing w:before="60" w:after="60"/>
              <w:jc w:val="left"/>
            </w:pPr>
            <w:r/>
            <w:r>
              <w:rPr>
                <w:rFonts w:ascii="Calibri" w:hAnsi="Calibri"/>
                <w:b w:val="0"/>
                <w:color w:val="333333"/>
                <w:sz w:val="19"/>
              </w:rPr>
              <w:t>GPU cost escalation</w:t>
            </w:r>
          </w:p>
        </w:tc>
        <w:tc>
          <w:tcPr>
            <w:tcW w:type="dxa" w:w="1296"/>
            <w:shd w:fill="EDF2F7"/>
            <w:vAlign w:val="center"/>
          </w:tcPr>
          <w:p>
            <w:pPr>
              <w:spacing w:before="60" w:after="60"/>
              <w:jc w:val="left"/>
            </w:pPr>
            <w:r/>
            <w:r>
              <w:rPr>
                <w:rFonts w:ascii="Calibri" w:hAnsi="Calibri"/>
                <w:b w:val="0"/>
                <w:color w:val="333333"/>
                <w:sz w:val="19"/>
              </w:rPr>
              <w:t>Financial</w:t>
            </w:r>
          </w:p>
        </w:tc>
        <w:tc>
          <w:tcPr>
            <w:tcW w:type="dxa" w:w="1152"/>
            <w:shd w:fill="EDF2F7"/>
            <w:vAlign w:val="center"/>
          </w:tcPr>
          <w:p>
            <w:pPr>
              <w:spacing w:before="60" w:after="60"/>
              <w:jc w:val="left"/>
            </w:pPr>
            <w:r/>
            <w:r>
              <w:rPr>
                <w:rFonts w:ascii="Calibri" w:hAnsi="Calibri"/>
                <w:b w:val="0"/>
                <w:color w:val="333333"/>
                <w:sz w:val="19"/>
              </w:rPr>
              <w:t>Medium</w:t>
            </w:r>
          </w:p>
        </w:tc>
        <w:tc>
          <w:tcPr>
            <w:tcW w:type="dxa" w:w="1008"/>
            <w:shd w:fill="EDF2F7"/>
            <w:vAlign w:val="center"/>
          </w:tcPr>
          <w:p>
            <w:pPr>
              <w:spacing w:before="60" w:after="60"/>
              <w:jc w:val="left"/>
            </w:pPr>
            <w:r/>
            <w:r>
              <w:rPr>
                <w:rFonts w:ascii="Calibri" w:hAnsi="Calibri"/>
                <w:b w:val="0"/>
                <w:color w:val="333333"/>
                <w:sz w:val="19"/>
              </w:rPr>
              <w:t>High</w:t>
            </w:r>
          </w:p>
        </w:tc>
        <w:tc>
          <w:tcPr>
            <w:tcW w:type="dxa" w:w="3744"/>
            <w:shd w:fill="EDF2F7"/>
            <w:vAlign w:val="center"/>
          </w:tcPr>
          <w:p>
            <w:pPr>
              <w:spacing w:before="60" w:after="60"/>
              <w:jc w:val="left"/>
            </w:pPr>
            <w:r/>
            <w:r>
              <w:rPr>
                <w:rFonts w:ascii="Calibri" w:hAnsi="Calibri"/>
                <w:b w:val="0"/>
                <w:color w:val="333333"/>
                <w:sz w:val="19"/>
              </w:rPr>
              <w:t>Quantization; spot instances; model distillation; caching</w:t>
            </w:r>
          </w:p>
        </w:tc>
      </w:tr>
      <w:tr>
        <w:tc>
          <w:tcPr>
            <w:tcW w:type="dxa" w:w="2160"/>
            <w:vAlign w:val="center"/>
          </w:tcPr>
          <w:p>
            <w:pPr>
              <w:spacing w:before="60" w:after="60"/>
              <w:jc w:val="left"/>
            </w:pPr>
            <w:r/>
            <w:r>
              <w:rPr>
                <w:rFonts w:ascii="Calibri" w:hAnsi="Calibri"/>
                <w:b w:val="0"/>
                <w:color w:val="333333"/>
                <w:sz w:val="19"/>
              </w:rPr>
              <w:t>Scalability bottlenecks</w:t>
            </w:r>
          </w:p>
        </w:tc>
        <w:tc>
          <w:tcPr>
            <w:tcW w:type="dxa" w:w="1296"/>
            <w:vAlign w:val="center"/>
          </w:tcPr>
          <w:p>
            <w:pPr>
              <w:spacing w:before="60" w:after="60"/>
              <w:jc w:val="left"/>
            </w:pPr>
            <w:r/>
            <w:r>
              <w:rPr>
                <w:rFonts w:ascii="Calibri" w:hAnsi="Calibri"/>
                <w:b w:val="0"/>
                <w:color w:val="333333"/>
                <w:sz w:val="19"/>
              </w:rPr>
              <w:t>Technical</w:t>
            </w:r>
          </w:p>
        </w:tc>
        <w:tc>
          <w:tcPr>
            <w:tcW w:type="dxa" w:w="1152"/>
            <w:vAlign w:val="center"/>
          </w:tcPr>
          <w:p>
            <w:pPr>
              <w:spacing w:before="60" w:after="60"/>
              <w:jc w:val="left"/>
            </w:pPr>
            <w:r/>
            <w:r>
              <w:rPr>
                <w:rFonts w:ascii="Calibri" w:hAnsi="Calibri"/>
                <w:b w:val="0"/>
                <w:color w:val="333333"/>
                <w:sz w:val="19"/>
              </w:rPr>
              <w:t>Medium</w:t>
            </w:r>
          </w:p>
        </w:tc>
        <w:tc>
          <w:tcPr>
            <w:tcW w:type="dxa" w:w="1008"/>
            <w:vAlign w:val="center"/>
          </w:tcPr>
          <w:p>
            <w:pPr>
              <w:spacing w:before="60" w:after="60"/>
              <w:jc w:val="left"/>
            </w:pPr>
            <w:r/>
            <w:r>
              <w:rPr>
                <w:rFonts w:ascii="Calibri" w:hAnsi="Calibri"/>
                <w:b w:val="0"/>
                <w:color w:val="333333"/>
                <w:sz w:val="19"/>
              </w:rPr>
              <w:t>High</w:t>
            </w:r>
          </w:p>
        </w:tc>
        <w:tc>
          <w:tcPr>
            <w:tcW w:type="dxa" w:w="3744"/>
            <w:vAlign w:val="center"/>
          </w:tcPr>
          <w:p>
            <w:pPr>
              <w:spacing w:before="60" w:after="60"/>
              <w:jc w:val="left"/>
            </w:pPr>
            <w:r/>
            <w:r>
              <w:rPr>
                <w:rFonts w:ascii="Calibri" w:hAnsi="Calibri"/>
                <w:b w:val="0"/>
                <w:color w:val="333333"/>
                <w:sz w:val="19"/>
              </w:rPr>
              <w:t>Kubernetes auto-scaling; CDN; rate limiting; caching layers</w:t>
            </w:r>
          </w:p>
        </w:tc>
      </w:tr>
      <w:tr>
        <w:tc>
          <w:tcPr>
            <w:tcW w:type="dxa" w:w="2160"/>
            <w:shd w:fill="EDF2F7"/>
            <w:vAlign w:val="center"/>
          </w:tcPr>
          <w:p>
            <w:pPr>
              <w:spacing w:before="60" w:after="60"/>
              <w:jc w:val="left"/>
            </w:pPr>
            <w:r/>
            <w:r>
              <w:rPr>
                <w:rFonts w:ascii="Calibri" w:hAnsi="Calibri"/>
                <w:b w:val="0"/>
                <w:color w:val="333333"/>
                <w:sz w:val="19"/>
              </w:rPr>
              <w:t>Major competitor launches free tier</w:t>
            </w:r>
          </w:p>
        </w:tc>
        <w:tc>
          <w:tcPr>
            <w:tcW w:type="dxa" w:w="1296"/>
            <w:shd w:fill="EDF2F7"/>
            <w:vAlign w:val="center"/>
          </w:tcPr>
          <w:p>
            <w:pPr>
              <w:spacing w:before="60" w:after="60"/>
              <w:jc w:val="left"/>
            </w:pPr>
            <w:r/>
            <w:r>
              <w:rPr>
                <w:rFonts w:ascii="Calibri" w:hAnsi="Calibri"/>
                <w:b w:val="0"/>
                <w:color w:val="333333"/>
                <w:sz w:val="19"/>
              </w:rPr>
              <w:t>Business</w:t>
            </w:r>
          </w:p>
        </w:tc>
        <w:tc>
          <w:tcPr>
            <w:tcW w:type="dxa" w:w="1152"/>
            <w:shd w:fill="EDF2F7"/>
            <w:vAlign w:val="center"/>
          </w:tcPr>
          <w:p>
            <w:pPr>
              <w:spacing w:before="60" w:after="60"/>
              <w:jc w:val="left"/>
            </w:pPr>
            <w:r/>
            <w:r>
              <w:rPr>
                <w:rFonts w:ascii="Calibri" w:hAnsi="Calibri"/>
                <w:b w:val="0"/>
                <w:color w:val="333333"/>
                <w:sz w:val="19"/>
              </w:rPr>
              <w:t>High</w:t>
            </w:r>
          </w:p>
        </w:tc>
        <w:tc>
          <w:tcPr>
            <w:tcW w:type="dxa" w:w="1008"/>
            <w:shd w:fill="EDF2F7"/>
            <w:vAlign w:val="center"/>
          </w:tcPr>
          <w:p>
            <w:pPr>
              <w:spacing w:before="60" w:after="60"/>
              <w:jc w:val="left"/>
            </w:pPr>
            <w:r/>
            <w:r>
              <w:rPr>
                <w:rFonts w:ascii="Calibri" w:hAnsi="Calibri"/>
                <w:b w:val="0"/>
                <w:color w:val="333333"/>
                <w:sz w:val="19"/>
              </w:rPr>
              <w:t>Medium</w:t>
            </w:r>
          </w:p>
        </w:tc>
        <w:tc>
          <w:tcPr>
            <w:tcW w:type="dxa" w:w="3744"/>
            <w:shd w:fill="EDF2F7"/>
            <w:vAlign w:val="center"/>
          </w:tcPr>
          <w:p>
            <w:pPr>
              <w:spacing w:before="60" w:after="60"/>
              <w:jc w:val="left"/>
            </w:pPr>
            <w:r/>
            <w:r>
              <w:rPr>
                <w:rFonts w:ascii="Calibri" w:hAnsi="Calibri"/>
                <w:b w:val="0"/>
                <w:color w:val="333333"/>
                <w:sz w:val="19"/>
              </w:rPr>
              <w:t>Differentiate on agents, bilingual, open-source; community loyalty</w:t>
            </w:r>
          </w:p>
        </w:tc>
      </w:tr>
      <w:tr>
        <w:tc>
          <w:tcPr>
            <w:tcW w:type="dxa" w:w="2160"/>
            <w:vAlign w:val="center"/>
          </w:tcPr>
          <w:p>
            <w:pPr>
              <w:spacing w:before="60" w:after="60"/>
              <w:jc w:val="left"/>
            </w:pPr>
            <w:r/>
            <w:r>
              <w:rPr>
                <w:rFonts w:ascii="Calibri" w:hAnsi="Calibri"/>
                <w:b w:val="0"/>
                <w:color w:val="333333"/>
                <w:sz w:val="19"/>
              </w:rPr>
              <w:t>Low free-to-paid conversion</w:t>
            </w:r>
          </w:p>
        </w:tc>
        <w:tc>
          <w:tcPr>
            <w:tcW w:type="dxa" w:w="1296"/>
            <w:vAlign w:val="center"/>
          </w:tcPr>
          <w:p>
            <w:pPr>
              <w:spacing w:before="60" w:after="60"/>
              <w:jc w:val="left"/>
            </w:pPr>
            <w:r/>
            <w:r>
              <w:rPr>
                <w:rFonts w:ascii="Calibri" w:hAnsi="Calibri"/>
                <w:b w:val="0"/>
                <w:color w:val="333333"/>
                <w:sz w:val="19"/>
              </w:rPr>
              <w:t>Business</w:t>
            </w:r>
          </w:p>
        </w:tc>
        <w:tc>
          <w:tcPr>
            <w:tcW w:type="dxa" w:w="1152"/>
            <w:vAlign w:val="center"/>
          </w:tcPr>
          <w:p>
            <w:pPr>
              <w:spacing w:before="60" w:after="60"/>
              <w:jc w:val="left"/>
            </w:pPr>
            <w:r/>
            <w:r>
              <w:rPr>
                <w:rFonts w:ascii="Calibri" w:hAnsi="Calibri"/>
                <w:b w:val="0"/>
                <w:color w:val="333333"/>
                <w:sz w:val="19"/>
              </w:rPr>
              <w:t>Medium</w:t>
            </w:r>
          </w:p>
        </w:tc>
        <w:tc>
          <w:tcPr>
            <w:tcW w:type="dxa" w:w="1008"/>
            <w:vAlign w:val="center"/>
          </w:tcPr>
          <w:p>
            <w:pPr>
              <w:spacing w:before="60" w:after="60"/>
              <w:jc w:val="left"/>
            </w:pPr>
            <w:r/>
            <w:r>
              <w:rPr>
                <w:rFonts w:ascii="Calibri" w:hAnsi="Calibri"/>
                <w:b w:val="0"/>
                <w:color w:val="333333"/>
                <w:sz w:val="19"/>
              </w:rPr>
              <w:t>Medium</w:t>
            </w:r>
          </w:p>
        </w:tc>
        <w:tc>
          <w:tcPr>
            <w:tcW w:type="dxa" w:w="3744"/>
            <w:vAlign w:val="center"/>
          </w:tcPr>
          <w:p>
            <w:pPr>
              <w:spacing w:before="60" w:after="60"/>
              <w:jc w:val="left"/>
            </w:pPr>
            <w:r/>
            <w:r>
              <w:rPr>
                <w:rFonts w:ascii="Calibri" w:hAnsi="Calibri"/>
                <w:b w:val="0"/>
                <w:color w:val="333333"/>
                <w:sz w:val="19"/>
              </w:rPr>
              <w:t>Feature-gating; usage analytics; targeted upgrade prompts</w:t>
            </w:r>
          </w:p>
        </w:tc>
      </w:tr>
      <w:tr>
        <w:tc>
          <w:tcPr>
            <w:tcW w:type="dxa" w:w="2160"/>
            <w:shd w:fill="EDF2F7"/>
            <w:vAlign w:val="center"/>
          </w:tcPr>
          <w:p>
            <w:pPr>
              <w:spacing w:before="60" w:after="60"/>
              <w:jc w:val="left"/>
            </w:pPr>
            <w:r/>
            <w:r>
              <w:rPr>
                <w:rFonts w:ascii="Calibri" w:hAnsi="Calibri"/>
                <w:b w:val="0"/>
                <w:color w:val="333333"/>
                <w:sz w:val="19"/>
              </w:rPr>
              <w:t>Data privacy regulation changes</w:t>
            </w:r>
          </w:p>
        </w:tc>
        <w:tc>
          <w:tcPr>
            <w:tcW w:type="dxa" w:w="1296"/>
            <w:shd w:fill="EDF2F7"/>
            <w:vAlign w:val="center"/>
          </w:tcPr>
          <w:p>
            <w:pPr>
              <w:spacing w:before="60" w:after="60"/>
              <w:jc w:val="left"/>
            </w:pPr>
            <w:r/>
            <w:r>
              <w:rPr>
                <w:rFonts w:ascii="Calibri" w:hAnsi="Calibri"/>
                <w:b w:val="0"/>
                <w:color w:val="333333"/>
                <w:sz w:val="19"/>
              </w:rPr>
              <w:t>Regulatory</w:t>
            </w:r>
          </w:p>
        </w:tc>
        <w:tc>
          <w:tcPr>
            <w:tcW w:type="dxa" w:w="1152"/>
            <w:shd w:fill="EDF2F7"/>
            <w:vAlign w:val="center"/>
          </w:tcPr>
          <w:p>
            <w:pPr>
              <w:spacing w:before="60" w:after="60"/>
              <w:jc w:val="left"/>
            </w:pPr>
            <w:r/>
            <w:r>
              <w:rPr>
                <w:rFonts w:ascii="Calibri" w:hAnsi="Calibri"/>
                <w:b w:val="0"/>
                <w:color w:val="333333"/>
                <w:sz w:val="19"/>
              </w:rPr>
              <w:t>Low</w:t>
            </w:r>
          </w:p>
        </w:tc>
        <w:tc>
          <w:tcPr>
            <w:tcW w:type="dxa" w:w="1008"/>
            <w:shd w:fill="EDF2F7"/>
            <w:vAlign w:val="center"/>
          </w:tcPr>
          <w:p>
            <w:pPr>
              <w:spacing w:before="60" w:after="60"/>
              <w:jc w:val="left"/>
            </w:pPr>
            <w:r/>
            <w:r>
              <w:rPr>
                <w:rFonts w:ascii="Calibri" w:hAnsi="Calibri"/>
                <w:b w:val="0"/>
                <w:color w:val="333333"/>
                <w:sz w:val="19"/>
              </w:rPr>
              <w:t>High</w:t>
            </w:r>
          </w:p>
        </w:tc>
        <w:tc>
          <w:tcPr>
            <w:tcW w:type="dxa" w:w="3744"/>
            <w:shd w:fill="EDF2F7"/>
            <w:vAlign w:val="center"/>
          </w:tcPr>
          <w:p>
            <w:pPr>
              <w:spacing w:before="60" w:after="60"/>
              <w:jc w:val="left"/>
            </w:pPr>
            <w:r/>
            <w:r>
              <w:rPr>
                <w:rFonts w:ascii="Calibri" w:hAnsi="Calibri"/>
                <w:b w:val="0"/>
                <w:color w:val="333333"/>
                <w:sz w:val="19"/>
              </w:rPr>
              <w:t>On-premise option; GDPR compliance; data processing agreements</w:t>
            </w:r>
          </w:p>
        </w:tc>
      </w:tr>
      <w:tr>
        <w:tc>
          <w:tcPr>
            <w:tcW w:type="dxa" w:w="2160"/>
            <w:vAlign w:val="center"/>
          </w:tcPr>
          <w:p>
            <w:pPr>
              <w:spacing w:before="60" w:after="60"/>
              <w:jc w:val="left"/>
            </w:pPr>
            <w:r/>
            <w:r>
              <w:rPr>
                <w:rFonts w:ascii="Calibri" w:hAnsi="Calibri"/>
                <w:b w:val="0"/>
                <w:color w:val="333333"/>
                <w:sz w:val="19"/>
              </w:rPr>
              <w:t>AI regulation restricts open-source</w:t>
            </w:r>
          </w:p>
        </w:tc>
        <w:tc>
          <w:tcPr>
            <w:tcW w:type="dxa" w:w="1296"/>
            <w:vAlign w:val="center"/>
          </w:tcPr>
          <w:p>
            <w:pPr>
              <w:spacing w:before="60" w:after="60"/>
              <w:jc w:val="left"/>
            </w:pPr>
            <w:r/>
            <w:r>
              <w:rPr>
                <w:rFonts w:ascii="Calibri" w:hAnsi="Calibri"/>
                <w:b w:val="0"/>
                <w:color w:val="333333"/>
                <w:sz w:val="19"/>
              </w:rPr>
              <w:t>Regulatory</w:t>
            </w:r>
          </w:p>
        </w:tc>
        <w:tc>
          <w:tcPr>
            <w:tcW w:type="dxa" w:w="1152"/>
            <w:vAlign w:val="center"/>
          </w:tcPr>
          <w:p>
            <w:pPr>
              <w:spacing w:before="60" w:after="60"/>
              <w:jc w:val="left"/>
            </w:pPr>
            <w:r/>
            <w:r>
              <w:rPr>
                <w:rFonts w:ascii="Calibri" w:hAnsi="Calibri"/>
                <w:b w:val="0"/>
                <w:color w:val="333333"/>
                <w:sz w:val="19"/>
              </w:rPr>
              <w:t>Low</w:t>
            </w:r>
          </w:p>
        </w:tc>
        <w:tc>
          <w:tcPr>
            <w:tcW w:type="dxa" w:w="1008"/>
            <w:vAlign w:val="center"/>
          </w:tcPr>
          <w:p>
            <w:pPr>
              <w:spacing w:before="60" w:after="60"/>
              <w:jc w:val="left"/>
            </w:pPr>
            <w:r/>
            <w:r>
              <w:rPr>
                <w:rFonts w:ascii="Calibri" w:hAnsi="Calibri"/>
                <w:b w:val="0"/>
                <w:color w:val="333333"/>
                <w:sz w:val="19"/>
              </w:rPr>
              <w:t>High</w:t>
            </w:r>
          </w:p>
        </w:tc>
        <w:tc>
          <w:tcPr>
            <w:tcW w:type="dxa" w:w="3744"/>
            <w:vAlign w:val="center"/>
          </w:tcPr>
          <w:p>
            <w:pPr>
              <w:spacing w:before="60" w:after="60"/>
              <w:jc w:val="left"/>
            </w:pPr>
            <w:r/>
            <w:r>
              <w:rPr>
                <w:rFonts w:ascii="Calibri" w:hAnsi="Calibri"/>
                <w:b w:val="0"/>
                <w:color w:val="333333"/>
                <w:sz w:val="19"/>
              </w:rPr>
              <w:t>Legal monitoring; compliance framework; regulatory engagement</w:t>
            </w:r>
          </w:p>
        </w:tc>
      </w:tr>
      <w:tr>
        <w:tc>
          <w:tcPr>
            <w:tcW w:type="dxa" w:w="2160"/>
            <w:shd w:fill="EDF2F7"/>
            <w:vAlign w:val="center"/>
          </w:tcPr>
          <w:p>
            <w:pPr>
              <w:spacing w:before="60" w:after="60"/>
              <w:jc w:val="left"/>
            </w:pPr>
            <w:r/>
            <w:r>
              <w:rPr>
                <w:rFonts w:ascii="Calibri" w:hAnsi="Calibri"/>
                <w:b w:val="0"/>
                <w:color w:val="333333"/>
                <w:sz w:val="19"/>
              </w:rPr>
              <w:t>Key person dependency (Osama)</w:t>
            </w:r>
          </w:p>
        </w:tc>
        <w:tc>
          <w:tcPr>
            <w:tcW w:type="dxa" w:w="1296"/>
            <w:shd w:fill="EDF2F7"/>
            <w:vAlign w:val="center"/>
          </w:tcPr>
          <w:p>
            <w:pPr>
              <w:spacing w:before="60" w:after="60"/>
              <w:jc w:val="left"/>
            </w:pPr>
            <w:r/>
            <w:r>
              <w:rPr>
                <w:rFonts w:ascii="Calibri" w:hAnsi="Calibri"/>
                <w:b w:val="0"/>
                <w:color w:val="333333"/>
                <w:sz w:val="19"/>
              </w:rPr>
              <w:t>Organizational</w:t>
            </w:r>
          </w:p>
        </w:tc>
        <w:tc>
          <w:tcPr>
            <w:tcW w:type="dxa" w:w="1152"/>
            <w:shd w:fill="EDF2F7"/>
            <w:vAlign w:val="center"/>
          </w:tcPr>
          <w:p>
            <w:pPr>
              <w:spacing w:before="60" w:after="60"/>
              <w:jc w:val="left"/>
            </w:pPr>
            <w:r/>
            <w:r>
              <w:rPr>
                <w:rFonts w:ascii="Calibri" w:hAnsi="Calibri"/>
                <w:b w:val="0"/>
                <w:color w:val="333333"/>
                <w:sz w:val="19"/>
              </w:rPr>
              <w:t>Medium</w:t>
            </w:r>
          </w:p>
        </w:tc>
        <w:tc>
          <w:tcPr>
            <w:tcW w:type="dxa" w:w="1008"/>
            <w:shd w:fill="EDF2F7"/>
            <w:vAlign w:val="center"/>
          </w:tcPr>
          <w:p>
            <w:pPr>
              <w:spacing w:before="60" w:after="60"/>
              <w:jc w:val="left"/>
            </w:pPr>
            <w:r/>
            <w:r>
              <w:rPr>
                <w:rFonts w:ascii="Calibri" w:hAnsi="Calibri"/>
                <w:b w:val="0"/>
                <w:color w:val="333333"/>
                <w:sz w:val="19"/>
              </w:rPr>
              <w:t>High</w:t>
            </w:r>
          </w:p>
        </w:tc>
        <w:tc>
          <w:tcPr>
            <w:tcW w:type="dxa" w:w="3744"/>
            <w:shd w:fill="EDF2F7"/>
            <w:vAlign w:val="center"/>
          </w:tcPr>
          <w:p>
            <w:pPr>
              <w:spacing w:before="60" w:after="60"/>
              <w:jc w:val="left"/>
            </w:pPr>
            <w:r/>
            <w:r>
              <w:rPr>
                <w:rFonts w:ascii="Calibri" w:hAnsi="Calibri"/>
                <w:b w:val="0"/>
                <w:color w:val="333333"/>
                <w:sz w:val="19"/>
              </w:rPr>
              <w:t>Documentation; delegation; contributor expansion; advisory board</w:t>
            </w:r>
          </w:p>
        </w:tc>
      </w:tr>
      <w:tr>
        <w:tc>
          <w:tcPr>
            <w:tcW w:type="dxa" w:w="2160"/>
            <w:vAlign w:val="center"/>
          </w:tcPr>
          <w:p>
            <w:pPr>
              <w:spacing w:before="60" w:after="60"/>
              <w:jc w:val="left"/>
            </w:pPr>
            <w:r/>
            <w:r>
              <w:rPr>
                <w:rFonts w:ascii="Calibri" w:hAnsi="Calibri"/>
                <w:b w:val="0"/>
                <w:color w:val="333333"/>
                <w:sz w:val="19"/>
              </w:rPr>
              <w:t>Community toxicity/attrition</w:t>
            </w:r>
          </w:p>
        </w:tc>
        <w:tc>
          <w:tcPr>
            <w:tcW w:type="dxa" w:w="1296"/>
            <w:vAlign w:val="center"/>
          </w:tcPr>
          <w:p>
            <w:pPr>
              <w:spacing w:before="60" w:after="60"/>
              <w:jc w:val="left"/>
            </w:pPr>
            <w:r/>
            <w:r>
              <w:rPr>
                <w:rFonts w:ascii="Calibri" w:hAnsi="Calibri"/>
                <w:b w:val="0"/>
                <w:color w:val="333333"/>
                <w:sz w:val="19"/>
              </w:rPr>
              <w:t>Organizational</w:t>
            </w:r>
          </w:p>
        </w:tc>
        <w:tc>
          <w:tcPr>
            <w:tcW w:type="dxa" w:w="1152"/>
            <w:vAlign w:val="center"/>
          </w:tcPr>
          <w:p>
            <w:pPr>
              <w:spacing w:before="60" w:after="60"/>
              <w:jc w:val="left"/>
            </w:pPr>
            <w:r/>
            <w:r>
              <w:rPr>
                <w:rFonts w:ascii="Calibri" w:hAnsi="Calibri"/>
                <w:b w:val="0"/>
                <w:color w:val="333333"/>
                <w:sz w:val="19"/>
              </w:rPr>
              <w:t>Low</w:t>
            </w:r>
          </w:p>
        </w:tc>
        <w:tc>
          <w:tcPr>
            <w:tcW w:type="dxa" w:w="1008"/>
            <w:vAlign w:val="center"/>
          </w:tcPr>
          <w:p>
            <w:pPr>
              <w:spacing w:before="60" w:after="60"/>
              <w:jc w:val="left"/>
            </w:pPr>
            <w:r/>
            <w:r>
              <w:rPr>
                <w:rFonts w:ascii="Calibri" w:hAnsi="Calibri"/>
                <w:b w:val="0"/>
                <w:color w:val="333333"/>
                <w:sz w:val="19"/>
              </w:rPr>
              <w:t>Medium</w:t>
            </w:r>
          </w:p>
        </w:tc>
        <w:tc>
          <w:tcPr>
            <w:tcW w:type="dxa" w:w="3744"/>
            <w:vAlign w:val="center"/>
          </w:tcPr>
          <w:p>
            <w:pPr>
              <w:spacing w:before="60" w:after="60"/>
              <w:jc w:val="left"/>
            </w:pPr>
            <w:r/>
            <w:r>
              <w:rPr>
                <w:rFonts w:ascii="Calibri" w:hAnsi="Calibri"/>
                <w:b w:val="0"/>
                <w:color w:val="333333"/>
                <w:sz w:val="19"/>
              </w:rPr>
              <w:t>Code of conduct; moderation; recognition programs</w:t>
            </w:r>
          </w:p>
        </w:tc>
      </w:tr>
      <w:tr>
        <w:tc>
          <w:tcPr>
            <w:tcW w:type="dxa" w:w="2160"/>
            <w:shd w:fill="EDF2F7"/>
            <w:vAlign w:val="center"/>
          </w:tcPr>
          <w:p>
            <w:pPr>
              <w:spacing w:before="60" w:after="60"/>
              <w:jc w:val="left"/>
            </w:pPr>
            <w:r/>
            <w:r>
              <w:rPr>
                <w:rFonts w:ascii="Calibri" w:hAnsi="Calibri"/>
                <w:b w:val="0"/>
                <w:color w:val="333333"/>
                <w:sz w:val="19"/>
              </w:rPr>
              <w:t>Security breach / data leak</w:t>
            </w:r>
          </w:p>
        </w:tc>
        <w:tc>
          <w:tcPr>
            <w:tcW w:type="dxa" w:w="1296"/>
            <w:shd w:fill="EDF2F7"/>
            <w:vAlign w:val="center"/>
          </w:tcPr>
          <w:p>
            <w:pPr>
              <w:spacing w:before="60" w:after="60"/>
              <w:jc w:val="left"/>
            </w:pPr>
            <w:r/>
            <w:r>
              <w:rPr>
                <w:rFonts w:ascii="Calibri" w:hAnsi="Calibri"/>
                <w:b w:val="0"/>
                <w:color w:val="333333"/>
                <w:sz w:val="19"/>
              </w:rPr>
              <w:t>Technical</w:t>
            </w:r>
          </w:p>
        </w:tc>
        <w:tc>
          <w:tcPr>
            <w:tcW w:type="dxa" w:w="1152"/>
            <w:shd w:fill="EDF2F7"/>
            <w:vAlign w:val="center"/>
          </w:tcPr>
          <w:p>
            <w:pPr>
              <w:spacing w:before="60" w:after="60"/>
              <w:jc w:val="left"/>
            </w:pPr>
            <w:r/>
            <w:r>
              <w:rPr>
                <w:rFonts w:ascii="Calibri" w:hAnsi="Calibri"/>
                <w:b w:val="0"/>
                <w:color w:val="333333"/>
                <w:sz w:val="19"/>
              </w:rPr>
              <w:t>Low</w:t>
            </w:r>
          </w:p>
        </w:tc>
        <w:tc>
          <w:tcPr>
            <w:tcW w:type="dxa" w:w="1008"/>
            <w:shd w:fill="EDF2F7"/>
            <w:vAlign w:val="center"/>
          </w:tcPr>
          <w:p>
            <w:pPr>
              <w:spacing w:before="60" w:after="60"/>
              <w:jc w:val="left"/>
            </w:pPr>
            <w:r/>
            <w:r>
              <w:rPr>
                <w:rFonts w:ascii="Calibri" w:hAnsi="Calibri"/>
                <w:b w:val="0"/>
                <w:color w:val="333333"/>
                <w:sz w:val="19"/>
              </w:rPr>
              <w:t>Critical</w:t>
            </w:r>
          </w:p>
        </w:tc>
        <w:tc>
          <w:tcPr>
            <w:tcW w:type="dxa" w:w="3744"/>
            <w:shd w:fill="EDF2F7"/>
            <w:vAlign w:val="center"/>
          </w:tcPr>
          <w:p>
            <w:pPr>
              <w:spacing w:before="60" w:after="60"/>
              <w:jc w:val="left"/>
            </w:pPr>
            <w:r/>
            <w:r>
              <w:rPr>
                <w:rFonts w:ascii="Calibri" w:hAnsi="Calibri"/>
                <w:b w:val="0"/>
                <w:color w:val="333333"/>
                <w:sz w:val="19"/>
              </w:rPr>
              <w:t>Security audits; encryption; bug bounty; incident response plan</w:t>
            </w:r>
          </w:p>
        </w:tc>
      </w:tr>
      <w:tr>
        <w:tc>
          <w:tcPr>
            <w:tcW w:type="dxa" w:w="2160"/>
            <w:vAlign w:val="center"/>
          </w:tcPr>
          <w:p>
            <w:pPr>
              <w:spacing w:before="60" w:after="60"/>
              <w:jc w:val="left"/>
            </w:pPr>
            <w:r/>
            <w:r>
              <w:rPr>
                <w:rFonts w:ascii="Calibri" w:hAnsi="Calibri"/>
                <w:b w:val="0"/>
                <w:color w:val="333333"/>
                <w:sz w:val="19"/>
              </w:rPr>
              <w:t>Urdu model quality insufficient</w:t>
            </w:r>
          </w:p>
        </w:tc>
        <w:tc>
          <w:tcPr>
            <w:tcW w:type="dxa" w:w="1296"/>
            <w:vAlign w:val="center"/>
          </w:tcPr>
          <w:p>
            <w:pPr>
              <w:spacing w:before="60" w:after="60"/>
              <w:jc w:val="left"/>
            </w:pPr>
            <w:r/>
            <w:r>
              <w:rPr>
                <w:rFonts w:ascii="Calibri" w:hAnsi="Calibri"/>
                <w:b w:val="0"/>
                <w:color w:val="333333"/>
                <w:sz w:val="19"/>
              </w:rPr>
              <w:t>Technical</w:t>
            </w:r>
          </w:p>
        </w:tc>
        <w:tc>
          <w:tcPr>
            <w:tcW w:type="dxa" w:w="1152"/>
            <w:vAlign w:val="center"/>
          </w:tcPr>
          <w:p>
            <w:pPr>
              <w:spacing w:before="60" w:after="60"/>
              <w:jc w:val="left"/>
            </w:pPr>
            <w:r/>
            <w:r>
              <w:rPr>
                <w:rFonts w:ascii="Calibri" w:hAnsi="Calibri"/>
                <w:b w:val="0"/>
                <w:color w:val="333333"/>
                <w:sz w:val="19"/>
              </w:rPr>
              <w:t>Medium</w:t>
            </w:r>
          </w:p>
        </w:tc>
        <w:tc>
          <w:tcPr>
            <w:tcW w:type="dxa" w:w="1008"/>
            <w:vAlign w:val="center"/>
          </w:tcPr>
          <w:p>
            <w:pPr>
              <w:spacing w:before="60" w:after="60"/>
              <w:jc w:val="left"/>
            </w:pPr>
            <w:r/>
            <w:r>
              <w:rPr>
                <w:rFonts w:ascii="Calibri" w:hAnsi="Calibri"/>
                <w:b w:val="0"/>
                <w:color w:val="333333"/>
                <w:sz w:val="19"/>
              </w:rPr>
              <w:t>Medium</w:t>
            </w:r>
          </w:p>
        </w:tc>
        <w:tc>
          <w:tcPr>
            <w:tcW w:type="dxa" w:w="3744"/>
            <w:vAlign w:val="center"/>
          </w:tcPr>
          <w:p>
            <w:pPr>
              <w:spacing w:before="60" w:after="60"/>
              <w:jc w:val="left"/>
            </w:pPr>
            <w:r/>
            <w:r>
              <w:rPr>
                <w:rFonts w:ascii="Calibri" w:hAnsi="Calibri"/>
                <w:b w:val="0"/>
                <w:color w:val="333333"/>
                <w:sz w:val="19"/>
              </w:rPr>
              <w:t>Dedicated fine-tuning; community Urdu datasets; iterative improvement</w:t>
            </w:r>
          </w:p>
        </w:tc>
      </w:tr>
      <w:tr>
        <w:tc>
          <w:tcPr>
            <w:tcW w:type="dxa" w:w="2160"/>
            <w:shd w:fill="EDF2F7"/>
            <w:vAlign w:val="center"/>
          </w:tcPr>
          <w:p>
            <w:pPr>
              <w:spacing w:before="60" w:after="60"/>
              <w:jc w:val="left"/>
            </w:pPr>
            <w:r/>
            <w:r>
              <w:rPr>
                <w:rFonts w:ascii="Calibri" w:hAnsi="Calibri"/>
                <w:b w:val="0"/>
                <w:color w:val="333333"/>
                <w:sz w:val="19"/>
              </w:rPr>
              <w:t>Infrastructure provider failure</w:t>
            </w:r>
          </w:p>
        </w:tc>
        <w:tc>
          <w:tcPr>
            <w:tcW w:type="dxa" w:w="1296"/>
            <w:shd w:fill="EDF2F7"/>
            <w:vAlign w:val="center"/>
          </w:tcPr>
          <w:p>
            <w:pPr>
              <w:spacing w:before="60" w:after="60"/>
              <w:jc w:val="left"/>
            </w:pPr>
            <w:r/>
            <w:r>
              <w:rPr>
                <w:rFonts w:ascii="Calibri" w:hAnsi="Calibri"/>
                <w:b w:val="0"/>
                <w:color w:val="333333"/>
                <w:sz w:val="19"/>
              </w:rPr>
              <w:t>Operational</w:t>
            </w:r>
          </w:p>
        </w:tc>
        <w:tc>
          <w:tcPr>
            <w:tcW w:type="dxa" w:w="1152"/>
            <w:shd w:fill="EDF2F7"/>
            <w:vAlign w:val="center"/>
          </w:tcPr>
          <w:p>
            <w:pPr>
              <w:spacing w:before="60" w:after="60"/>
              <w:jc w:val="left"/>
            </w:pPr>
            <w:r/>
            <w:r>
              <w:rPr>
                <w:rFonts w:ascii="Calibri" w:hAnsi="Calibri"/>
                <w:b w:val="0"/>
                <w:color w:val="333333"/>
                <w:sz w:val="19"/>
              </w:rPr>
              <w:t>Low</w:t>
            </w:r>
          </w:p>
        </w:tc>
        <w:tc>
          <w:tcPr>
            <w:tcW w:type="dxa" w:w="1008"/>
            <w:shd w:fill="EDF2F7"/>
            <w:vAlign w:val="center"/>
          </w:tcPr>
          <w:p>
            <w:pPr>
              <w:spacing w:before="60" w:after="60"/>
              <w:jc w:val="left"/>
            </w:pPr>
            <w:r/>
            <w:r>
              <w:rPr>
                <w:rFonts w:ascii="Calibri" w:hAnsi="Calibri"/>
                <w:b w:val="0"/>
                <w:color w:val="333333"/>
                <w:sz w:val="19"/>
              </w:rPr>
              <w:t>High</w:t>
            </w:r>
          </w:p>
        </w:tc>
        <w:tc>
          <w:tcPr>
            <w:tcW w:type="dxa" w:w="3744"/>
            <w:shd w:fill="EDF2F7"/>
            <w:vAlign w:val="center"/>
          </w:tcPr>
          <w:p>
            <w:pPr>
              <w:spacing w:before="60" w:after="60"/>
              <w:jc w:val="left"/>
            </w:pPr>
            <w:r/>
            <w:r>
              <w:rPr>
                <w:rFonts w:ascii="Calibri" w:hAnsi="Calibri"/>
                <w:b w:val="0"/>
                <w:color w:val="333333"/>
                <w:sz w:val="19"/>
              </w:rPr>
              <w:t>Multi-cloud strategy; automated failover; regular backups</w:t>
            </w:r>
          </w:p>
        </w:tc>
      </w:tr>
    </w:tbl>
    <w:p>
      <w:pPr>
        <w:spacing w:before="80"/>
      </w:pPr>
      <w:r>
        <w:rPr>
          <w:i/>
          <w:color w:val="666666"/>
          <w:sz w:val="18"/>
        </w:rPr>
        <w:t>Table 8: Risk Assessment Matrix</w:t>
      </w:r>
    </w:p>
    <w:p>
      <w:pPr>
        <w:pStyle w:val="Heading2"/>
      </w:pPr>
      <w:r>
        <w:t>11.2 Technical Risks</w:t>
      </w:r>
    </w:p>
    <w:p>
      <w:r>
        <w:rPr>
          <w:rFonts w:ascii="Calibri" w:hAnsi="Calibri"/>
          <w:color w:val="333333"/>
          <w:sz w:val="22"/>
        </w:rPr>
        <w:t>Technical risks represent the most immediate threats to NexusAI success. The primary technical risk is that open-source models, while rapidly improving, may still lag behind proprietary models like GPT-4 in certain capabilities, particularly complex reasoning, multimodal understanding, and niche domain knowledge. This gap could undermine the value proposition if users perceive NexusAI as inferior. The mitigation strategy is threefold: first, continuous benchmarking against proprietary models using standard evaluation frameworks to objectively measure the gap; second, leveraging the open-source community to fine-tune models on domain-specific and language-specific data, particularly Urdu, where the fine-tuning advantage can actually make NexusAI superior to proprietary alternatives; and third, implementing a multi-model routing system that can optionally route to proprietary models via API for users who need the absolute highest quality, creating a bridge between open-source and proprietary capabilities.</w:t>
      </w:r>
    </w:p>
    <w:p>
      <w:r>
        <w:rPr>
          <w:rFonts w:ascii="Calibri" w:hAnsi="Calibri"/>
          <w:color w:val="333333"/>
          <w:sz w:val="22"/>
        </w:rPr>
        <w:t>Scalability is another significant technical risk. As the user base grows from hundreds to tens of thousands, the system must handle increasing request volumes without degradation in response time or reliability. The Kubernetes-based deployment with horizontal pod auto-scaling addresses this risk, but GPU scaling is more complex due to the limited availability and high cost of GPU instances. The multi-tier model serving strategy, where simpler requests are handled by smaller models and complex requests are routed to larger models, effectively manages GPU resource utilization. Aggressive caching of common queries, prompt templates, and embedding lookups further reduces the load on model serving infrastructure. Security risks, including potential data breaches and adversarial attacks on the AI models, are mitigated through regular security audits, end-to-end encryption, input sanitization, and a planned bug bounty program.</w:t>
      </w:r>
    </w:p>
    <w:p>
      <w:pPr>
        <w:pStyle w:val="Heading2"/>
      </w:pPr>
      <w:r>
        <w:t>11.3 Business Risks</w:t>
      </w:r>
    </w:p>
    <w:p>
      <w:r>
        <w:rPr>
          <w:rFonts w:ascii="Calibri" w:hAnsi="Calibri"/>
          <w:color w:val="333333"/>
          <w:sz w:val="22"/>
        </w:rPr>
        <w:t>Business risks center on competition, monetization challenges, and market dynamics. The most likely business risk is that a major competitor (OpenAI, Google, or Anthropic) launches a free tier or open-source offering that directly competes with NexusAI. This risk is partially mitigated by the fact that NexusAI offers a fundamentally different value proposition (open-source, on-premise, bilingual, agent framework) that cannot be easily replicated by proprietary companies. The community loyalty and ecosystem lock-in created by the open-source model and Agent Marketplace provide additional defense. However, we must remain vigilant and continue to innovate, particularly in areas where proprietary companies are unlikely to invest, such as Urdu language support and South Asian market localization.</w:t>
      </w:r>
    </w:p>
    <w:p>
      <w:r>
        <w:rPr>
          <w:rFonts w:ascii="Calibri" w:hAnsi="Calibri"/>
          <w:color w:val="333333"/>
          <w:sz w:val="22"/>
        </w:rPr>
        <w:t>The risk of low free-to-paid conversion is addressed through a careful feature-gating strategy that provides genuine value in the free tier while clearly demonstrating the benefits of upgrading. Usage analytics will identify the specific features and usage patterns that predict conversion, allowing us to optimize the upgrade prompts and premium feature set. The consulting services revenue stream provides a financial buffer that reduces the urgency of conversion optimization in the early stages. Market timing risk, the possibility that the market is not ready for an open-source AI platform, is mitigated by the strong and growing demand for open-source AI solutions, as evidenced by the success of projects like Hugging Face, Ollama, and LocalAI.</w:t>
      </w:r>
    </w:p>
    <w:p>
      <w:pPr>
        <w:pStyle w:val="Heading2"/>
      </w:pPr>
      <w:r>
        <w:t>11.4 Regulatory Risks</w:t>
      </w:r>
    </w:p>
    <w:p>
      <w:r>
        <w:rPr>
          <w:rFonts w:ascii="Calibri" w:hAnsi="Calibri"/>
          <w:color w:val="333333"/>
          <w:sz w:val="22"/>
        </w:rPr>
        <w:t>Regulatory risks are increasing as governments worldwide develop frameworks for AI governance. Key regulatory concerns include data privacy regulations (GDPR, CCPA, and Pakistan PDPA), AI safety regulations that may impose requirements on model deployment, and potential restrictions on open-source AI model distribution. NexusAI addresses data privacy risks through its on-premise deployment option, which allows organizations to keep all data within their own infrastructure, and through comprehensive data processing agreements for cloud-hosted deployments. The platform is designed with privacy-by-design principles, including data minimization, purpose limitation, and user control over their data.</w:t>
      </w:r>
    </w:p>
    <w:p>
      <w:r>
        <w:rPr>
          <w:rFonts w:ascii="Calibri" w:hAnsi="Calibri"/>
          <w:color w:val="333333"/>
          <w:sz w:val="22"/>
        </w:rPr>
        <w:t>AI safety regulations, such as the EU AI Act, may require conformity assessments, risk management systems, and transparency measures for AI systems. NexusAI open-source nature is actually an advantage here, as the transparency of the codebase and model weights facilitates the auditing and documentation that regulations require. We will proactively engage with regulatory bodies and industry associations to stay ahead of regulatory requirements and contribute to the development of sensible AI governance frameworks. The risk of restrictions on open-source AI model distribution is actively monitored, and the platform architecture is designed to be model-agnostic, allowing us to adapt to regulatory changes by swapping models or implementing additional safety measures as required.</w:t>
      </w:r>
    </w:p>
    <w:p>
      <w:r>
        <w:br w:type="page"/>
      </w:r>
    </w:p>
    <w:p>
      <w:pPr>
        <w:pStyle w:val="Heading1"/>
      </w:pPr>
      <w:r>
        <w:t>12. Team &amp; Resource Requirements</w:t>
      </w:r>
    </w:p>
    <w:p>
      <w:pPr>
        <w:pStyle w:val="Heading2"/>
      </w:pPr>
      <w:r>
        <w:t>12.1 Core Team Structure</w:t>
      </w:r>
    </w:p>
    <w:p>
      <w:r>
        <w:rPr>
          <w:rFonts w:ascii="Calibri" w:hAnsi="Calibri"/>
          <w:color w:val="333333"/>
          <w:sz w:val="22"/>
        </w:rPr>
        <w:t>NexusAI is founded and led by Osama, who serves as the project lead and primary architect. During the bootstrap phase (Months 1-6), the core team is intentionally small, consisting of 2-3 dedicated contributors who cover the full stack of responsibilities. As the project gains traction and generates revenue, the team will expand through a combination of paid hires and community contributors. The long-term team structure is designed to balance technical excellence with community engagement and business development.</w:t>
      </w:r>
    </w:p>
    <w:tbl>
      <w:tblPr>
        <w:tblStyle w:val="TableGrid"/>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872"/>
        <w:gridCol w:w="1872"/>
        <w:gridCol w:w="1872"/>
        <w:gridCol w:w="1872"/>
        <w:gridCol w:w="1872"/>
      </w:tblGrid>
      <w:tr>
        <w:tc>
          <w:tcPr>
            <w:tcW w:type="dxa" w:w="1872"/>
            <w:shd w:fill="1A2744"/>
            <w:vAlign w:val="center"/>
          </w:tcPr>
          <w:p>
            <w:pPr>
              <w:spacing w:before="60" w:after="60"/>
              <w:jc w:val="center"/>
            </w:pPr>
            <w:r/>
            <w:r>
              <w:rPr>
                <w:rFonts w:ascii="Calibri" w:hAnsi="Calibri"/>
                <w:b/>
                <w:color w:val="FFFFFF"/>
                <w:sz w:val="20"/>
              </w:rPr>
              <w:t>Role</w:t>
            </w:r>
          </w:p>
        </w:tc>
        <w:tc>
          <w:tcPr>
            <w:tcW w:type="dxa" w:w="1296"/>
            <w:shd w:fill="1A2744"/>
            <w:vAlign w:val="center"/>
          </w:tcPr>
          <w:p>
            <w:pPr>
              <w:spacing w:before="60" w:after="60"/>
              <w:jc w:val="center"/>
            </w:pPr>
            <w:r/>
            <w:r>
              <w:rPr>
                <w:rFonts w:ascii="Calibri" w:hAnsi="Calibri"/>
                <w:b/>
                <w:color w:val="FFFFFF"/>
                <w:sz w:val="20"/>
              </w:rPr>
              <w:t>Phase 1</w:t>
            </w:r>
          </w:p>
        </w:tc>
        <w:tc>
          <w:tcPr>
            <w:tcW w:type="dxa" w:w="1296"/>
            <w:shd w:fill="1A2744"/>
            <w:vAlign w:val="center"/>
          </w:tcPr>
          <w:p>
            <w:pPr>
              <w:spacing w:before="60" w:after="60"/>
              <w:jc w:val="center"/>
            </w:pPr>
            <w:r/>
            <w:r>
              <w:rPr>
                <w:rFonts w:ascii="Calibri" w:hAnsi="Calibri"/>
                <w:b/>
                <w:color w:val="FFFFFF"/>
                <w:sz w:val="20"/>
              </w:rPr>
              <w:t>Phase 2-3</w:t>
            </w:r>
          </w:p>
        </w:tc>
        <w:tc>
          <w:tcPr>
            <w:tcW w:type="dxa" w:w="1296"/>
            <w:shd w:fill="1A2744"/>
            <w:vAlign w:val="center"/>
          </w:tcPr>
          <w:p>
            <w:pPr>
              <w:spacing w:before="60" w:after="60"/>
              <w:jc w:val="center"/>
            </w:pPr>
            <w:r/>
            <w:r>
              <w:rPr>
                <w:rFonts w:ascii="Calibri" w:hAnsi="Calibri"/>
                <w:b/>
                <w:color w:val="FFFFFF"/>
                <w:sz w:val="20"/>
              </w:rPr>
              <w:t>Phase 4</w:t>
            </w:r>
          </w:p>
        </w:tc>
        <w:tc>
          <w:tcPr>
            <w:tcW w:type="dxa" w:w="3600"/>
            <w:shd w:fill="1A2744"/>
            <w:vAlign w:val="center"/>
          </w:tcPr>
          <w:p>
            <w:pPr>
              <w:spacing w:before="60" w:after="60"/>
              <w:jc w:val="center"/>
            </w:pPr>
            <w:r/>
            <w:r>
              <w:rPr>
                <w:rFonts w:ascii="Calibri" w:hAnsi="Calibri"/>
                <w:b/>
                <w:color w:val="FFFFFF"/>
                <w:sz w:val="20"/>
              </w:rPr>
              <w:t>Key Responsibilities</w:t>
            </w:r>
          </w:p>
        </w:tc>
      </w:tr>
      <w:tr>
        <w:tc>
          <w:tcPr>
            <w:tcW w:type="dxa" w:w="1872"/>
            <w:vAlign w:val="center"/>
          </w:tcPr>
          <w:p>
            <w:pPr>
              <w:spacing w:before="60" w:after="60"/>
              <w:jc w:val="left"/>
            </w:pPr>
            <w:r/>
            <w:r>
              <w:rPr>
                <w:rFonts w:ascii="Calibri" w:hAnsi="Calibri"/>
                <w:b w:val="0"/>
                <w:color w:val="333333"/>
                <w:sz w:val="19"/>
              </w:rPr>
              <w:t>Project Lead / Founder</w:t>
            </w:r>
          </w:p>
        </w:tc>
        <w:tc>
          <w:tcPr>
            <w:tcW w:type="dxa" w:w="1296"/>
            <w:vAlign w:val="center"/>
          </w:tcPr>
          <w:p>
            <w:pPr>
              <w:spacing w:before="60" w:after="60"/>
              <w:jc w:val="left"/>
            </w:pPr>
            <w:r/>
            <w:r>
              <w:rPr>
                <w:rFonts w:ascii="Calibri" w:hAnsi="Calibri"/>
                <w:b w:val="0"/>
                <w:color w:val="333333"/>
                <w:sz w:val="19"/>
              </w:rPr>
              <w:t>Osama</w:t>
            </w:r>
          </w:p>
        </w:tc>
        <w:tc>
          <w:tcPr>
            <w:tcW w:type="dxa" w:w="1296"/>
            <w:vAlign w:val="center"/>
          </w:tcPr>
          <w:p>
            <w:pPr>
              <w:spacing w:before="60" w:after="60"/>
              <w:jc w:val="left"/>
            </w:pPr>
            <w:r/>
            <w:r>
              <w:rPr>
                <w:rFonts w:ascii="Calibri" w:hAnsi="Calibri"/>
                <w:b w:val="0"/>
                <w:color w:val="333333"/>
                <w:sz w:val="19"/>
              </w:rPr>
              <w:t>Osama</w:t>
            </w:r>
          </w:p>
        </w:tc>
        <w:tc>
          <w:tcPr>
            <w:tcW w:type="dxa" w:w="1296"/>
            <w:vAlign w:val="center"/>
          </w:tcPr>
          <w:p>
            <w:pPr>
              <w:spacing w:before="60" w:after="60"/>
              <w:jc w:val="left"/>
            </w:pPr>
            <w:r/>
            <w:r>
              <w:rPr>
                <w:rFonts w:ascii="Calibri" w:hAnsi="Calibri"/>
                <w:b w:val="0"/>
                <w:color w:val="333333"/>
                <w:sz w:val="19"/>
              </w:rPr>
              <w:t>Osama</w:t>
            </w:r>
          </w:p>
        </w:tc>
        <w:tc>
          <w:tcPr>
            <w:tcW w:type="dxa" w:w="3600"/>
            <w:vAlign w:val="center"/>
          </w:tcPr>
          <w:p>
            <w:pPr>
              <w:spacing w:before="60" w:after="60"/>
              <w:jc w:val="left"/>
            </w:pPr>
            <w:r/>
            <w:r>
              <w:rPr>
                <w:rFonts w:ascii="Calibri" w:hAnsi="Calibri"/>
                <w:b w:val="0"/>
                <w:color w:val="333333"/>
                <w:sz w:val="19"/>
              </w:rPr>
              <w:t>Vision, architecture, strategy, community leadership</w:t>
            </w:r>
          </w:p>
        </w:tc>
      </w:tr>
      <w:tr>
        <w:tc>
          <w:tcPr>
            <w:tcW w:type="dxa" w:w="1872"/>
            <w:shd w:fill="EDF2F7"/>
            <w:vAlign w:val="center"/>
          </w:tcPr>
          <w:p>
            <w:pPr>
              <w:spacing w:before="60" w:after="60"/>
              <w:jc w:val="left"/>
            </w:pPr>
            <w:r/>
            <w:r>
              <w:rPr>
                <w:rFonts w:ascii="Calibri" w:hAnsi="Calibri"/>
                <w:b w:val="0"/>
                <w:color w:val="333333"/>
                <w:sz w:val="19"/>
              </w:rPr>
              <w:t>Backend Engineer</w:t>
            </w:r>
          </w:p>
        </w:tc>
        <w:tc>
          <w:tcPr>
            <w:tcW w:type="dxa" w:w="1296"/>
            <w:shd w:fill="EDF2F7"/>
            <w:vAlign w:val="center"/>
          </w:tcPr>
          <w:p>
            <w:pPr>
              <w:spacing w:before="60" w:after="60"/>
              <w:jc w:val="left"/>
            </w:pPr>
            <w:r/>
            <w:r>
              <w:rPr>
                <w:rFonts w:ascii="Calibri" w:hAnsi="Calibri"/>
                <w:b w:val="0"/>
                <w:color w:val="333333"/>
                <w:sz w:val="19"/>
              </w:rPr>
              <w:t>1 (part-time)</w:t>
            </w:r>
          </w:p>
        </w:tc>
        <w:tc>
          <w:tcPr>
            <w:tcW w:type="dxa" w:w="1296"/>
            <w:shd w:fill="EDF2F7"/>
            <w:vAlign w:val="center"/>
          </w:tcPr>
          <w:p>
            <w:pPr>
              <w:spacing w:before="60" w:after="60"/>
              <w:jc w:val="left"/>
            </w:pPr>
            <w:r/>
            <w:r>
              <w:rPr>
                <w:rFonts w:ascii="Calibri" w:hAnsi="Calibri"/>
                <w:b w:val="0"/>
                <w:color w:val="333333"/>
                <w:sz w:val="19"/>
              </w:rPr>
              <w:t>1-2 (full-time)</w:t>
            </w:r>
          </w:p>
        </w:tc>
        <w:tc>
          <w:tcPr>
            <w:tcW w:type="dxa" w:w="1296"/>
            <w:shd w:fill="EDF2F7"/>
            <w:vAlign w:val="center"/>
          </w:tcPr>
          <w:p>
            <w:pPr>
              <w:spacing w:before="60" w:after="60"/>
              <w:jc w:val="left"/>
            </w:pPr>
            <w:r/>
            <w:r>
              <w:rPr>
                <w:rFonts w:ascii="Calibri" w:hAnsi="Calibri"/>
                <w:b w:val="0"/>
                <w:color w:val="333333"/>
                <w:sz w:val="19"/>
              </w:rPr>
              <w:t>2-3</w:t>
            </w:r>
          </w:p>
        </w:tc>
        <w:tc>
          <w:tcPr>
            <w:tcW w:type="dxa" w:w="3600"/>
            <w:shd w:fill="EDF2F7"/>
            <w:vAlign w:val="center"/>
          </w:tcPr>
          <w:p>
            <w:pPr>
              <w:spacing w:before="60" w:after="60"/>
              <w:jc w:val="left"/>
            </w:pPr>
            <w:r/>
            <w:r>
              <w:rPr>
                <w:rFonts w:ascii="Calibri" w:hAnsi="Calibri"/>
                <w:b w:val="0"/>
                <w:color w:val="333333"/>
                <w:sz w:val="19"/>
              </w:rPr>
              <w:t>API development, model serving, infrastructure</w:t>
            </w:r>
          </w:p>
        </w:tc>
      </w:tr>
      <w:tr>
        <w:tc>
          <w:tcPr>
            <w:tcW w:type="dxa" w:w="1872"/>
            <w:vAlign w:val="center"/>
          </w:tcPr>
          <w:p>
            <w:pPr>
              <w:spacing w:before="60" w:after="60"/>
              <w:jc w:val="left"/>
            </w:pPr>
            <w:r/>
            <w:r>
              <w:rPr>
                <w:rFonts w:ascii="Calibri" w:hAnsi="Calibri"/>
                <w:b w:val="0"/>
                <w:color w:val="333333"/>
                <w:sz w:val="19"/>
              </w:rPr>
              <w:t>Frontend Engineer</w:t>
            </w:r>
          </w:p>
        </w:tc>
        <w:tc>
          <w:tcPr>
            <w:tcW w:type="dxa" w:w="1296"/>
            <w:vAlign w:val="center"/>
          </w:tcPr>
          <w:p>
            <w:pPr>
              <w:spacing w:before="60" w:after="60"/>
              <w:jc w:val="left"/>
            </w:pPr>
            <w:r/>
            <w:r>
              <w:rPr>
                <w:rFonts w:ascii="Calibri" w:hAnsi="Calibri"/>
                <w:b w:val="0"/>
                <w:color w:val="333333"/>
                <w:sz w:val="19"/>
              </w:rPr>
              <w:t>0 (contract)</w:t>
            </w:r>
          </w:p>
        </w:tc>
        <w:tc>
          <w:tcPr>
            <w:tcW w:type="dxa" w:w="1296"/>
            <w:vAlign w:val="center"/>
          </w:tcPr>
          <w:p>
            <w:pPr>
              <w:spacing w:before="60" w:after="60"/>
              <w:jc w:val="left"/>
            </w:pPr>
            <w:r/>
            <w:r>
              <w:rPr>
                <w:rFonts w:ascii="Calibri" w:hAnsi="Calibri"/>
                <w:b w:val="0"/>
                <w:color w:val="333333"/>
                <w:sz w:val="19"/>
              </w:rPr>
              <w:t>1</w:t>
            </w:r>
          </w:p>
        </w:tc>
        <w:tc>
          <w:tcPr>
            <w:tcW w:type="dxa" w:w="1296"/>
            <w:vAlign w:val="center"/>
          </w:tcPr>
          <w:p>
            <w:pPr>
              <w:spacing w:before="60" w:after="60"/>
              <w:jc w:val="left"/>
            </w:pPr>
            <w:r/>
            <w:r>
              <w:rPr>
                <w:rFonts w:ascii="Calibri" w:hAnsi="Calibri"/>
                <w:b w:val="0"/>
                <w:color w:val="333333"/>
                <w:sz w:val="19"/>
              </w:rPr>
              <w:t>1-2</w:t>
            </w:r>
          </w:p>
        </w:tc>
        <w:tc>
          <w:tcPr>
            <w:tcW w:type="dxa" w:w="3600"/>
            <w:vAlign w:val="center"/>
          </w:tcPr>
          <w:p>
            <w:pPr>
              <w:spacing w:before="60" w:after="60"/>
              <w:jc w:val="left"/>
            </w:pPr>
            <w:r/>
            <w:r>
              <w:rPr>
                <w:rFonts w:ascii="Calibri" w:hAnsi="Calibri"/>
                <w:b w:val="0"/>
                <w:color w:val="333333"/>
                <w:sz w:val="19"/>
              </w:rPr>
              <w:t>Dashboard, playground, documentation site</w:t>
            </w:r>
          </w:p>
        </w:tc>
      </w:tr>
      <w:tr>
        <w:tc>
          <w:tcPr>
            <w:tcW w:type="dxa" w:w="1872"/>
            <w:shd w:fill="EDF2F7"/>
            <w:vAlign w:val="center"/>
          </w:tcPr>
          <w:p>
            <w:pPr>
              <w:spacing w:before="60" w:after="60"/>
              <w:jc w:val="left"/>
            </w:pPr>
            <w:r/>
            <w:r>
              <w:rPr>
                <w:rFonts w:ascii="Calibri" w:hAnsi="Calibri"/>
                <w:b w:val="0"/>
                <w:color w:val="333333"/>
                <w:sz w:val="19"/>
              </w:rPr>
              <w:t>ML / AI Engineer</w:t>
            </w:r>
          </w:p>
        </w:tc>
        <w:tc>
          <w:tcPr>
            <w:tcW w:type="dxa" w:w="1296"/>
            <w:shd w:fill="EDF2F7"/>
            <w:vAlign w:val="center"/>
          </w:tcPr>
          <w:p>
            <w:pPr>
              <w:spacing w:before="60" w:after="60"/>
              <w:jc w:val="left"/>
            </w:pPr>
            <w:r/>
            <w:r>
              <w:rPr>
                <w:rFonts w:ascii="Calibri" w:hAnsi="Calibri"/>
                <w:b w:val="0"/>
                <w:color w:val="333333"/>
                <w:sz w:val="19"/>
              </w:rPr>
              <w:t>Osama + community</w:t>
            </w:r>
          </w:p>
        </w:tc>
        <w:tc>
          <w:tcPr>
            <w:tcW w:type="dxa" w:w="1296"/>
            <w:shd w:fill="EDF2F7"/>
            <w:vAlign w:val="center"/>
          </w:tcPr>
          <w:p>
            <w:pPr>
              <w:spacing w:before="60" w:after="60"/>
              <w:jc w:val="left"/>
            </w:pPr>
            <w:r/>
            <w:r>
              <w:rPr>
                <w:rFonts w:ascii="Calibri" w:hAnsi="Calibri"/>
                <w:b w:val="0"/>
                <w:color w:val="333333"/>
                <w:sz w:val="19"/>
              </w:rPr>
              <w:t>1</w:t>
            </w:r>
          </w:p>
        </w:tc>
        <w:tc>
          <w:tcPr>
            <w:tcW w:type="dxa" w:w="1296"/>
            <w:shd w:fill="EDF2F7"/>
            <w:vAlign w:val="center"/>
          </w:tcPr>
          <w:p>
            <w:pPr>
              <w:spacing w:before="60" w:after="60"/>
              <w:jc w:val="left"/>
            </w:pPr>
            <w:r/>
            <w:r>
              <w:rPr>
                <w:rFonts w:ascii="Calibri" w:hAnsi="Calibri"/>
                <w:b w:val="0"/>
                <w:color w:val="333333"/>
                <w:sz w:val="19"/>
              </w:rPr>
              <w:t>2</w:t>
            </w:r>
          </w:p>
        </w:tc>
        <w:tc>
          <w:tcPr>
            <w:tcW w:type="dxa" w:w="3600"/>
            <w:shd w:fill="EDF2F7"/>
            <w:vAlign w:val="center"/>
          </w:tcPr>
          <w:p>
            <w:pPr>
              <w:spacing w:before="60" w:after="60"/>
              <w:jc w:val="left"/>
            </w:pPr>
            <w:r/>
            <w:r>
              <w:rPr>
                <w:rFonts w:ascii="Calibri" w:hAnsi="Calibri"/>
                <w:b w:val="0"/>
                <w:color w:val="333333"/>
                <w:sz w:val="19"/>
              </w:rPr>
              <w:t>Model optimization, fine-tuning, RAG pipeline</w:t>
            </w:r>
          </w:p>
        </w:tc>
      </w:tr>
      <w:tr>
        <w:tc>
          <w:tcPr>
            <w:tcW w:type="dxa" w:w="1872"/>
            <w:vAlign w:val="center"/>
          </w:tcPr>
          <w:p>
            <w:pPr>
              <w:spacing w:before="60" w:after="60"/>
              <w:jc w:val="left"/>
            </w:pPr>
            <w:r/>
            <w:r>
              <w:rPr>
                <w:rFonts w:ascii="Calibri" w:hAnsi="Calibri"/>
                <w:b w:val="0"/>
                <w:color w:val="333333"/>
                <w:sz w:val="19"/>
              </w:rPr>
              <w:t>DevOps / SRE</w:t>
            </w:r>
          </w:p>
        </w:tc>
        <w:tc>
          <w:tcPr>
            <w:tcW w:type="dxa" w:w="1296"/>
            <w:vAlign w:val="center"/>
          </w:tcPr>
          <w:p>
            <w:pPr>
              <w:spacing w:before="60" w:after="60"/>
              <w:jc w:val="left"/>
            </w:pPr>
            <w:r/>
            <w:r>
              <w:rPr>
                <w:rFonts w:ascii="Calibri" w:hAnsi="Calibri"/>
                <w:b w:val="0"/>
                <w:color w:val="333333"/>
                <w:sz w:val="19"/>
              </w:rPr>
              <w:t>0 (automated)</w:t>
            </w:r>
          </w:p>
        </w:tc>
        <w:tc>
          <w:tcPr>
            <w:tcW w:type="dxa" w:w="1296"/>
            <w:vAlign w:val="center"/>
          </w:tcPr>
          <w:p>
            <w:pPr>
              <w:spacing w:before="60" w:after="60"/>
              <w:jc w:val="left"/>
            </w:pPr>
            <w:r/>
            <w:r>
              <w:rPr>
                <w:rFonts w:ascii="Calibri" w:hAnsi="Calibri"/>
                <w:b w:val="0"/>
                <w:color w:val="333333"/>
                <w:sz w:val="19"/>
              </w:rPr>
              <w:t>1 (part-time)</w:t>
            </w:r>
          </w:p>
        </w:tc>
        <w:tc>
          <w:tcPr>
            <w:tcW w:type="dxa" w:w="1296"/>
            <w:vAlign w:val="center"/>
          </w:tcPr>
          <w:p>
            <w:pPr>
              <w:spacing w:before="60" w:after="60"/>
              <w:jc w:val="left"/>
            </w:pPr>
            <w:r/>
            <w:r>
              <w:rPr>
                <w:rFonts w:ascii="Calibri" w:hAnsi="Calibri"/>
                <w:b w:val="0"/>
                <w:color w:val="333333"/>
                <w:sz w:val="19"/>
              </w:rPr>
              <w:t>1 (full-time)</w:t>
            </w:r>
          </w:p>
        </w:tc>
        <w:tc>
          <w:tcPr>
            <w:tcW w:type="dxa" w:w="3600"/>
            <w:vAlign w:val="center"/>
          </w:tcPr>
          <w:p>
            <w:pPr>
              <w:spacing w:before="60" w:after="60"/>
              <w:jc w:val="left"/>
            </w:pPr>
            <w:r/>
            <w:r>
              <w:rPr>
                <w:rFonts w:ascii="Calibri" w:hAnsi="Calibri"/>
                <w:b w:val="0"/>
                <w:color w:val="333333"/>
                <w:sz w:val="19"/>
              </w:rPr>
              <w:t>Infrastructure, CI/CD, monitoring, scaling</w:t>
            </w:r>
          </w:p>
        </w:tc>
      </w:tr>
      <w:tr>
        <w:tc>
          <w:tcPr>
            <w:tcW w:type="dxa" w:w="1872"/>
            <w:shd w:fill="EDF2F7"/>
            <w:vAlign w:val="center"/>
          </w:tcPr>
          <w:p>
            <w:pPr>
              <w:spacing w:before="60" w:after="60"/>
              <w:jc w:val="left"/>
            </w:pPr>
            <w:r/>
            <w:r>
              <w:rPr>
                <w:rFonts w:ascii="Calibri" w:hAnsi="Calibri"/>
                <w:b w:val="0"/>
                <w:color w:val="333333"/>
                <w:sz w:val="19"/>
              </w:rPr>
              <w:t>Community Manager</w:t>
            </w:r>
          </w:p>
        </w:tc>
        <w:tc>
          <w:tcPr>
            <w:tcW w:type="dxa" w:w="1296"/>
            <w:shd w:fill="EDF2F7"/>
            <w:vAlign w:val="center"/>
          </w:tcPr>
          <w:p>
            <w:pPr>
              <w:spacing w:before="60" w:after="60"/>
              <w:jc w:val="left"/>
            </w:pPr>
            <w:r/>
            <w:r>
              <w:rPr>
                <w:rFonts w:ascii="Calibri" w:hAnsi="Calibri"/>
                <w:b w:val="0"/>
                <w:color w:val="333333"/>
                <w:sz w:val="19"/>
              </w:rPr>
              <w:t>0 (volunteer)</w:t>
            </w:r>
          </w:p>
        </w:tc>
        <w:tc>
          <w:tcPr>
            <w:tcW w:type="dxa" w:w="1296"/>
            <w:shd w:fill="EDF2F7"/>
            <w:vAlign w:val="center"/>
          </w:tcPr>
          <w:p>
            <w:pPr>
              <w:spacing w:before="60" w:after="60"/>
              <w:jc w:val="left"/>
            </w:pPr>
            <w:r/>
            <w:r>
              <w:rPr>
                <w:rFonts w:ascii="Calibri" w:hAnsi="Calibri"/>
                <w:b w:val="0"/>
                <w:color w:val="333333"/>
                <w:sz w:val="19"/>
              </w:rPr>
              <w:t>1 (part-time)</w:t>
            </w:r>
          </w:p>
        </w:tc>
        <w:tc>
          <w:tcPr>
            <w:tcW w:type="dxa" w:w="1296"/>
            <w:shd w:fill="EDF2F7"/>
            <w:vAlign w:val="center"/>
          </w:tcPr>
          <w:p>
            <w:pPr>
              <w:spacing w:before="60" w:after="60"/>
              <w:jc w:val="left"/>
            </w:pPr>
            <w:r/>
            <w:r>
              <w:rPr>
                <w:rFonts w:ascii="Calibri" w:hAnsi="Calibri"/>
                <w:b w:val="0"/>
                <w:color w:val="333333"/>
                <w:sz w:val="19"/>
              </w:rPr>
              <w:t>1-2</w:t>
            </w:r>
          </w:p>
        </w:tc>
        <w:tc>
          <w:tcPr>
            <w:tcW w:type="dxa" w:w="3600"/>
            <w:shd w:fill="EDF2F7"/>
            <w:vAlign w:val="center"/>
          </w:tcPr>
          <w:p>
            <w:pPr>
              <w:spacing w:before="60" w:after="60"/>
              <w:jc w:val="left"/>
            </w:pPr>
            <w:r/>
            <w:r>
              <w:rPr>
                <w:rFonts w:ascii="Calibri" w:hAnsi="Calibri"/>
                <w:b w:val="0"/>
                <w:color w:val="333333"/>
                <w:sz w:val="19"/>
              </w:rPr>
              <w:t>Discord, GitHub, events, contributor relations</w:t>
            </w:r>
          </w:p>
        </w:tc>
      </w:tr>
      <w:tr>
        <w:tc>
          <w:tcPr>
            <w:tcW w:type="dxa" w:w="1872"/>
            <w:vAlign w:val="center"/>
          </w:tcPr>
          <w:p>
            <w:pPr>
              <w:spacing w:before="60" w:after="60"/>
              <w:jc w:val="left"/>
            </w:pPr>
            <w:r/>
            <w:r>
              <w:rPr>
                <w:rFonts w:ascii="Calibri" w:hAnsi="Calibri"/>
                <w:b w:val="0"/>
                <w:color w:val="333333"/>
                <w:sz w:val="19"/>
              </w:rPr>
              <w:t>Technical Writer</w:t>
            </w:r>
          </w:p>
        </w:tc>
        <w:tc>
          <w:tcPr>
            <w:tcW w:type="dxa" w:w="1296"/>
            <w:vAlign w:val="center"/>
          </w:tcPr>
          <w:p>
            <w:pPr>
              <w:spacing w:before="60" w:after="60"/>
              <w:jc w:val="left"/>
            </w:pPr>
            <w:r/>
            <w:r>
              <w:rPr>
                <w:rFonts w:ascii="Calibri" w:hAnsi="Calibri"/>
                <w:b w:val="0"/>
                <w:color w:val="333333"/>
                <w:sz w:val="19"/>
              </w:rPr>
              <w:t>0 (Osama)</w:t>
            </w:r>
          </w:p>
        </w:tc>
        <w:tc>
          <w:tcPr>
            <w:tcW w:type="dxa" w:w="1296"/>
            <w:vAlign w:val="center"/>
          </w:tcPr>
          <w:p>
            <w:pPr>
              <w:spacing w:before="60" w:after="60"/>
              <w:jc w:val="left"/>
            </w:pPr>
            <w:r/>
            <w:r>
              <w:rPr>
                <w:rFonts w:ascii="Calibri" w:hAnsi="Calibri"/>
                <w:b w:val="0"/>
                <w:color w:val="333333"/>
                <w:sz w:val="19"/>
              </w:rPr>
              <w:t>1 (part-time)</w:t>
            </w:r>
          </w:p>
        </w:tc>
        <w:tc>
          <w:tcPr>
            <w:tcW w:type="dxa" w:w="1296"/>
            <w:vAlign w:val="center"/>
          </w:tcPr>
          <w:p>
            <w:pPr>
              <w:spacing w:before="60" w:after="60"/>
              <w:jc w:val="left"/>
            </w:pPr>
            <w:r/>
            <w:r>
              <w:rPr>
                <w:rFonts w:ascii="Calibri" w:hAnsi="Calibri"/>
                <w:b w:val="0"/>
                <w:color w:val="333333"/>
                <w:sz w:val="19"/>
              </w:rPr>
              <w:t>1-2</w:t>
            </w:r>
          </w:p>
        </w:tc>
        <w:tc>
          <w:tcPr>
            <w:tcW w:type="dxa" w:w="3600"/>
            <w:vAlign w:val="center"/>
          </w:tcPr>
          <w:p>
            <w:pPr>
              <w:spacing w:before="60" w:after="60"/>
              <w:jc w:val="left"/>
            </w:pPr>
            <w:r/>
            <w:r>
              <w:rPr>
                <w:rFonts w:ascii="Calibri" w:hAnsi="Calibri"/>
                <w:b w:val="0"/>
                <w:color w:val="333333"/>
                <w:sz w:val="19"/>
              </w:rPr>
              <w:t>Documentation, tutorials, blog posts, content</w:t>
            </w:r>
          </w:p>
        </w:tc>
      </w:tr>
      <w:tr>
        <w:tc>
          <w:tcPr>
            <w:tcW w:type="dxa" w:w="1872"/>
            <w:shd w:fill="EDF2F7"/>
            <w:vAlign w:val="center"/>
          </w:tcPr>
          <w:p>
            <w:pPr>
              <w:spacing w:before="60" w:after="60"/>
              <w:jc w:val="left"/>
            </w:pPr>
            <w:r/>
            <w:r>
              <w:rPr>
                <w:rFonts w:ascii="Calibri" w:hAnsi="Calibri"/>
                <w:b w:val="0"/>
                <w:color w:val="333333"/>
                <w:sz w:val="19"/>
              </w:rPr>
              <w:t>Enterprise Sales</w:t>
            </w:r>
          </w:p>
        </w:tc>
        <w:tc>
          <w:tcPr>
            <w:tcW w:type="dxa" w:w="1296"/>
            <w:shd w:fill="EDF2F7"/>
            <w:vAlign w:val="center"/>
          </w:tcPr>
          <w:p>
            <w:pPr>
              <w:spacing w:before="60" w:after="60"/>
              <w:jc w:val="left"/>
            </w:pPr>
            <w:r/>
            <w:r>
              <w:rPr>
                <w:rFonts w:ascii="Calibri" w:hAnsi="Calibri"/>
                <w:b w:val="0"/>
                <w:color w:val="333333"/>
                <w:sz w:val="19"/>
              </w:rPr>
              <w:t>0</w:t>
            </w:r>
          </w:p>
        </w:tc>
        <w:tc>
          <w:tcPr>
            <w:tcW w:type="dxa" w:w="1296"/>
            <w:shd w:fill="EDF2F7"/>
            <w:vAlign w:val="center"/>
          </w:tcPr>
          <w:p>
            <w:pPr>
              <w:spacing w:before="60" w:after="60"/>
              <w:jc w:val="left"/>
            </w:pPr>
            <w:r/>
            <w:r>
              <w:rPr>
                <w:rFonts w:ascii="Calibri" w:hAnsi="Calibri"/>
                <w:b w:val="0"/>
                <w:color w:val="333333"/>
                <w:sz w:val="19"/>
              </w:rPr>
              <w:t>0</w:t>
            </w:r>
          </w:p>
        </w:tc>
        <w:tc>
          <w:tcPr>
            <w:tcW w:type="dxa" w:w="1296"/>
            <w:shd w:fill="EDF2F7"/>
            <w:vAlign w:val="center"/>
          </w:tcPr>
          <w:p>
            <w:pPr>
              <w:spacing w:before="60" w:after="60"/>
              <w:jc w:val="left"/>
            </w:pPr>
            <w:r/>
            <w:r>
              <w:rPr>
                <w:rFonts w:ascii="Calibri" w:hAnsi="Calibri"/>
                <w:b w:val="0"/>
                <w:color w:val="333333"/>
                <w:sz w:val="19"/>
              </w:rPr>
              <w:t>1-2</w:t>
            </w:r>
          </w:p>
        </w:tc>
        <w:tc>
          <w:tcPr>
            <w:tcW w:type="dxa" w:w="3600"/>
            <w:shd w:fill="EDF2F7"/>
            <w:vAlign w:val="center"/>
          </w:tcPr>
          <w:p>
            <w:pPr>
              <w:spacing w:before="60" w:after="60"/>
              <w:jc w:val="left"/>
            </w:pPr>
            <w:r/>
            <w:r>
              <w:rPr>
                <w:rFonts w:ascii="Calibri" w:hAnsi="Calibri"/>
                <w:b w:val="0"/>
                <w:color w:val="333333"/>
                <w:sz w:val="19"/>
              </w:rPr>
              <w:t>Enterprise outreach, demos, contracts, partnerships</w:t>
            </w:r>
          </w:p>
        </w:tc>
      </w:tr>
      <w:tr>
        <w:tc>
          <w:tcPr>
            <w:tcW w:type="dxa" w:w="1872"/>
            <w:vAlign w:val="center"/>
          </w:tcPr>
          <w:p>
            <w:pPr>
              <w:spacing w:before="60" w:after="60"/>
              <w:jc w:val="left"/>
            </w:pPr>
            <w:r/>
            <w:r>
              <w:rPr>
                <w:rFonts w:ascii="Calibri" w:hAnsi="Calibri"/>
                <w:b w:val="0"/>
                <w:color w:val="333333"/>
                <w:sz w:val="19"/>
              </w:rPr>
              <w:t>Total Headcount</w:t>
            </w:r>
          </w:p>
        </w:tc>
        <w:tc>
          <w:tcPr>
            <w:tcW w:type="dxa" w:w="1296"/>
            <w:vAlign w:val="center"/>
          </w:tcPr>
          <w:p>
            <w:pPr>
              <w:spacing w:before="60" w:after="60"/>
              <w:jc w:val="left"/>
            </w:pPr>
            <w:r/>
            <w:r>
              <w:rPr>
                <w:rFonts w:ascii="Calibri" w:hAnsi="Calibri"/>
                <w:b w:val="0"/>
                <w:color w:val="333333"/>
                <w:sz w:val="19"/>
              </w:rPr>
              <w:t>2-3</w:t>
            </w:r>
          </w:p>
        </w:tc>
        <w:tc>
          <w:tcPr>
            <w:tcW w:type="dxa" w:w="1296"/>
            <w:vAlign w:val="center"/>
          </w:tcPr>
          <w:p>
            <w:pPr>
              <w:spacing w:before="60" w:after="60"/>
              <w:jc w:val="left"/>
            </w:pPr>
            <w:r/>
            <w:r>
              <w:rPr>
                <w:rFonts w:ascii="Calibri" w:hAnsi="Calibri"/>
                <w:b w:val="0"/>
                <w:color w:val="333333"/>
                <w:sz w:val="19"/>
              </w:rPr>
              <w:t>5-7</w:t>
            </w:r>
          </w:p>
        </w:tc>
        <w:tc>
          <w:tcPr>
            <w:tcW w:type="dxa" w:w="1296"/>
            <w:vAlign w:val="center"/>
          </w:tcPr>
          <w:p>
            <w:pPr>
              <w:spacing w:before="60" w:after="60"/>
              <w:jc w:val="left"/>
            </w:pPr>
            <w:r/>
            <w:r>
              <w:rPr>
                <w:rFonts w:ascii="Calibri" w:hAnsi="Calibri"/>
                <w:b w:val="0"/>
                <w:color w:val="333333"/>
                <w:sz w:val="19"/>
              </w:rPr>
              <w:t>10-14</w:t>
            </w:r>
          </w:p>
        </w:tc>
        <w:tc>
          <w:tcPr>
            <w:tcW w:type="dxa" w:w="3600"/>
            <w:vAlign w:val="center"/>
          </w:tcPr>
          <w:p>
            <w:pPr>
              <w:spacing w:before="60" w:after="60"/>
              <w:jc w:val="left"/>
            </w:pPr>
            <w:r/>
            <w:r>
              <w:rPr>
                <w:rFonts w:ascii="Calibri" w:hAnsi="Calibri"/>
                <w:b w:val="0"/>
                <w:color w:val="333333"/>
                <w:sz w:val="19"/>
              </w:rPr>
            </w:r>
          </w:p>
        </w:tc>
      </w:tr>
    </w:tbl>
    <w:p>
      <w:pPr>
        <w:spacing w:before="80"/>
      </w:pPr>
      <w:r>
        <w:rPr>
          <w:i/>
          <w:color w:val="666666"/>
          <w:sz w:val="18"/>
        </w:rPr>
        <w:t>Table 9: Team Growth Roadmap</w:t>
      </w:r>
    </w:p>
    <w:p>
      <w:pPr>
        <w:pStyle w:val="Heading2"/>
      </w:pPr>
      <w:r>
        <w:t>12.2 Community Contributor Strategy</w:t>
      </w:r>
    </w:p>
    <w:p>
      <w:r>
        <w:rPr>
          <w:rFonts w:ascii="Calibri" w:hAnsi="Calibri"/>
          <w:color w:val="333333"/>
          <w:sz w:val="22"/>
        </w:rPr>
        <w:t>The open-source community is a force multiplier for NexusAI, providing development capacity, quality assurance, documentation, and evangelism that would be prohibitively expensive to replicate with paid staff alone. The community contributor strategy is designed to attract, onboard, and retain contributors by making the contribution experience as smooth and rewarding as possible. Key elements include: clear and comprehensive contribution guidelines, a curated list of good-first-issue and help-wanted labels, automated bot assistance for common tasks (PR formatting, issue triage, dependency updates), mentorship pairing for first-time contributors, and a contributor recognition program that highlights significant contributions in release notes, blog posts, and social media.</w:t>
      </w:r>
    </w:p>
    <w:p>
      <w:r>
        <w:rPr>
          <w:rFonts w:ascii="Calibri" w:hAnsi="Calibri"/>
          <w:color w:val="333333"/>
          <w:sz w:val="22"/>
        </w:rPr>
        <w:t>We target a contributor funnel where approximately 2% of GitHub stargars become active contributors (defined as submitting at least one merged pull request). With 50,000 stars targeted by Month 24, this translates to approximately 1,000 active contributors. Of these, we expect 50-100 to be highly active (contributing monthly) and 10-20 to be core contributors (contributing weekly and participating in project governance). Community contributors are particularly valuable for localization (translating documentation and UI to Urdu and other languages), testing and quality assurance (reporting bugs, testing pre-releases), tool and agent development (building tools for the Tool System and agents for the Marketplace), and documentation (improving and expanding the documentation based on their own experiences).</w:t>
      </w:r>
    </w:p>
    <w:p>
      <w:pPr>
        <w:pStyle w:val="Heading2"/>
      </w:pPr>
      <w:r>
        <w:t>12.3 Advisory Board</w:t>
      </w:r>
    </w:p>
    <w:p>
      <w:r>
        <w:rPr>
          <w:rFonts w:ascii="Calibri" w:hAnsi="Calibri"/>
          <w:color w:val="333333"/>
          <w:sz w:val="22"/>
        </w:rPr>
        <w:t>As NexusAI matures, an advisory board will be established to provide strategic guidance, industry connections, and domain expertise. The advisory board will consist of 3-5 individuals with complementary skills and networks. Ideal advisory board profiles include: a senior AI/ML researcher with academic credentials and industry experience, a successful open-source founder or maintainer who has built and scaled a developer community, a business development professional with experience in South Asian or Middle Eastern technology markets, a venture capitalist or angel investor with expertise in AI or developer tools, and a legal or regulatory expert specializing in AI governance and data privacy. Advisory board members will receive equity compensation (0.25-0.5% each) and commit to quarterly strategy meetings and ongoing ad-hoc consultations.</w:t>
      </w:r>
    </w:p>
    <w:p>
      <w:r>
        <w:rPr>
          <w:rFonts w:ascii="Calibri" w:hAnsi="Calibri"/>
          <w:color w:val="333333"/>
          <w:sz w:val="22"/>
        </w:rPr>
        <w:t>The advisory board will be assembled during Phase 2-3, once the project has demonstrated sufficient traction and viability to attract high-quality advisors. Early relationships with potential advisors will be cultivated through conference networking, LinkedIn outreach, and introductions from the existing network. The advisory board plays a critical role in preparing NexusAI for potential fundraising, providing credibility, connections, and strategic insights that significantly increase the likelihood of a successful fundraise. Advisors also provide invaluable guidance on enterprise sales strategy, regulatory compliance, and market positioning as NexusAI scales beyond its initial community.</w:t>
      </w:r>
    </w:p>
    <w:p>
      <w:pPr>
        <w:pStyle w:val="Heading2"/>
      </w:pPr>
      <w:r>
        <w:t>12.4 Skills Matrix &amp; Hiring Priorities</w:t>
      </w:r>
    </w:p>
    <w:p>
      <w:r>
        <w:rPr>
          <w:rFonts w:ascii="Calibri" w:hAnsi="Calibri"/>
          <w:color w:val="333333"/>
          <w:sz w:val="22"/>
        </w:rPr>
        <w:t>The skills matrix identifies the critical competencies required at each phase and highlights gaps that need to be filled through hiring or community contributions. In Phase 1, the critical skills are Python backend development, LLM deployment and optimization, Docker/container orchestration, and technical writing. These are primarily covered by Osama and early contributors. In Phase 2-3, the priority skills shift to include frontend development (React/Next.js), MLOps and model fine-tuning, community management, and content marketing. Phase 4 requires enterprise sales expertise, partnership development, advanced DevOps for scale, and mobile SDK development.</w:t>
      </w:r>
    </w:p>
    <w:p>
      <w:r>
        <w:rPr>
          <w:rFonts w:ascii="Calibri" w:hAnsi="Calibri"/>
          <w:color w:val="333333"/>
          <w:sz w:val="22"/>
        </w:rPr>
        <w:t>Hiring priorities are determined by the intersection of skill gaps, revenue potential, and availability of community contributors. Skills that are difficult to attract from the community (enterprise sales, dedicated DevOps, professional technical writing) will be prioritized for paid hires. Skills where the community can provide significant contributions (UI components, localization, tool development, testing) will be supported through contributor programs rather than direct hiring. All hiring will prioritize candidates who are passionate about open-source, have experience with AI/ML technologies, and ideally have connections to the South Asian tech community. Remote-first culture is essential to access the global talent pool, with optional co-working space memberships for local team members.</w:t>
      </w:r>
    </w:p>
    <w:p>
      <w:r>
        <w:br w:type="page"/>
      </w:r>
    </w:p>
    <w:p>
      <w:pPr>
        <w:pStyle w:val="Heading1"/>
      </w:pPr>
      <w:r>
        <w:t>13. Funding Strategy</w:t>
      </w:r>
    </w:p>
    <w:p>
      <w:pPr>
        <w:pStyle w:val="Heading2"/>
      </w:pPr>
      <w:r>
        <w:t>13.1 Bootstrap Phase (Months 1-6)</w:t>
      </w:r>
    </w:p>
    <w:p>
      <w:r>
        <w:rPr>
          <w:rFonts w:ascii="Calibri" w:hAnsi="Calibri"/>
          <w:color w:val="333333"/>
          <w:sz w:val="22"/>
        </w:rPr>
        <w:t>NexusAI is designed to be bootstrap-friendly, meaning it can achieve significant milestones without external funding. This is a deliberate strategic choice that preserves founder control, demonstrates resourcefulness to future investors, and ensures that the project is built on a foundation of genuine user demand rather than capital-driven growth. During the bootstrap phase, infrastructure costs are minimized through several strategies: using free-tier cloud services (GitHub Actions for CI/CD, Vercel for frontend hosting, free Redis tiers), leveraging academic or research GPU credits (Google Colab Pro, AWS credits for startups), using GPU spot instances from providers like RunPod and Lambda Labs at 50-70% discounts compared to on-demand pricing, and aggressive model quantization to fit larger models on fewer GPUs.</w:t>
      </w:r>
    </w:p>
    <w:p>
      <w:r>
        <w:rPr>
          <w:rFonts w:ascii="Calibri" w:hAnsi="Calibri"/>
          <w:color w:val="333333"/>
          <w:sz w:val="22"/>
        </w:rPr>
        <w:t>The estimated total cost for the bootstrap phase (Months 1-6) is approximately $15,000-$20,000, covering GPU infrastructure ($8,000-$12,000), cloud hosting ($1,500-$2,000), domain and professional services ($500-$1,000), and marketing/community expenses ($3,000-$5,000). This amount is intentionally kept low to demonstrate that the project can achieve product-market fit without significant capital. Osama personal savings, combined with consulting revenue from AI development projects, provides the funding for this phase. The key metric for exiting the bootstrap phase is the achievement of 1,000 active users and 50 premium subscribers, which validates demand and creates the foundation for revenue-funded growth or external fundraising.</w:t>
      </w:r>
    </w:p>
    <w:p>
      <w:pPr>
        <w:pStyle w:val="Heading2"/>
      </w:pPr>
      <w:r>
        <w:t>13.2 Community Funding &amp; Sponsorships</w:t>
      </w:r>
    </w:p>
    <w:p>
      <w:r>
        <w:rPr>
          <w:rFonts w:ascii="Calibri" w:hAnsi="Calibri"/>
          <w:color w:val="333333"/>
          <w:sz w:val="22"/>
        </w:rPr>
        <w:t>Community funding represents a unique and authentic funding channel for NexusAI that aligns with its open-source identity. Several mechanisms will be pursued to generate community-sourced funding. GitHub Sponsors and Open Collective will be set up to accept recurring donations from individual supporters and organizations. Sponsorship tiers will be created with recognition benefits (logo on the website, mention in release notes, shout-outs on social media) to incentivize corporate sponsorships. We will apply for grants from organizations that support open-source AI development, including the AI Alignment Researcher Accelerator Program, Mozilla Technology Fund, NumFOCUS, and the Linux Foundation.</w:t>
      </w:r>
    </w:p>
    <w:p>
      <w:r>
        <w:rPr>
          <w:rFonts w:ascii="Calibri" w:hAnsi="Calibri"/>
          <w:color w:val="333333"/>
          <w:sz w:val="22"/>
        </w:rPr>
        <w:t>Cloud provider credits represent another significant source of community funding. Programs like Google for Startups, AWS Activate, Microsoft for Startups, and NVIDIA Inception provide substantial cloud credits ($10,000-$100,000) to qualifying startups, which can cover a significant portion of GPU and hosting costs during the growth phase. We will also explore research collaborations with universities that can provide GPU access in exchange for co-authored publications and shared research outcomes. The combination of community donations, corporate sponsorships, grants, and cloud credits is projected to provide $20,000-$50,000 in non-dilutive funding during the first 12 months, significantly extending the runway and reducing the need for equity fundraising.</w:t>
      </w:r>
    </w:p>
    <w:p>
      <w:pPr>
        <w:pStyle w:val="Heading2"/>
      </w:pPr>
      <w:r>
        <w:t>13.3 Revenue-Funded Growth (Months 7-18)</w:t>
      </w:r>
    </w:p>
    <w:p>
      <w:r>
        <w:rPr>
          <w:rFonts w:ascii="Calibri" w:hAnsi="Calibri"/>
          <w:color w:val="333333"/>
          <w:sz w:val="22"/>
        </w:rPr>
        <w:t>As premium subscriptions and enterprise licensing begin generating revenue, NexusAI will transition to a revenue-funded growth model where operating costs are covered by customer revenue rather than the founder savings or community funding. This is the most sustainable and founder-friendly growth path, as it avoids dilution and maintains full strategic control. The financial projections indicate that recurring revenue (premium subscriptions + enterprise licensing) will exceed $10,000 per month by Month 9, which is sufficient to cover basic infrastructure and a small team. By Month 12, total revenue is projected at approximately $20,000 per month, enabling the hiring of 2-3 additional team members.</w:t>
      </w:r>
    </w:p>
    <w:p>
      <w:r>
        <w:rPr>
          <w:rFonts w:ascii="Calibri" w:hAnsi="Calibri"/>
          <w:color w:val="333333"/>
          <w:sz w:val="22"/>
        </w:rPr>
        <w:t>Revenue-funded growth requires disciplined financial management, particularly in the early stages when revenue is uncertain. Key financial management practices include: maintaining a minimum cash reserve of 3 months of operating expenses, prioritizing hires that directly increase revenue (sales, enterprise support) over hires that improve the product (features that do not directly drive conversion), reinvesting 30-40% of revenue into growth activities (marketing, community, product development), and using the consulting revenue stream as a flexible funding buffer that can be scaled up or down based on the financial situation. The goal is to reach $50,000 in monthly recurring revenue before considering external fundraising, at which point NexusAI would have demonstrated strong product-market fit and would be in a favorable position to negotiate investment terms.</w:t>
      </w:r>
    </w:p>
    <w:p>
      <w:pPr>
        <w:pStyle w:val="Heading2"/>
      </w:pPr>
      <w:r>
        <w:t>13.4 Future Fundraising: Seed Round Plan</w:t>
      </w:r>
    </w:p>
    <w:p>
      <w:r>
        <w:rPr>
          <w:rFonts w:ascii="Calibri" w:hAnsi="Calibri"/>
          <w:color w:val="333333"/>
          <w:sz w:val="22"/>
        </w:rPr>
        <w:t>While NexusAI is designed to be self-sustaining, a strategic seed round of $500,000-$1,000,000 may be pursued in Month 15-18 to accelerate growth, expand the team, and capture market share before well-funded competitors enter the South Asian AI platform market. The decision to raise will be based on three criteria: whether the market opportunity is large enough to justify the dilution, whether the additional capital can be deployed effectively to generate returns that exceed the cost of capital, and whether the right investor can provide strategic value beyond capital (network, expertise, market access).</w:t>
      </w:r>
    </w:p>
    <w:p>
      <w:r>
        <w:rPr>
          <w:rFonts w:ascii="Calibri" w:hAnsi="Calibri"/>
          <w:color w:val="333333"/>
          <w:sz w:val="22"/>
        </w:rPr>
        <w:t>The ideal seed investor profile includes: experience with developer tools or open-source business models, connections to the South Asian technology ecosystem, a long-term investment horizon compatible with the open-source community-driven growth model, and alignment with NexusAI mission of AI accessibility. Target investors include regional venture capital firms in Pakistan, the UAE, and Singapore, as well as global funds specializing in AI and developer tools. The use of funds would be allocated as follows: 40% to engineering team expansion (hiring 4-5 engineers), 25% to GPU infrastructure and platform scaling, 15% to marketing and community growth, 10% to enterprise sales team, and 10% to operations, legal, and contingency. At a $500,000 raise with a $5M pre-money valuation, this would represent 10% dilution, leaving Osama with significant ownership and control while providing the resources needed to scale NexusAI into a dominant AI platform in target markets.</w:t>
      </w:r>
    </w:p>
    <w:p>
      <w:r>
        <w:br w:type="page"/>
      </w:r>
    </w:p>
    <w:p>
      <w:pPr>
        <w:pStyle w:val="Heading1"/>
      </w:pPr>
      <w:r>
        <w:t>Appendix: Document Information</w:t>
      </w:r>
    </w:p>
    <w:tbl>
      <w:tblPr>
        <w:tblStyle w:val="TableGrid"/>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4680"/>
        <w:gridCol w:w="4680"/>
      </w:tblGrid>
      <w:tr>
        <w:tc>
          <w:tcPr>
            <w:tcW w:type="dxa" w:w="2880"/>
            <w:shd w:fill="1A2744"/>
            <w:vAlign w:val="center"/>
          </w:tcPr>
          <w:p>
            <w:pPr>
              <w:spacing w:before="60" w:after="60"/>
              <w:jc w:val="center"/>
            </w:pPr>
            <w:r/>
            <w:r>
              <w:rPr>
                <w:rFonts w:ascii="Calibri" w:hAnsi="Calibri"/>
                <w:b/>
                <w:color w:val="FFFFFF"/>
                <w:sz w:val="20"/>
              </w:rPr>
              <w:t>Field</w:t>
            </w:r>
          </w:p>
        </w:tc>
        <w:tc>
          <w:tcPr>
            <w:tcW w:type="dxa" w:w="7200"/>
            <w:shd w:fill="1A2744"/>
            <w:vAlign w:val="center"/>
          </w:tcPr>
          <w:p>
            <w:pPr>
              <w:spacing w:before="60" w:after="60"/>
              <w:jc w:val="center"/>
            </w:pPr>
            <w:r/>
            <w:r>
              <w:rPr>
                <w:rFonts w:ascii="Calibri" w:hAnsi="Calibri"/>
                <w:b/>
                <w:color w:val="FFFFFF"/>
                <w:sz w:val="20"/>
              </w:rPr>
              <w:t>Details</w:t>
            </w:r>
          </w:p>
        </w:tc>
      </w:tr>
      <w:tr>
        <w:tc>
          <w:tcPr>
            <w:tcW w:type="dxa" w:w="2880"/>
            <w:vAlign w:val="center"/>
          </w:tcPr>
          <w:p>
            <w:pPr>
              <w:spacing w:before="60" w:after="60"/>
              <w:jc w:val="left"/>
            </w:pPr>
            <w:r/>
            <w:r>
              <w:rPr>
                <w:rFonts w:ascii="Calibri" w:hAnsi="Calibri"/>
                <w:b w:val="0"/>
                <w:color w:val="333333"/>
                <w:sz w:val="19"/>
              </w:rPr>
              <w:t>Document Title</w:t>
            </w:r>
          </w:p>
        </w:tc>
        <w:tc>
          <w:tcPr>
            <w:tcW w:type="dxa" w:w="7200"/>
            <w:vAlign w:val="center"/>
          </w:tcPr>
          <w:p>
            <w:pPr>
              <w:spacing w:before="60" w:after="60"/>
              <w:jc w:val="left"/>
            </w:pPr>
            <w:r/>
            <w:r>
              <w:rPr>
                <w:rFonts w:ascii="Calibri" w:hAnsi="Calibri"/>
                <w:b w:val="0"/>
                <w:color w:val="333333"/>
                <w:sz w:val="19"/>
              </w:rPr>
              <w:t>NexusAI — Business &amp; Technology Plan</w:t>
            </w:r>
          </w:p>
        </w:tc>
      </w:tr>
      <w:tr>
        <w:tc>
          <w:tcPr>
            <w:tcW w:type="dxa" w:w="2880"/>
            <w:shd w:fill="EDF2F7"/>
            <w:vAlign w:val="center"/>
          </w:tcPr>
          <w:p>
            <w:pPr>
              <w:spacing w:before="60" w:after="60"/>
              <w:jc w:val="left"/>
            </w:pPr>
            <w:r/>
            <w:r>
              <w:rPr>
                <w:rFonts w:ascii="Calibri" w:hAnsi="Calibri"/>
                <w:b w:val="0"/>
                <w:color w:val="333333"/>
                <w:sz w:val="19"/>
              </w:rPr>
              <w:t>Author</w:t>
            </w:r>
          </w:p>
        </w:tc>
        <w:tc>
          <w:tcPr>
            <w:tcW w:type="dxa" w:w="7200"/>
            <w:shd w:fill="EDF2F7"/>
            <w:vAlign w:val="center"/>
          </w:tcPr>
          <w:p>
            <w:pPr>
              <w:spacing w:before="60" w:after="60"/>
              <w:jc w:val="left"/>
            </w:pPr>
            <w:r/>
            <w:r>
              <w:rPr>
                <w:rFonts w:ascii="Calibri" w:hAnsi="Calibri"/>
                <w:b w:val="0"/>
                <w:color w:val="333333"/>
                <w:sz w:val="19"/>
              </w:rPr>
              <w:t>Osama</w:t>
            </w:r>
          </w:p>
        </w:tc>
      </w:tr>
      <w:tr>
        <w:tc>
          <w:tcPr>
            <w:tcW w:type="dxa" w:w="2880"/>
            <w:vAlign w:val="center"/>
          </w:tcPr>
          <w:p>
            <w:pPr>
              <w:spacing w:before="60" w:after="60"/>
              <w:jc w:val="left"/>
            </w:pPr>
            <w:r/>
            <w:r>
              <w:rPr>
                <w:rFonts w:ascii="Calibri" w:hAnsi="Calibri"/>
                <w:b w:val="0"/>
                <w:color w:val="333333"/>
                <w:sz w:val="19"/>
              </w:rPr>
              <w:t>Version</w:t>
            </w:r>
          </w:p>
        </w:tc>
        <w:tc>
          <w:tcPr>
            <w:tcW w:type="dxa" w:w="7200"/>
            <w:vAlign w:val="center"/>
          </w:tcPr>
          <w:p>
            <w:pPr>
              <w:spacing w:before="60" w:after="60"/>
              <w:jc w:val="left"/>
            </w:pPr>
            <w:r/>
            <w:r>
              <w:rPr>
                <w:rFonts w:ascii="Calibri" w:hAnsi="Calibri"/>
                <w:b w:val="0"/>
                <w:color w:val="333333"/>
                <w:sz w:val="19"/>
              </w:rPr>
              <w:t>1.0</w:t>
            </w:r>
          </w:p>
        </w:tc>
      </w:tr>
      <w:tr>
        <w:tc>
          <w:tcPr>
            <w:tcW w:type="dxa" w:w="2880"/>
            <w:shd w:fill="EDF2F7"/>
            <w:vAlign w:val="center"/>
          </w:tcPr>
          <w:p>
            <w:pPr>
              <w:spacing w:before="60" w:after="60"/>
              <w:jc w:val="left"/>
            </w:pPr>
            <w:r/>
            <w:r>
              <w:rPr>
                <w:rFonts w:ascii="Calibri" w:hAnsi="Calibri"/>
                <w:b w:val="0"/>
                <w:color w:val="333333"/>
                <w:sz w:val="19"/>
              </w:rPr>
              <w:t>Date</w:t>
            </w:r>
          </w:p>
        </w:tc>
        <w:tc>
          <w:tcPr>
            <w:tcW w:type="dxa" w:w="7200"/>
            <w:shd w:fill="EDF2F7"/>
            <w:vAlign w:val="center"/>
          </w:tcPr>
          <w:p>
            <w:pPr>
              <w:spacing w:before="60" w:after="60"/>
              <w:jc w:val="left"/>
            </w:pPr>
            <w:r/>
            <w:r>
              <w:rPr>
                <w:rFonts w:ascii="Calibri" w:hAnsi="Calibri"/>
                <w:b w:val="0"/>
                <w:color w:val="333333"/>
                <w:sz w:val="19"/>
              </w:rPr>
              <w:t>August 2025</w:t>
            </w:r>
          </w:p>
        </w:tc>
      </w:tr>
      <w:tr>
        <w:tc>
          <w:tcPr>
            <w:tcW w:type="dxa" w:w="2880"/>
            <w:vAlign w:val="center"/>
          </w:tcPr>
          <w:p>
            <w:pPr>
              <w:spacing w:before="60" w:after="60"/>
              <w:jc w:val="left"/>
            </w:pPr>
            <w:r/>
            <w:r>
              <w:rPr>
                <w:rFonts w:ascii="Calibri" w:hAnsi="Calibri"/>
                <w:b w:val="0"/>
                <w:color w:val="333333"/>
                <w:sz w:val="19"/>
              </w:rPr>
              <w:t>Classification</w:t>
            </w:r>
          </w:p>
        </w:tc>
        <w:tc>
          <w:tcPr>
            <w:tcW w:type="dxa" w:w="7200"/>
            <w:vAlign w:val="center"/>
          </w:tcPr>
          <w:p>
            <w:pPr>
              <w:spacing w:before="60" w:after="60"/>
              <w:jc w:val="left"/>
            </w:pPr>
            <w:r/>
            <w:r>
              <w:rPr>
                <w:rFonts w:ascii="Calibri" w:hAnsi="Calibri"/>
                <w:b w:val="0"/>
                <w:color w:val="333333"/>
                <w:sz w:val="19"/>
              </w:rPr>
              <w:t>Confidential</w:t>
            </w:r>
          </w:p>
        </w:tc>
      </w:tr>
      <w:tr>
        <w:tc>
          <w:tcPr>
            <w:tcW w:type="dxa" w:w="2880"/>
            <w:shd w:fill="EDF2F7"/>
            <w:vAlign w:val="center"/>
          </w:tcPr>
          <w:p>
            <w:pPr>
              <w:spacing w:before="60" w:after="60"/>
              <w:jc w:val="left"/>
            </w:pPr>
            <w:r/>
            <w:r>
              <w:rPr>
                <w:rFonts w:ascii="Calibri" w:hAnsi="Calibri"/>
                <w:b w:val="0"/>
                <w:color w:val="333333"/>
                <w:sz w:val="19"/>
              </w:rPr>
              <w:t>Pages</w:t>
            </w:r>
          </w:p>
        </w:tc>
        <w:tc>
          <w:tcPr>
            <w:tcW w:type="dxa" w:w="7200"/>
            <w:shd w:fill="EDF2F7"/>
            <w:vAlign w:val="center"/>
          </w:tcPr>
          <w:p>
            <w:pPr>
              <w:spacing w:before="60" w:after="60"/>
              <w:jc w:val="left"/>
            </w:pPr>
            <w:r/>
            <w:r>
              <w:rPr>
                <w:rFonts w:ascii="Calibri" w:hAnsi="Calibri"/>
                <w:b w:val="0"/>
                <w:color w:val="333333"/>
                <w:sz w:val="19"/>
              </w:rPr>
              <w:t>~30+ (estimated before pagination update)</w:t>
            </w:r>
          </w:p>
        </w:tc>
      </w:tr>
      <w:tr>
        <w:tc>
          <w:tcPr>
            <w:tcW w:type="dxa" w:w="2880"/>
            <w:vAlign w:val="center"/>
          </w:tcPr>
          <w:p>
            <w:pPr>
              <w:spacing w:before="60" w:after="60"/>
              <w:jc w:val="left"/>
            </w:pPr>
            <w:r/>
            <w:r>
              <w:rPr>
                <w:rFonts w:ascii="Calibri" w:hAnsi="Calibri"/>
                <w:b w:val="0"/>
                <w:color w:val="333333"/>
                <w:sz w:val="19"/>
              </w:rPr>
              <w:t>Tables</w:t>
            </w:r>
          </w:p>
        </w:tc>
        <w:tc>
          <w:tcPr>
            <w:tcW w:type="dxa" w:w="7200"/>
            <w:vAlign w:val="center"/>
          </w:tcPr>
          <w:p>
            <w:pPr>
              <w:spacing w:before="60" w:after="60"/>
              <w:jc w:val="left"/>
            </w:pPr>
            <w:r/>
            <w:r>
              <w:rPr>
                <w:rFonts w:ascii="Calibri" w:hAnsi="Calibri"/>
                <w:b w:val="0"/>
                <w:color w:val="333333"/>
                <w:sz w:val="19"/>
              </w:rPr>
              <w:t>9 professional tables included</w:t>
            </w:r>
          </w:p>
        </w:tc>
      </w:tr>
      <w:tr>
        <w:tc>
          <w:tcPr>
            <w:tcW w:type="dxa" w:w="2880"/>
            <w:shd w:fill="EDF2F7"/>
            <w:vAlign w:val="center"/>
          </w:tcPr>
          <w:p>
            <w:pPr>
              <w:spacing w:before="60" w:after="60"/>
              <w:jc w:val="left"/>
            </w:pPr>
            <w:r/>
            <w:r>
              <w:rPr>
                <w:rFonts w:ascii="Calibri" w:hAnsi="Calibri"/>
                <w:b w:val="0"/>
                <w:color w:val="333333"/>
                <w:sz w:val="19"/>
              </w:rPr>
              <w:t>Chapters</w:t>
            </w:r>
          </w:p>
        </w:tc>
        <w:tc>
          <w:tcPr>
            <w:tcW w:type="dxa" w:w="7200"/>
            <w:shd w:fill="EDF2F7"/>
            <w:vAlign w:val="center"/>
          </w:tcPr>
          <w:p>
            <w:pPr>
              <w:spacing w:before="60" w:after="60"/>
              <w:jc w:val="left"/>
            </w:pPr>
            <w:r/>
            <w:r>
              <w:rPr>
                <w:rFonts w:ascii="Calibri" w:hAnsi="Calibri"/>
                <w:b w:val="0"/>
                <w:color w:val="333333"/>
                <w:sz w:val="19"/>
              </w:rPr>
              <w:t>13 comprehensive chapters</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 xml:space="preserve">NexusAI — Business &amp; Technology Plan  |  Confidential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2744"/>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2C3E6B"/>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3B5B9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