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TECHJAYS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 Reimagination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8" w:val="single"/>
        </w:pBd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&amp; Discovery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2"/>
          <w:szCs w:val="22"/>
          <w:rtl w:val="0"/>
        </w:rPr>
        <w:t xml:space="preserve">Engagement brief &amp;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Project: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[Project / Engagement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Client: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[Client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Version: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[0.1 — Draft]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[DD Mon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[Draft / In Review / 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bbbbbb" w:space="6" w:sz="6" w:val="single"/>
        </w:pBdr>
        <w:spacing w:after="40" w:before="6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How to Use This Template</w:t>
      </w:r>
    </w:p>
    <w:p w:rsidR="00000000" w:rsidDel="00000000" w:rsidP="00000000" w:rsidRDefault="00000000" w:rsidRPr="00000000" w14:paraId="0000000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Delete this section before issuing. It explains conventions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Purpose.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The orientation document for the pack — often the only one a sponsor reads in full. Keep it to 1–2 pages, decision-oriented, and free of implementation detail (that lives in the other documents).</w:t>
      </w:r>
    </w:p>
    <w:p w:rsidR="00000000" w:rsidDel="00000000" w:rsidP="00000000" w:rsidRDefault="00000000" w:rsidRPr="00000000" w14:paraId="00000011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Skeleton template.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Each section is a heading plus a one-line prompt. Replace the prompt with 2–4 sentences. Resist the urge to expand — brevity is the point.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[bracketed blue text]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placeholder for you to replace.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✎ grey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Author guidance — delete before issuing.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▸ Ask the client (purple)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prompt for a question to resolve with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AI / DET / 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Responsibility: AI capability / deterministic logic / human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 / S / C /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Priority — Must / Should / Could / Won't-this-phase.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1. Engagement Context &amp; Business Driver</w:t>
      </w:r>
    </w:p>
    <w:p w:rsidR="00000000" w:rsidDel="00000000" w:rsidP="00000000" w:rsidRDefault="00000000" w:rsidRPr="00000000" w14:paraId="0000002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Why this engagement exists, in the client's terms. What triggered it and why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[The business problem or opportunity, and the reason it matters now.]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2. Current-State Summary</w:t>
      </w:r>
    </w:p>
    <w:p w:rsidR="00000000" w:rsidDel="00000000" w:rsidP="00000000" w:rsidRDefault="00000000" w:rsidRPr="00000000" w14:paraId="00000023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One paragraph. How things work today and the cost of the status quo (time, error, risk). Detail belongs in the Scope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[Today's process and its cost — summarised.]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 Future-State Vision</w:t>
      </w:r>
    </w:p>
    <w:p w:rsidR="00000000" w:rsidDel="00000000" w:rsidP="00000000" w:rsidRDefault="00000000" w:rsidRPr="00000000" w14:paraId="00000026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The target AI-native outcome in plain language. What changes for the business and its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[The intended outcome and what it changes.]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4. Recommended Approach</w:t>
      </w:r>
    </w:p>
    <w:p w:rsidR="00000000" w:rsidDel="00000000" w:rsidP="00000000" w:rsidRDefault="00000000" w:rsidRPr="00000000" w14:paraId="00000029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sz w:val="20"/>
          <w:szCs w:val="20"/>
          <w:rtl w:val="0"/>
        </w:rPr>
        <w:t xml:space="preserve">Techjays' proposed path. Reference the outcome-based / shared-risk model and the Learn → Proof → Ship → Evolve framing.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[The recommended approach and engagement model.]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5. Scope at a Glance</w:t>
      </w:r>
    </w:p>
    <w:p w:rsidR="00000000" w:rsidDel="00000000" w:rsidP="00000000" w:rsidRDefault="00000000" w:rsidRPr="00000000" w14:paraId="0000002C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The modules in play and any headline exclusions. One line each; point to the Scope Document for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[Modules in scope — e.g. Intake, Processing, Validation, Approval, System Updates, Reporting.]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[Headline exclusions, if any.]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6. Commercial Model Note</w:t>
      </w:r>
    </w:p>
    <w:p w:rsidR="00000000" w:rsidDel="00000000" w:rsidP="00000000" w:rsidRDefault="00000000" w:rsidRPr="00000000" w14:paraId="0000003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How the engagement is priced at a high level — fixed-bid where ready, T&amp;M where not. Omit figures if the proposal is a separate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[High-level commercial framing.]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7. Key Risks &amp; Assumptions (Headline)</w:t>
      </w:r>
    </w:p>
    <w:p w:rsidR="00000000" w:rsidDel="00000000" w:rsidP="00000000" w:rsidRDefault="00000000" w:rsidRPr="00000000" w14:paraId="00000033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The 3–5 items that most affect feasibility, cost, or timeline. Full list lives in the RAID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[Top risk or assumption 1]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[Top risk or assumption 2]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[Top risk or assumption 3]</w:t>
      </w:r>
    </w:p>
    <w:p w:rsidR="00000000" w:rsidDel="00000000" w:rsidP="00000000" w:rsidRDefault="00000000" w:rsidRPr="00000000" w14:paraId="00000037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8. Decision Requested</w:t>
      </w:r>
    </w:p>
    <w:p w:rsidR="00000000" w:rsidDel="00000000" w:rsidP="00000000" w:rsidRDefault="00000000" w:rsidRPr="00000000" w14:paraId="00000038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Exactly what the client is being asked to approve at this milestone, and what it unlocks.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[The specific decision or approval being sought, and the next step it unlocks.]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CONFIDENTIAL — TechjaysPage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bottom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Executive Summary [Project Name] — [Client]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