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60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0"/>
          <w:szCs w:val="40"/>
          <w:rtl w:val="0"/>
        </w:rPr>
        <w:t xml:space="preserve">TECHJAYS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AI Reimagination Company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75b6" w:space="6" w:sz="18" w:val="single"/>
        </w:pBdr>
        <w:spacing w:after="36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8"/>
          <w:szCs w:val="48"/>
          <w:rtl w:val="0"/>
        </w:rPr>
        <w:t xml:space="preserve">Technical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Design &amp; Discovery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2"/>
          <w:szCs w:val="22"/>
          <w:rtl w:val="0"/>
        </w:rPr>
        <w:t xml:space="preserve">Solution design &amp; technical feasibility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Project: 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[Project / Engagement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Client: 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[Client Legal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Version: 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[0.1 — Draft]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Date: 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[DD Mon YYYY]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Status: 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[Draft / In Review / Approved]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bbbbbb" w:space="6" w:sz="6" w:val="single"/>
        </w:pBdr>
        <w:spacing w:after="40" w:before="60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How to Use This Template</w:t>
      </w:r>
    </w:p>
    <w:p w:rsidR="00000000" w:rsidDel="00000000" w:rsidP="00000000" w:rsidRDefault="00000000" w:rsidRPr="00000000" w14:paraId="0000000F">
      <w:pPr>
        <w:spacing w:after="120" w:line="264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✎ 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Delete this section before issuing. It explains conventions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="276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Purpose.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Answers HOW the solution works and confirms technical feasibility behind the scope. It is the architect's evidence for the PSRC 'Architecture Soundness' lens.</w:t>
      </w:r>
    </w:p>
    <w:p w:rsidR="00000000" w:rsidDel="00000000" w:rsidP="00000000" w:rsidRDefault="00000000" w:rsidRPr="00000000" w14:paraId="00000011">
      <w:pPr>
        <w:spacing w:after="120" w:line="276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Guided template.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The harder sections (AI/ML approach, deterministic boundary, integrations, NFRs) carry worked examples showing the expected depth. Replace them with the real design.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Convention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20"/>
                <w:szCs w:val="20"/>
                <w:rtl w:val="0"/>
              </w:rPr>
              <w:t xml:space="preserve">[bracketed blue text]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 placeholder for you to replace.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sz w:val="20"/>
                <w:szCs w:val="20"/>
                <w:rtl w:val="0"/>
              </w:rPr>
              <w:t xml:space="preserve">✎ grey italic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Author guidance — delete before issuing.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sz w:val="20"/>
                <w:szCs w:val="20"/>
                <w:rtl w:val="0"/>
              </w:rPr>
              <w:t xml:space="preserve">▸ Ask the client (purple)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 prompt for a question to resolve with the client.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AI / DET / HUM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Responsibility: AI capability / deterministic logic / human 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M / S / C / 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Priority — Must / Should / Could / Won't-this-phase.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>
          <w:rFonts w:ascii="Roboto" w:cs="Roboto" w:eastAsia="Roboto" w:hAnsi="Robot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sdt>
      <w:sdtPr>
        <w:id w:val="-169678182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0">
          <w:pPr>
            <w:rPr>
              <w:rFonts w:ascii="Roboto" w:cs="Roboto" w:eastAsia="Roboto" w:hAnsi="Roboto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rPr>
              <w:rFonts w:ascii="Roboto" w:cs="Roboto" w:eastAsia="Roboto" w:hAnsi="Roboto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2">
      <w:pPr>
        <w:rPr>
          <w:rFonts w:ascii="Roboto" w:cs="Roboto" w:eastAsia="Roboto" w:hAnsi="Robot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1. Solution Overview &amp; Context</w:t>
      </w:r>
    </w:p>
    <w:p w:rsidR="00000000" w:rsidDel="00000000" w:rsidP="00000000" w:rsidRDefault="00000000" w:rsidRPr="00000000" w14:paraId="00000024">
      <w:pPr>
        <w:spacing w:after="120" w:line="264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✎ 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High-level architecture and how the system sits among the client's existing systems. Include a context diagram and the end-to-end happy-path 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>
          <w:rFonts w:ascii="Roboto" w:cs="Roboto" w:eastAsia="Roboto" w:hAnsi="Roboto"/>
        </w:rPr>
      </w:pPr>
      <w:r w:rsidDel="00000000" w:rsidR="00000000" w:rsidRPr="00000000">
        <w:rPr>
          <w:rFonts w:ascii="Nova Mono" w:cs="Nova Mono" w:eastAsia="Nova Mono" w:hAnsi="Nova Mono"/>
          <w:i w:val="1"/>
          <w:iCs w:val="1"/>
          <w:rtl w:val="0"/>
        </w:rPr>
        <w:t xml:space="preserve">[Insert context diagram. Narrate the end-to-end flow, e.g. Intake → Processing → Validation → Approval → System Updates, with Exception Handling and Reporting alongside.]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2. Component Architecture</w:t>
      </w:r>
    </w:p>
    <w:p w:rsidR="00000000" w:rsidDel="00000000" w:rsidP="00000000" w:rsidRDefault="00000000" w:rsidRPr="00000000" w14:paraId="00000027">
      <w:pPr>
        <w:spacing w:after="120" w:line="264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✎ 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The major components/services and how they interact. A representative end-to-end transaction sequence helps.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[Component/service diagram and a short sequence description of one representative transaction.]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3. AI / ML Approach</w:t>
      </w:r>
    </w:p>
    <w:p w:rsidR="00000000" w:rsidDel="00000000" w:rsidP="00000000" w:rsidRDefault="00000000" w:rsidRPr="00000000" w14:paraId="0000002A">
      <w:pPr>
        <w:spacing w:after="120" w:line="264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✎ 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Worked example below — replace with the real approach. Governs every AI-tagged requirement in the Scope Document.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3.1 Capability &amp; Model</w:t>
      </w:r>
    </w:p>
    <w:p w:rsidR="00000000" w:rsidDel="00000000" w:rsidP="00000000" w:rsidRDefault="00000000" w:rsidRPr="00000000" w14:paraId="0000002C">
      <w:pPr>
        <w:spacing w:after="120" w:line="276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Example: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Field extraction + request-type classification using a hosted LLM with structured-output prompting. No fine-tuning in phase 1; prompt + few-shot examples grounded on a labelled sample set. Inference stays within [region]; no client PII leaves the [boundary].</w:t>
      </w:r>
    </w:p>
    <w:p w:rsidR="00000000" w:rsidDel="00000000" w:rsidP="00000000" w:rsidRDefault="00000000" w:rsidRPr="00000000" w14:paraId="0000002D">
      <w:pPr>
        <w:pStyle w:val="Heading3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3.2 Confidence &amp; Human-in-the-Loop Policy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Confidence band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System behaviour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Nova Mono" w:cs="Nova Mono" w:eastAsia="Nova Mono" w:hAnsi="Nova Mono"/>
                <w:b w:val="1"/>
                <w:bCs w:val="1"/>
                <w:sz w:val="20"/>
                <w:szCs w:val="20"/>
                <w:rtl w:val="0"/>
              </w:rPr>
              <w:t xml:space="preserve">≥ [0.85]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Auto-proceed — deterministic logic continues.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[0.60] – [0.85]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Hold for human confirmation.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&lt; [0.60]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Reject / route to exception queue.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pStyle w:val="Heading3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3.3 Evaluation &amp; Acceptance Metrics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360"/>
        <w:gridCol w:w="4000"/>
        <w:tblGridChange w:id="0">
          <w:tblGrid>
            <w:gridCol w:w="3000"/>
            <w:gridCol w:w="2360"/>
            <w:gridCol w:w="4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Measured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Field-level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0"/>
                <w:szCs w:val="20"/>
                <w:rtl w:val="0"/>
              </w:rPr>
              <w:t xml:space="preserve">[≥95%]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Agreed labelled test 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[precision / recall]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[target]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[test set]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120" w:line="264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✎ 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Accuracy targets must match those agreed with the client — they define when an AI requirement is accepted.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4. Deterministic Logic Boundary</w:t>
      </w:r>
    </w:p>
    <w:p w:rsidR="00000000" w:rsidDel="00000000" w:rsidP="00000000" w:rsidRDefault="00000000" w:rsidRPr="00000000" w14:paraId="00000042">
      <w:pPr>
        <w:spacing w:after="120" w:line="264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✎ 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Worked example below. The clearest single decision in the design: what is rule-based and exactly testable vs what is handed to 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="276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Example: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AI is limited to extraction and classification. All business-rule enforcement (duplicate detection, mandatory-field checks, routing, value thresholds) and all writes to the system of record are deterministic and unit-tested. AI never finalises an irreversible action; a deterministic gate or a human approval always sits between AI output and a system update.</w:t>
      </w:r>
    </w:p>
    <w:p w:rsidR="00000000" w:rsidDel="00000000" w:rsidP="00000000" w:rsidRDefault="00000000" w:rsidRPr="00000000" w14:paraId="00000044">
      <w:pPr>
        <w:pStyle w:val="Heading1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5. Data Architecture &amp; Dictionary</w:t>
      </w:r>
    </w:p>
    <w:p w:rsidR="00000000" w:rsidDel="00000000" w:rsidP="00000000" w:rsidRDefault="00000000" w:rsidRPr="00000000" w14:paraId="00000045">
      <w:pPr>
        <w:spacing w:after="120" w:line="264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✎ 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Core entities, data stores, and the master field list. This is the canonical schema engineering builds against.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[Entity/data-store diagram. Link to or embed the master field list consolidating the per-module data fields from the Scope Document.]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6. Integration Specifications</w:t>
      </w:r>
    </w:p>
    <w:p w:rsidR="00000000" w:rsidDel="00000000" w:rsidP="00000000" w:rsidRDefault="00000000" w:rsidRPr="00000000" w14:paraId="00000048">
      <w:pPr>
        <w:spacing w:after="120" w:line="264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✎ 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Worked example row below. Consolidate every integration named across the Scope Document modules into one authoritative list.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300"/>
        <w:gridCol w:w="2200"/>
        <w:gridCol w:w="1560"/>
        <w:gridCol w:w="2300"/>
        <w:tblGridChange w:id="0">
          <w:tblGrid>
            <w:gridCol w:w="2000"/>
            <w:gridCol w:w="1300"/>
            <w:gridCol w:w="2200"/>
            <w:gridCol w:w="1560"/>
            <w:gridCol w:w="2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Protocol /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 / limits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[ERP 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Write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OAuth 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Rate limit [N]/min; sandbox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[System]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[R/W]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[REST/DB/file]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[key/SSO]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[limits]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120" w:line="264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✎ 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If integration count or complexity is the dominant risk, promote this section into its own Data &amp; Integration spec.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7. Non-Functional Requirements</w:t>
      </w:r>
    </w:p>
    <w:p w:rsidR="00000000" w:rsidDel="00000000" w:rsidP="00000000" w:rsidRDefault="00000000" w:rsidRPr="00000000" w14:paraId="0000005F">
      <w:pPr>
        <w:spacing w:after="120" w:line="264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✎ 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Measurable targets, not adjectives. “Fast” is not testable; “p95 &lt; 2s at 50 concurrent users” is.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2400"/>
        <w:gridCol w:w="5660"/>
        <w:tblGridChange w:id="0">
          <w:tblGrid>
            <w:gridCol w:w="1300"/>
            <w:gridCol w:w="2400"/>
            <w:gridCol w:w="5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 (measurable)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NFR-01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0"/>
                <w:szCs w:val="20"/>
                <w:rtl w:val="0"/>
              </w:rPr>
              <w:t xml:space="preserve">p95 response &lt; [2s]; throughput ≥ [N] items/hour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NFR-02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[peak volume to sustain]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NFR-03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[uptime target; maintenance windows]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NFR-04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Idempotent, retried writes to the system of record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NFR-05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Usability / accessibility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52.00000000000003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[standard, e.g. WCAG 2.1 AA]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pStyle w:val="Heading1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8. Security &amp; Compliance</w:t>
      </w:r>
    </w:p>
    <w:p w:rsidR="00000000" w:rsidDel="00000000" w:rsidP="00000000" w:rsidRDefault="00000000" w:rsidRPr="00000000" w14:paraId="00000073">
      <w:pPr>
        <w:spacing w:after="120" w:line="264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✎ 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AuthN/AuthZ, encryption, data handling, audit, and regulatory obligations.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Authentication &amp; authorisation: [SSO / roles]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Encryption: in transit [TLS 1.2+] and at rest [AES-256]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PII handling, residency, retention: [policy]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Audit trail: immutable log of approvals and system updates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Compliance obligations in scope: [e.g. SOC 2, HIPAA, GDPR]</w:t>
      </w:r>
    </w:p>
    <w:p w:rsidR="00000000" w:rsidDel="00000000" w:rsidP="00000000" w:rsidRDefault="00000000" w:rsidRPr="00000000" w14:paraId="00000079">
      <w:pPr>
        <w:pStyle w:val="Heading1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9. Environments &amp; Deployment</w:t>
      </w:r>
    </w:p>
    <w:p w:rsidR="00000000" w:rsidDel="00000000" w:rsidP="00000000" w:rsidRDefault="00000000" w:rsidRPr="00000000" w14:paraId="0000007A">
      <w:pPr>
        <w:spacing w:after="120" w:line="264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✎ 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Deployment model, environments, and release approach.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Deployment: [cloud / region / on-prem / hybrid]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Environments: [dev / staging / prod]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Release approach: [CI/CD pipeline, branching]</w:t>
      </w:r>
    </w:p>
    <w:p w:rsidR="00000000" w:rsidDel="00000000" w:rsidP="00000000" w:rsidRDefault="00000000" w:rsidRPr="00000000" w14:paraId="0000007E">
      <w:pPr>
        <w:pStyle w:val="Heading1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10. Technical Constraints</w:t>
      </w:r>
    </w:p>
    <w:p w:rsidR="00000000" w:rsidDel="00000000" w:rsidP="00000000" w:rsidRDefault="00000000" w:rsidRPr="00000000" w14:paraId="0000007F">
      <w:pPr>
        <w:spacing w:after="120" w:line="264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✎ 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Mandated technologies, platform limits, volume ceilings, or client-imposed constraints that shape the design.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[mandated technology or platform]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[security / compliance constraint]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[performance or volume ceiling]</w:t>
      </w:r>
    </w:p>
    <w:p w:rsidR="00000000" w:rsidDel="00000000" w:rsidP="00000000" w:rsidRDefault="00000000" w:rsidRPr="00000000" w14:paraId="00000083">
      <w:pPr>
        <w:pStyle w:val="Heading1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11. Responsible AI &amp; Guardrails</w:t>
      </w:r>
    </w:p>
    <w:p w:rsidR="00000000" w:rsidDel="00000000" w:rsidP="00000000" w:rsidRDefault="00000000" w:rsidRPr="00000000" w14:paraId="00000084">
      <w:pPr>
        <w:spacing w:after="120" w:line="264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✎ 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How the AI is kept safe and accountable.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Restricted actions: [what the AI may never do autonomously]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PII redaction / content-safety / prompt-injection controls: [approach]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Human accountability: AI never finalises an irreversible action without the defined human step.</w:t>
      </w:r>
    </w:p>
    <w:p w:rsidR="00000000" w:rsidDel="00000000" w:rsidP="00000000" w:rsidRDefault="00000000" w:rsidRPr="00000000" w14:paraId="00000088">
      <w:pPr>
        <w:pStyle w:val="Heading1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12. Monitoring &amp; Drift (Evolve, if scoped)</w:t>
      </w:r>
    </w:p>
    <w:p w:rsidR="00000000" w:rsidDel="00000000" w:rsidP="00000000" w:rsidRDefault="00000000" w:rsidRPr="00000000" w14:paraId="00000089">
      <w:pPr>
        <w:spacing w:after="120" w:line="264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✎ 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How the system is watched in production and when it is corrected.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Production accuracy monitoring: [what is tracked]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Alerting on degradation: [threshold + who is alerted]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Retraining / prompt-update trigger: [condition]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tabs>
        <w:tab w:val="right" w:leader="none" w:pos="9360"/>
      </w:tabs>
      <w:rPr/>
    </w:pPr>
    <w:r w:rsidDel="00000000" w:rsidR="00000000" w:rsidRPr="00000000">
      <w:rPr>
        <w:color w:val="808080"/>
        <w:sz w:val="16"/>
        <w:szCs w:val="16"/>
        <w:rtl w:val="0"/>
      </w:rPr>
      <w:t xml:space="preserve">CONFIDENTIAL — TechjaysPage </w:t>
    </w:r>
    <w:r w:rsidDel="00000000" w:rsidR="00000000" w:rsidRPr="00000000"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808080"/>
        <w:sz w:val="16"/>
        <w:szCs w:val="16"/>
        <w:rtl w:val="0"/>
      </w:rPr>
      <w:t xml:space="preserve"> of </w:t>
    </w:r>
    <w:r w:rsidDel="00000000" w:rsidR="00000000" w:rsidRPr="00000000"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pBdr>
        <w:bottom w:color="cccccc" w:space="4" w:sz="4" w:val="single"/>
      </w:pBdr>
      <w:tabs>
        <w:tab w:val="right" w:leader="none" w:pos="9360"/>
      </w:tabs>
      <w:rPr/>
    </w:pPr>
    <w:r w:rsidDel="00000000" w:rsidR="00000000" w:rsidRPr="00000000">
      <w:rPr>
        <w:color w:val="808080"/>
        <w:sz w:val="16"/>
        <w:szCs w:val="16"/>
        <w:rtl w:val="0"/>
      </w:rPr>
      <w:t xml:space="preserve">Technical Architecture [Project Name] — [Client]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2e75b6" w:space="4" w:sz="6" w:val="single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a5f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a5f"/>
      <w:sz w:val="25"/>
      <w:szCs w:val="25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