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6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  <w:rtl w:val="0"/>
        </w:rPr>
        <w:t xml:space="preserve">TECHJAYS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AI Reimagination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6" w:sz="18" w:val="single"/>
        </w:pBdr>
        <w:spacing w:after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8"/>
          <w:szCs w:val="48"/>
          <w:rtl w:val="0"/>
        </w:rPr>
        <w:t xml:space="preserve">RAID 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&amp; Discovery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2"/>
          <w:szCs w:val="22"/>
          <w:rtl w:val="0"/>
        </w:rPr>
        <w:t xml:space="preserve">Risks • Assumptions • Issues •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Project: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[Project / Engagement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Client: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[Client Legal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Version: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[0.1 — Draft]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Date: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[DD Mon YYYY]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Status: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[Draft / In Review / Approved]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bbbbbb" w:space="6" w:sz="6" w:val="single"/>
        </w:pBdr>
        <w:spacing w:after="40" w:before="60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How to Use This Template</w:t>
      </w:r>
    </w:p>
    <w:p w:rsidR="00000000" w:rsidDel="00000000" w:rsidP="00000000" w:rsidRDefault="00000000" w:rsidRPr="00000000" w14:paraId="0000000F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Delete this section before issuing. It explains conventions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76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Purpose.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The living record of the conditions under which the fixed price is valid. Update it throughout discovery — it is not a one-time snapshot. Every assumption that fails and every unresolved dependency is a change-control trigger.</w:t>
      </w:r>
    </w:p>
    <w:p w:rsidR="00000000" w:rsidDel="00000000" w:rsidP="00000000" w:rsidRDefault="00000000" w:rsidRPr="00000000" w14:paraId="00000011">
      <w:pPr>
        <w:spacing w:after="120" w:line="276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Skeleton template.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Each register is a table with starter rows. Add rows as needed. Keep IDs permanent once issued.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0"/>
                <w:szCs w:val="20"/>
                <w:rtl w:val="0"/>
              </w:rPr>
              <w:t xml:space="preserve">[bracketed blue text]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placeholder for you to replace.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20"/>
                <w:szCs w:val="20"/>
                <w:rtl w:val="0"/>
              </w:rPr>
              <w:t xml:space="preserve">✎ grey italic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Author guidance — delete before issuing.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20"/>
                <w:szCs w:val="20"/>
                <w:rtl w:val="0"/>
              </w:rPr>
              <w:t xml:space="preserve">▸ Ask the client (purple)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prompt for a question to resolve with the client.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AI / DET / HUM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Responsibility: AI capability / deterministic logic / human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M / S / C / 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Priority — Must / Should / Could / Won't-this-phase.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1. Assumptions</w:t>
      </w:r>
    </w:p>
    <w:p w:rsidR="00000000" w:rsidDel="00000000" w:rsidP="00000000" w:rsidRDefault="00000000" w:rsidRPr="00000000" w14:paraId="00000020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Each assumption the estimate relies on, with the impact if it proves wrong. E.g. accuracy expectations, sample-data availability, environment access.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60"/>
        <w:gridCol w:w="2200"/>
        <w:gridCol w:w="1300"/>
        <w:gridCol w:w="1200"/>
        <w:tblGridChange w:id="0">
          <w:tblGrid>
            <w:gridCol w:w="900"/>
            <w:gridCol w:w="3760"/>
            <w:gridCol w:w="2200"/>
            <w:gridCol w:w="13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 if wrong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[assumption]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[impact]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[Open]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2. Dependencies</w:t>
      </w:r>
    </w:p>
    <w:p w:rsidR="00000000" w:rsidDel="00000000" w:rsidP="00000000" w:rsidRDefault="00000000" w:rsidRPr="00000000" w14:paraId="00000036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What Techjays needs from the client or third parties, and by when: system/credential access, API availability, sample data, stakeholder availability for clarifications and UAT.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60"/>
        <w:gridCol w:w="2200"/>
        <w:gridCol w:w="1300"/>
        <w:gridCol w:w="1200"/>
        <w:tblGridChange w:id="0">
          <w:tblGrid>
            <w:gridCol w:w="900"/>
            <w:gridCol w:w="3760"/>
            <w:gridCol w:w="2200"/>
            <w:gridCol w:w="13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Needed 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Needed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[dependency]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[client / 3rd party]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[Open]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3. Risks</w:t>
      </w:r>
    </w:p>
    <w:p w:rsidR="00000000" w:rsidDel="00000000" w:rsidP="00000000" w:rsidRDefault="00000000" w:rsidRPr="00000000" w14:paraId="0000004C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Things that may go wrong, with likelihood, impact, mitigation, and owner. Include technical, data, integration, and delivery risks.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960"/>
        <w:gridCol w:w="1200"/>
        <w:gridCol w:w="1100"/>
        <w:gridCol w:w="2200"/>
        <w:gridCol w:w="1100"/>
        <w:tblGridChange w:id="0">
          <w:tblGrid>
            <w:gridCol w:w="800"/>
            <w:gridCol w:w="2960"/>
            <w:gridCol w:w="1200"/>
            <w:gridCol w:w="1100"/>
            <w:gridCol w:w="220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[risk]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[H/M/L]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[H/M/L]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[mitigation]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4. Open Questions</w:t>
      </w:r>
    </w:p>
    <w:p w:rsidR="00000000" w:rsidDel="00000000" w:rsidP="00000000" w:rsidRDefault="00000000" w:rsidRPr="00000000" w14:paraId="00000066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Unresolved items, each classified with the D&amp;D scheme below. Classification drives whether a module can be estimated.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560"/>
        <w:gridCol w:w="1900"/>
        <w:gridCol w:w="1300"/>
        <w:gridCol w:w="1800"/>
        <w:tblGridChange w:id="0">
          <w:tblGrid>
            <w:gridCol w:w="800"/>
            <w:gridCol w:w="3560"/>
            <w:gridCol w:w="1900"/>
            <w:gridCol w:w="13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Needed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Q-01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[question]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[classification]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76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Classification options: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Must close before estimate · Proceed with assumption · Minor implementation detail · Too uncertain (exclude / T&amp;M) · Future phase.</w:t>
      </w:r>
    </w:p>
    <w:p w:rsidR="00000000" w:rsidDel="00000000" w:rsidP="00000000" w:rsidRDefault="00000000" w:rsidRPr="00000000" w14:paraId="0000007D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5. Resolution Log</w:t>
      </w:r>
    </w:p>
    <w:p w:rsidR="00000000" w:rsidDel="00000000" w:rsidP="00000000" w:rsidRDefault="00000000" w:rsidRPr="00000000" w14:paraId="0000007E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Tracks each item above to closure so the register stays live. One row per resolved item.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4760"/>
        <w:gridCol w:w="1600"/>
        <w:gridCol w:w="1600"/>
        <w:tblGridChange w:id="0">
          <w:tblGrid>
            <w:gridCol w:w="1400"/>
            <w:gridCol w:w="4760"/>
            <w:gridCol w:w="16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Resolved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 resolved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[A/D/R/Q-nn]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[how it was resolved]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tabs>
        <w:tab w:val="right" w:leader="none" w:pos="9360"/>
      </w:tabs>
      <w:rPr/>
    </w:pPr>
    <w:r w:rsidDel="00000000" w:rsidR="00000000" w:rsidRPr="00000000">
      <w:rPr>
        <w:color w:val="808080"/>
        <w:sz w:val="16"/>
        <w:szCs w:val="16"/>
        <w:rtl w:val="0"/>
      </w:rPr>
      <w:t xml:space="preserve">CONFIDENTIAL — TechjaysPage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6"/>
        <w:szCs w:val="16"/>
        <w:rtl w:val="0"/>
      </w:rPr>
      <w:t xml:space="preserve"> of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pBdr>
        <w:bottom w:color="cccccc" w:space="4" w:sz="4" w:val="single"/>
      </w:pBdr>
      <w:tabs>
        <w:tab w:val="right" w:leader="none" w:pos="9360"/>
      </w:tabs>
      <w:rPr/>
    </w:pPr>
    <w:r w:rsidDel="00000000" w:rsidR="00000000" w:rsidRPr="00000000">
      <w:rPr>
        <w:color w:val="808080"/>
        <w:sz w:val="16"/>
        <w:szCs w:val="16"/>
        <w:rtl w:val="0"/>
      </w:rPr>
      <w:t xml:space="preserve">RAID Registe r[Project Name] — [Client]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5b6" w:space="4" w:sz="6" w:val="single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5f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5f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