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b/>
          <w:sz w:val="32"/>
        </w:rPr>
        <w:t>Volume 3 Cost Proposal Draft: FrontierGrid-Observant</w:t>
      </w:r>
    </w:p>
    <w:p>
      <w:r/>
      <w:r>
        <w:rPr>
          <w:b/>
        </w:rPr>
        <w:t>Topic</w:t>
      </w:r>
      <w:r>
        <w:t>: DON26BZ01-NV023 Observant-AI</w:t>
      </w:r>
    </w:p>
    <w:p>
      <w:r/>
      <w:r>
        <w:rPr>
          <w:b/>
        </w:rPr>
        <w:t>Offeror</w:t>
      </w:r>
      <w:r>
        <w:t>: Techman Studios</w:t>
      </w:r>
    </w:p>
    <w:p>
      <w:r/>
      <w:r>
        <w:rPr>
          <w:b/>
        </w:rPr>
        <w:t>Principal Investigator &amp; Lead Systems Engineer</w:t>
      </w:r>
      <w:r>
        <w:t>: Bryan Tucker (100% effort)</w:t>
      </w:r>
    </w:p>
    <w:p>
      <w:r>
        <w:t>This working draft outlines the Phase I Cost Proposal (Volume 3) for Techman Studios. It includes a six-month Base Period budget (max $140,000) and a six-month Option Period budget (max $100,000). Use these figures and justifications for entry into the DSIP Cost Volume webforms.</w:t>
      </w:r>
    </w:p>
    <w:p>
      <w:r>
        <w:t>---</w:t>
      </w:r>
    </w:p>
    <w:p>
      <w:pPr>
        <w:keepNext/>
        <w:spacing w:before="240" w:after="120"/>
      </w:pPr>
      <w:r>
        <w:rPr>
          <w:b/>
          <w:sz w:val="26"/>
        </w:rPr>
        <w:t>1. Budget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</w:rPr>
              <w:t>Cost Category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</w:rPr>
              <w:t>Phase I Base (6 Months)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</w:rPr>
              <w:t>Phase I Option (6 Months)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</w:rPr>
              <w:t>Total Proposed Cost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---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---: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---: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---: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**Direct Labor** (Bryan Tucker, PI)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$67,600.00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$67,600.00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$135,200.00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**Fringe Benefits**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$16,900.00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$13,520.00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$30,420.00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**Overhead**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$25,350.00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$8,112.00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$33,462.00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**Direct Materials &amp; Supplies**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$3,000.00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$1,000.00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$4,000.00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**Travel**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$2,500.00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$1,500.00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$4,000.00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**Subcontractors &amp; Consultants**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$0.00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**Technical &amp; Business Assistance (TABA)**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$0.00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**General &amp; Administrative (G&amp;A)**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$11,535.00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$2,293.30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$13,828.30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**Fee / Profit**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$12,688.50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$5,970.60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  <w:jc w:val="right"/>
            </w:pPr>
            <w:r/>
            <w:r>
              <w:t>$18,659.10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**Total Proposed Price**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**$139,573.50**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**$99,995.90**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40" w:lineRule="auto"/>
            </w:pPr>
            <w:r/>
            <w:r>
              <w:t>**$239,569.40**</w:t>
            </w:r>
          </w:p>
        </w:tc>
      </w:tr>
    </w:tbl>
    <w:p>
      <w:r>
        <w:t>---</w:t>
      </w:r>
    </w:p>
    <w:p>
      <w:pPr>
        <w:keepNext/>
        <w:spacing w:before="240" w:after="120"/>
      </w:pPr>
      <w:r>
        <w:rPr>
          <w:b/>
          <w:sz w:val="26"/>
        </w:rPr>
        <w:t>2. Phase I Base Period Detailed Budget (6 Months)</w:t>
      </w:r>
    </w:p>
    <w:p>
      <w:pPr>
        <w:keepNext/>
        <w:spacing w:before="160" w:after="80"/>
      </w:pPr>
      <w:r>
        <w:rPr>
          <w:b/>
          <w:sz w:val="23"/>
        </w:rPr>
        <w:t>A. Direct Labor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Bryan Tucker (Principal Investigator &amp; Lead AI Systems Engineer)</w:t>
      </w:r>
      <w:r>
        <w:t>: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Role</w:t>
      </w:r>
      <w:r>
        <w:t>: Coordinates scenario definition, SOW tasks, multi-agent harness architecture, risk engine, testing, evaluation, and reporting.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Level of Effort</w:t>
      </w:r>
      <w:r>
        <w:t>: 100% of full-time equivalent (FTE) labor over 6 months = 1,040 hours.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Hourly Rate</w:t>
      </w:r>
      <w:r>
        <w:t>: $65.00 / hour.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Direct Labor</w:t>
      </w:r>
      <w:r>
        <w:t xml:space="preserve">: </w:t>
      </w:r>
      <w:r>
        <w:rPr>
          <w:b/>
        </w:rPr>
        <w:t>$67,600.00</w:t>
      </w:r>
      <w:r/>
    </w:p>
    <w:p>
      <w:pPr>
        <w:keepNext/>
        <w:spacing w:before="160" w:after="80"/>
      </w:pPr>
      <w:r>
        <w:rPr>
          <w:b/>
          <w:sz w:val="23"/>
        </w:rPr>
        <w:t>B. Fringe Benefits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Rate</w:t>
      </w:r>
      <w:r>
        <w:t>: 25% of Direct Labor.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Basis</w:t>
      </w:r>
      <w:r>
        <w:t>: Includes health insurance, payroll taxes (FICA, FUTA, SUTA), worker's compensation, and paid time off (PTO) matching historical company rates.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Fringe</w:t>
      </w:r>
      <w:r>
        <w:t xml:space="preserve">: </w:t>
      </w:r>
      <w:r>
        <w:rPr>
          <w:b/>
        </w:rPr>
        <w:t>$16,900.00</w:t>
      </w:r>
      <w:r/>
    </w:p>
    <w:p>
      <w:pPr>
        <w:keepNext/>
        <w:spacing w:before="160" w:after="80"/>
      </w:pPr>
      <w:r>
        <w:rPr>
          <w:b/>
          <w:sz w:val="23"/>
        </w:rPr>
        <w:t>C. Overhead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Rate</w:t>
      </w:r>
      <w:r>
        <w:t>: 30% of Direct Labor + Fringe Benefits ($84,500.00).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Basis</w:t>
      </w:r>
      <w:r>
        <w:t>: Covers internal IT tooling, hardware depreciation, telecommunications, developer software licenses, and secure workspace utilities.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Overhead</w:t>
      </w:r>
      <w:r>
        <w:t xml:space="preserve">: </w:t>
      </w:r>
      <w:r>
        <w:rPr>
          <w:b/>
        </w:rPr>
        <w:t>$25,350.00</w:t>
      </w:r>
      <w:r/>
    </w:p>
    <w:p>
      <w:pPr>
        <w:keepNext/>
        <w:spacing w:before="160" w:after="80"/>
      </w:pPr>
      <w:r>
        <w:rPr>
          <w:b/>
          <w:sz w:val="23"/>
        </w:rPr>
        <w:t>D. Direct Materials &amp; Supplies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Development Software &amp; Tools</w:t>
      </w:r>
      <w:r>
        <w:t>: $1,500.00 (IDE licenses, profiling tools, data schema validation libraries).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Cloud Compute &amp; Infrastructure</w:t>
      </w:r>
      <w:r>
        <w:t>: $1,500.00 (AWS/Azure GPU and server allocations for unclassified synthetic data generation and stress-testing runs).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Materials</w:t>
      </w:r>
      <w:r>
        <w:t xml:space="preserve">: </w:t>
      </w:r>
      <w:r>
        <w:rPr>
          <w:b/>
        </w:rPr>
        <w:t>$3,000.00</w:t>
      </w:r>
      <w:r/>
    </w:p>
    <w:p>
      <w:pPr>
        <w:keepNext/>
        <w:spacing w:before="160" w:after="80"/>
      </w:pPr>
      <w:r>
        <w:rPr>
          <w:b/>
          <w:sz w:val="23"/>
        </w:rPr>
        <w:t>E. Travel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Navy Kick-off &amp; Technical Coordination Meeting</w:t>
      </w:r>
      <w:r>
        <w:t>: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Destination</w:t>
      </w:r>
      <w:r>
        <w:t>: Washington, D.C. or Navy sponsor location.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Duration</w:t>
      </w:r>
      <w:r>
        <w:t>: 3 days, 2 nights.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Travelers</w:t>
      </w:r>
      <w:r>
        <w:t>: 1 person (Bryan Tucker).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Breakdown</w:t>
      </w:r>
      <w:r>
        <w:t>: Round-trip airfare ($600.00), lodging ($250.00/night = $500.00), per diem ($75.00/day = $225.00), local ground transportation ($175.00), registration/incidentals ($1,000.00).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Travel</w:t>
      </w:r>
      <w:r>
        <w:t xml:space="preserve">: </w:t>
      </w:r>
      <w:r>
        <w:rPr>
          <w:b/>
        </w:rPr>
        <w:t>$2,500.00</w:t>
      </w:r>
      <w:r/>
    </w:p>
    <w:p>
      <w:pPr>
        <w:keepNext/>
        <w:spacing w:before="160" w:after="80"/>
      </w:pPr>
      <w:r>
        <w:rPr>
          <w:b/>
          <w:sz w:val="23"/>
        </w:rPr>
        <w:t>F. Subcontractors &amp; Consultants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None</w:t>
      </w:r>
      <w:r>
        <w:t>. Techman Studios is performing 100% of the proposed labor.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Subcontractors</w:t>
      </w:r>
      <w:r>
        <w:t xml:space="preserve">: </w:t>
      </w:r>
      <w:r>
        <w:rPr>
          <w:b/>
        </w:rPr>
        <w:t>$0.00</w:t>
      </w:r>
      <w:r/>
    </w:p>
    <w:p>
      <w:pPr>
        <w:keepNext/>
        <w:spacing w:before="160" w:after="80"/>
      </w:pPr>
      <w:r>
        <w:rPr>
          <w:b/>
          <w:sz w:val="23"/>
        </w:rPr>
        <w:t>G. Technical and Business Assistance (TABA)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None</w:t>
      </w:r>
      <w:r>
        <w:t>. No TABA funding is requested for this effort.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TABA</w:t>
      </w:r>
      <w:r>
        <w:t xml:space="preserve">: </w:t>
      </w:r>
      <w:r>
        <w:rPr>
          <w:b/>
        </w:rPr>
        <w:t>$0.00</w:t>
      </w:r>
      <w:r/>
    </w:p>
    <w:p>
      <w:pPr>
        <w:keepNext/>
        <w:spacing w:before="160" w:after="80"/>
      </w:pPr>
      <w:r>
        <w:rPr>
          <w:b/>
          <w:sz w:val="23"/>
        </w:rPr>
        <w:t>H. General &amp; Administrative (G&amp;A)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Rate</w:t>
      </w:r>
      <w:r>
        <w:t>: 10% of Subtotal ($115,350.00).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Basis</w:t>
      </w:r>
      <w:r>
        <w:t>: Direct costs + indirects subtotal ($67,600.00 + $16,900.00 + $25,350.00 + $3,000.00 + $2,500.00 = $115,350.00). G&amp;A covers accounting, legal, insurance, and compliance costs.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G&amp;A</w:t>
      </w:r>
      <w:r>
        <w:t xml:space="preserve">: </w:t>
      </w:r>
      <w:r>
        <w:rPr>
          <w:b/>
        </w:rPr>
        <w:t>$11,535.00</w:t>
      </w:r>
      <w:r/>
    </w:p>
    <w:p>
      <w:pPr>
        <w:keepNext/>
        <w:spacing w:before="160" w:after="80"/>
      </w:pPr>
      <w:r>
        <w:rPr>
          <w:b/>
          <w:sz w:val="23"/>
        </w:rPr>
        <w:t>I. Fee / Profit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Rate</w:t>
      </w:r>
      <w:r>
        <w:t>: 10% of total costs before fee ($126,885.00).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Fee/Profit</w:t>
      </w:r>
      <w:r>
        <w:t xml:space="preserve">: </w:t>
      </w:r>
      <w:r>
        <w:rPr>
          <w:b/>
        </w:rPr>
        <w:t>$12,688.50</w:t>
      </w:r>
      <w:r/>
    </w:p>
    <w:p>
      <w:r>
        <w:t>---</w:t>
      </w:r>
    </w:p>
    <w:p>
      <w:pPr>
        <w:keepNext/>
        <w:spacing w:before="240" w:after="120"/>
      </w:pPr>
      <w:r>
        <w:rPr>
          <w:b/>
          <w:sz w:val="26"/>
        </w:rPr>
        <w:t>3. Phase I Option Period Detailed Budget (6 Months)</w:t>
      </w:r>
    </w:p>
    <w:p>
      <w:pPr>
        <w:keepNext/>
        <w:spacing w:before="160" w:after="80"/>
      </w:pPr>
      <w:r>
        <w:rPr>
          <w:b/>
          <w:sz w:val="23"/>
        </w:rPr>
        <w:t>A. Direct Labor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Bryan Tucker (Principal Investigator &amp; Lead AI Systems Engineer)</w:t>
      </w:r>
      <w:r>
        <w:t>: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Role</w:t>
      </w:r>
      <w:r>
        <w:t>: Directs expanded stress scenarios, Frontier_OS/Exciton-MoA native substrate calibration, transition planning, and interface documentation.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Level of Effort</w:t>
      </w:r>
      <w:r>
        <w:t>: 100% effort = 1,040 hours.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Hourly Rate</w:t>
      </w:r>
      <w:r>
        <w:t>: $65.00 / hour.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Direct Labor</w:t>
      </w:r>
      <w:r>
        <w:t xml:space="preserve">: </w:t>
      </w:r>
      <w:r>
        <w:rPr>
          <w:b/>
        </w:rPr>
        <w:t>$67,600.00</w:t>
      </w:r>
      <w:r/>
    </w:p>
    <w:p>
      <w:pPr>
        <w:keepNext/>
        <w:spacing w:before="160" w:after="80"/>
      </w:pPr>
      <w:r>
        <w:rPr>
          <w:b/>
          <w:sz w:val="23"/>
        </w:rPr>
        <w:t>B. Fringe Benefits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Rate</w:t>
      </w:r>
      <w:r>
        <w:t>: 20% of Direct Labor (adjusted for seasonal variance).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Fringe</w:t>
      </w:r>
      <w:r>
        <w:t xml:space="preserve">: </w:t>
      </w:r>
      <w:r>
        <w:rPr>
          <w:b/>
        </w:rPr>
        <w:t>$13,520.00</w:t>
      </w:r>
      <w:r/>
    </w:p>
    <w:p>
      <w:pPr>
        <w:keepNext/>
        <w:spacing w:before="160" w:after="80"/>
      </w:pPr>
      <w:r>
        <w:rPr>
          <w:b/>
          <w:sz w:val="23"/>
        </w:rPr>
        <w:t>C. Overhead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Rate</w:t>
      </w:r>
      <w:r>
        <w:t>: 10% of Direct Labor + Fringe Benefits ($81,120.00) (adjusted for baseline software stability).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Overhead</w:t>
      </w:r>
      <w:r>
        <w:t xml:space="preserve">: </w:t>
      </w:r>
      <w:r>
        <w:rPr>
          <w:b/>
        </w:rPr>
        <w:t>$8,112.00</w:t>
      </w:r>
      <w:r/>
    </w:p>
    <w:p>
      <w:pPr>
        <w:keepNext/>
        <w:spacing w:before="160" w:after="80"/>
      </w:pPr>
      <w:r>
        <w:rPr>
          <w:b/>
          <w:sz w:val="23"/>
        </w:rPr>
        <w:t>D. Direct Materials &amp; Supplies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Cloud Compute</w:t>
      </w:r>
      <w:r>
        <w:t>: $1,000.00 (large-scale Monte Carlo stress runs and validation sweeps).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Materials</w:t>
      </w:r>
      <w:r>
        <w:t xml:space="preserve">: </w:t>
      </w:r>
      <w:r>
        <w:rPr>
          <w:b/>
        </w:rPr>
        <w:t>$1,000.00</w:t>
      </w:r>
      <w:r/>
    </w:p>
    <w:p>
      <w:pPr>
        <w:keepNext/>
        <w:spacing w:before="160" w:after="80"/>
      </w:pPr>
      <w:r>
        <w:rPr>
          <w:b/>
          <w:sz w:val="23"/>
        </w:rPr>
        <w:t>E. Travel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Phase I Final Review &amp; Phase II Transition Meeting</w:t>
      </w:r>
      <w:r>
        <w:t>: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Destination</w:t>
      </w:r>
      <w:r>
        <w:t>: Navy sponsor location.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Duration</w:t>
      </w:r>
      <w:r>
        <w:t>: 2 days, 1 night.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Travelers</w:t>
      </w:r>
      <w:r>
        <w:t>: 1 person (Bryan Tucker).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Breakdown</w:t>
      </w:r>
      <w:r>
        <w:t>: Ground transportation/airfare ($500.00), lodging ($250.00/night = $250.00), per diem ($75.00/day = $150.00), ground transit/misc ($600.00).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Travel</w:t>
      </w:r>
      <w:r>
        <w:t xml:space="preserve">: </w:t>
      </w:r>
      <w:r>
        <w:rPr>
          <w:b/>
        </w:rPr>
        <w:t>$1,500.00</w:t>
      </w:r>
      <w:r/>
    </w:p>
    <w:p>
      <w:pPr>
        <w:keepNext/>
        <w:spacing w:before="160" w:after="80"/>
      </w:pPr>
      <w:r>
        <w:rPr>
          <w:b/>
          <w:sz w:val="23"/>
        </w:rPr>
        <w:t>F. Subcontractors &amp; Consultants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None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Subcontractors</w:t>
      </w:r>
      <w:r>
        <w:t xml:space="preserve">: </w:t>
      </w:r>
      <w:r>
        <w:rPr>
          <w:b/>
        </w:rPr>
        <w:t>$0.00</w:t>
      </w:r>
      <w:r/>
    </w:p>
    <w:p>
      <w:pPr>
        <w:keepNext/>
        <w:spacing w:before="160" w:after="80"/>
      </w:pPr>
      <w:r>
        <w:rPr>
          <w:b/>
          <w:sz w:val="23"/>
        </w:rPr>
        <w:t>G. General &amp; Administrative (G&amp;A)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Rate</w:t>
      </w:r>
      <w:r>
        <w:t>: 2.5% of Subtotal ($91,732.00).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Basis</w:t>
      </w:r>
      <w:r>
        <w:t>: Direct costs + indirects subtotal ($67,600.00 + $13,520.00 + $8,112.00 + $1,000.00 + $1,500.00 = $91,732.00).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G&amp;A</w:t>
      </w:r>
      <w:r>
        <w:t xml:space="preserve">: </w:t>
      </w:r>
      <w:r>
        <w:rPr>
          <w:b/>
        </w:rPr>
        <w:t>$2,293.30</w:t>
      </w:r>
      <w:r/>
    </w:p>
    <w:p>
      <w:pPr>
        <w:keepNext/>
        <w:spacing w:before="160" w:after="80"/>
      </w:pPr>
      <w:r>
        <w:rPr>
          <w:b/>
          <w:sz w:val="23"/>
        </w:rPr>
        <w:t>H. Fee / Profit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Rate</w:t>
      </w:r>
      <w:r>
        <w:t>: 6.35% of total costs before fee ($94,025.30).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Total Fee/Profit</w:t>
      </w:r>
      <w:r>
        <w:t xml:space="preserve">: </w:t>
      </w:r>
      <w:r>
        <w:rPr>
          <w:b/>
        </w:rPr>
        <w:t>$5,970.60</w:t>
      </w:r>
      <w:r/>
    </w:p>
    <w:p>
      <w:r>
        <w:t>---</w:t>
      </w:r>
    </w:p>
    <w:p>
      <w:pPr>
        <w:keepNext/>
        <w:spacing w:before="240" w:after="120"/>
      </w:pPr>
      <w:r>
        <w:rPr>
          <w:b/>
          <w:sz w:val="26"/>
        </w:rPr>
        <w:t>4. Cost Proposal Compliance Checklist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[x] Base Period Cap</w:t>
      </w:r>
      <w:r>
        <w:t xml:space="preserve">: Total Proposed Base Period cost of </w:t>
      </w:r>
      <w:r>
        <w:rPr>
          <w:b/>
        </w:rPr>
        <w:t>$139,573.50</w:t>
      </w:r>
      <w:r>
        <w:t xml:space="preserve"> is under the BAA limit of </w:t>
      </w:r>
      <w:r>
        <w:rPr>
          <w:b/>
        </w:rPr>
        <w:t>$140,000.00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[x] Option Period Cap</w:t>
      </w:r>
      <w:r>
        <w:t xml:space="preserve">: Total Proposed Option Period cost of </w:t>
      </w:r>
      <w:r>
        <w:rPr>
          <w:b/>
        </w:rPr>
        <w:t>$99,995.90</w:t>
      </w:r>
      <w:r>
        <w:t xml:space="preserve"> is under the BAA limit of </w:t>
      </w:r>
      <w:r>
        <w:rPr>
          <w:b/>
        </w:rPr>
        <w:t>$100,000.00</w:t>
      </w:r>
      <w:r>
        <w:t>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[x] Work Share Compliance</w:t>
      </w:r>
      <w:r>
        <w:t xml:space="preserve">: Techman Studios performs </w:t>
      </w:r>
      <w:r>
        <w:rPr>
          <w:b/>
        </w:rPr>
        <w:t>100%</w:t>
      </w:r>
      <w:r>
        <w:t xml:space="preserve"> of the project labor (exceeding the SBIR requirement that the small business perform at least two-thirds of the work).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[x] No Cost Sharing</w:t>
      </w:r>
      <w:r>
        <w:t>: No cost sharing or co-funding is proposed, matching the Navy SBIR guidelines.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[x] TABA Request</w:t>
      </w:r>
      <w:r>
        <w:t>: No TABA funding is requested, satisfying the option to omit TABA to maintain compliance and avoid portal submission errors.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[x] Consistency</w:t>
      </w:r>
      <w:r>
        <w:t>: Personnel names, roles, effort percentages, and SOW tasks match the details in the Technical Proposal (Volume 2) and SOW.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