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b/>
          <w:sz w:val="32"/>
        </w:rPr>
        <w:t>Volume 5: Supporting Documents Draft</w:t>
      </w:r>
    </w:p>
    <w:p>
      <w:r/>
      <w:r>
        <w:rPr>
          <w:b/>
        </w:rPr>
        <w:t>Topic</w:t>
      </w:r>
      <w:r>
        <w:t>: DON26BZ01-NV023 Observant-AI</w:t>
      </w:r>
    </w:p>
    <w:p>
      <w:r/>
      <w:r>
        <w:rPr>
          <w:b/>
        </w:rPr>
        <w:t>Offeror</w:t>
      </w:r>
      <w:r>
        <w:t>: Techman Studios</w:t>
      </w:r>
    </w:p>
    <w:p>
      <w:r/>
      <w:r>
        <w:rPr>
          <w:b/>
        </w:rPr>
        <w:t>Proposal Title</w:t>
      </w:r>
      <w:r>
        <w:t>: Observant-SOL</w:t>
      </w:r>
    </w:p>
    <w:p>
      <w:r/>
      <w:r>
        <w:rPr>
          <w:b/>
        </w:rPr>
        <w:t>Status</w:t>
      </w:r>
      <w:r>
        <w:t>: Draft compiled for Volume 5 e-form submissions and document uploads in DSIP.</w:t>
      </w:r>
    </w:p>
    <w:p>
      <w:r>
        <w:t>---</w:t>
      </w:r>
    </w:p>
    <w:p>
      <w:pPr>
        <w:keepNext/>
        <w:spacing w:before="240" w:after="120"/>
      </w:pPr>
      <w:r>
        <w:rPr>
          <w:b/>
          <w:sz w:val="26"/>
        </w:rPr>
        <w:t>1. Majority Ownership in Part</w:t>
      </w:r>
    </w:p>
    <w:p>
      <w:r>
        <w:t xml:space="preserve">At the time of submission, Techman Studios is a privately held small business. It is </w:t>
      </w:r>
      <w:r>
        <w:rPr>
          <w:b/>
        </w:rPr>
        <w:t>not</w:t>
      </w:r>
      <w:r>
        <w:t xml:space="preserve"> majority-owned or controlled by multiple venture capital operating companies (VCOCs), hedge funds (HFs), private equity firms (PEFs), or any combination of these. Therefore, the majority-ownership certification is not applicable.</w:t>
      </w:r>
    </w:p>
    <w:p>
      <w:r>
        <w:t>---</w:t>
      </w:r>
    </w:p>
    <w:p>
      <w:pPr>
        <w:keepNext/>
        <w:spacing w:before="240" w:after="120"/>
      </w:pPr>
      <w:r>
        <w:rPr>
          <w:b/>
          <w:sz w:val="26"/>
        </w:rPr>
        <w:t>2. Prior, Current or Pending Support of Similar Proposals or Awards</w:t>
      </w:r>
    </w:p>
    <w:p>
      <w:r>
        <w:t xml:space="preserve">Techman Studios has </w:t>
      </w:r>
      <w:r>
        <w:rPr>
          <w:b/>
        </w:rPr>
        <w:t>no</w:t>
      </w:r>
      <w:r>
        <w:t xml:space="preserve"> prior, current, or pending support related to SOL, Frontier_OS, Exciton-MoA, FrontierGrid-Observant, or any similar research. There is no technical overlap with any other federally funded efforts.</w:t>
      </w:r>
    </w:p>
    <w:p>
      <w:r>
        <w:t>---</w:t>
      </w:r>
    </w:p>
    <w:p>
      <w:pPr>
        <w:keepNext/>
        <w:spacing w:before="240" w:after="120"/>
      </w:pPr>
      <w:r>
        <w:rPr>
          <w:b/>
          <w:sz w:val="26"/>
        </w:rPr>
        <w:t>3. Data Rights</w:t>
      </w:r>
    </w:p>
    <w:p>
      <w:r>
        <w:t>Techman Studios asserts restrictions on the release, disclosure, or use of pre-existing technical data and computer software developed exclusively at private expense. In accordance with DFARS 252.227-7018, SBIR data rights are asserted for technical data and computer software developed under the SBIR contract.</w:t>
      </w:r>
    </w:p>
    <w:p>
      <w:pPr>
        <w:keepNext/>
        <w:spacing w:before="160" w:after="80"/>
      </w:pPr>
      <w:r>
        <w:rPr>
          <w:b/>
          <w:sz w:val="23"/>
        </w:rPr>
        <w:t>Technical Data and Computer Software Assertions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tcMar>
              <w:top w:w="80" w:type="dxa"/>
              <w:bottom w:w="80" w:type="dxa"/>
              <w:left w:w="120" w:type="dxa"/>
              <w:right w:w="120" w:type="dxa"/>
            </w:tcMar>
          </w:tcPr>
          <w:p>
            <w:pPr>
              <w:spacing w:after="40" w:line="240" w:lineRule="auto"/>
            </w:pPr>
            <w:r/>
            <w:r>
              <w:rPr>
                <w:b/>
              </w:rPr>
              <w:t>Technical data or software</w:t>
            </w:r>
          </w:p>
        </w:tc>
        <w:tc>
          <w:tcPr>
            <w:tcW w:type="dxa" w:w="2340"/>
            <w:shd w:fill="F2F2F2"/>
            <w:tcMar>
              <w:top w:w="80" w:type="dxa"/>
              <w:bottom w:w="80" w:type="dxa"/>
              <w:left w:w="120" w:type="dxa"/>
              <w:right w:w="120" w:type="dxa"/>
            </w:tcMar>
          </w:tcPr>
          <w:p>
            <w:pPr>
              <w:spacing w:after="40" w:line="240" w:lineRule="auto"/>
            </w:pPr>
            <w:r/>
            <w:r>
              <w:rPr>
                <w:b/>
              </w:rPr>
              <w:t>Basis for assertion</w:t>
            </w:r>
          </w:p>
        </w:tc>
        <w:tc>
          <w:tcPr>
            <w:tcW w:type="dxa" w:w="2340"/>
            <w:shd w:fill="F2F2F2"/>
            <w:tcMar>
              <w:top w:w="80" w:type="dxa"/>
              <w:bottom w:w="80" w:type="dxa"/>
              <w:left w:w="120" w:type="dxa"/>
              <w:right w:w="120" w:type="dxa"/>
            </w:tcMar>
          </w:tcPr>
          <w:p>
            <w:pPr>
              <w:spacing w:after="40" w:line="240" w:lineRule="auto"/>
            </w:pPr>
            <w:r/>
            <w:r>
              <w:rPr>
                <w:b/>
              </w:rPr>
              <w:t>Asserted rights category</w:t>
            </w:r>
          </w:p>
        </w:tc>
        <w:tc>
          <w:tcPr>
            <w:tcW w:type="dxa" w:w="2340"/>
            <w:shd w:fill="F2F2F2"/>
            <w:tcMar>
              <w:top w:w="80" w:type="dxa"/>
              <w:bottom w:w="80" w:type="dxa"/>
              <w:left w:w="120" w:type="dxa"/>
              <w:right w:w="120" w:type="dxa"/>
            </w:tcMar>
          </w:tcPr>
          <w:p>
            <w:pPr>
              <w:spacing w:after="40" w:line="240" w:lineRule="auto"/>
            </w:pPr>
            <w:r/>
            <w:r>
              <w:rPr>
                <w:b/>
              </w:rPr>
              <w:t>Responsible party</w:t>
            </w:r>
          </w:p>
        </w:tc>
      </w:tr>
      <w:tr>
        <w:tc>
          <w:tcPr>
            <w:tcW w:type="dxa" w:w="2340"/>
            <w:tcMar>
              <w:top w:w="80" w:type="dxa"/>
              <w:bottom w:w="80" w:type="dxa"/>
              <w:left w:w="120" w:type="dxa"/>
              <w:right w:w="120" w:type="dxa"/>
            </w:tcMar>
          </w:tcPr>
          <w:p>
            <w:pPr>
              <w:spacing w:after="40" w:line="240" w:lineRule="auto"/>
            </w:pPr>
            <w:r/>
            <w:r>
              <w:t>:---</w:t>
            </w:r>
          </w:p>
        </w:tc>
        <w:tc>
          <w:tcPr>
            <w:tcW w:type="dxa" w:w="2340"/>
            <w:tcMar>
              <w:top w:w="80" w:type="dxa"/>
              <w:bottom w:w="80" w:type="dxa"/>
              <w:left w:w="120" w:type="dxa"/>
              <w:right w:w="120" w:type="dxa"/>
            </w:tcMar>
          </w:tcPr>
          <w:p>
            <w:pPr>
              <w:spacing w:after="40" w:line="240" w:lineRule="auto"/>
            </w:pPr>
            <w:r/>
            <w:r>
              <w:t>:---</w:t>
            </w:r>
          </w:p>
        </w:tc>
        <w:tc>
          <w:tcPr>
            <w:tcW w:type="dxa" w:w="2340"/>
            <w:tcMar>
              <w:top w:w="80" w:type="dxa"/>
              <w:bottom w:w="80" w:type="dxa"/>
              <w:left w:w="120" w:type="dxa"/>
              <w:right w:w="120" w:type="dxa"/>
            </w:tcMar>
          </w:tcPr>
          <w:p>
            <w:pPr>
              <w:spacing w:after="40" w:line="240" w:lineRule="auto"/>
            </w:pPr>
            <w:r/>
            <w:r>
              <w:t>:---</w:t>
            </w:r>
          </w:p>
        </w:tc>
        <w:tc>
          <w:tcPr>
            <w:tcW w:type="dxa" w:w="2340"/>
            <w:tcMar>
              <w:top w:w="80" w:type="dxa"/>
              <w:bottom w:w="80" w:type="dxa"/>
              <w:left w:w="120" w:type="dxa"/>
              <w:right w:w="120" w:type="dxa"/>
            </w:tcMar>
          </w:tcPr>
          <w:p>
            <w:pPr>
              <w:spacing w:after="40" w:line="240" w:lineRule="auto"/>
            </w:pPr>
            <w:r/>
            <w:r>
              <w:t>:---</w:t>
            </w:r>
          </w:p>
        </w:tc>
      </w:tr>
      <w:tr>
        <w:tc>
          <w:tcPr>
            <w:tcW w:type="dxa" w:w="2340"/>
            <w:tcMar>
              <w:top w:w="80" w:type="dxa"/>
              <w:bottom w:w="80" w:type="dxa"/>
              <w:left w:w="120" w:type="dxa"/>
              <w:right w:w="120" w:type="dxa"/>
            </w:tcMar>
          </w:tcPr>
          <w:p>
            <w:pPr>
              <w:spacing w:after="40" w:line="240" w:lineRule="auto"/>
            </w:pPr>
            <w:r/>
            <w:r>
              <w:t>**SOL-derived semantic/context graph concepts**</w:t>
            </w:r>
          </w:p>
        </w:tc>
        <w:tc>
          <w:tcPr>
            <w:tcW w:type="dxa" w:w="2340"/>
            <w:tcMar>
              <w:top w:w="80" w:type="dxa"/>
              <w:bottom w:w="80" w:type="dxa"/>
              <w:left w:w="120" w:type="dxa"/>
              <w:right w:w="120" w:type="dxa"/>
            </w:tcMar>
          </w:tcPr>
          <w:p>
            <w:pPr>
              <w:spacing w:after="40" w:line="240" w:lineRule="auto"/>
            </w:pPr>
            <w:r/>
            <w:r>
              <w:t>Developed exclusively at private expense before award</w:t>
            </w:r>
          </w:p>
        </w:tc>
        <w:tc>
          <w:tcPr>
            <w:tcW w:type="dxa" w:w="2340"/>
            <w:tcMar>
              <w:top w:w="80" w:type="dxa"/>
              <w:bottom w:w="80" w:type="dxa"/>
              <w:left w:w="120" w:type="dxa"/>
              <w:right w:w="120" w:type="dxa"/>
            </w:tcMar>
          </w:tcPr>
          <w:p>
            <w:pPr>
              <w:spacing w:after="40" w:line="240" w:lineRule="auto"/>
            </w:pPr>
            <w:r/>
            <w:r>
              <w:t>Limited Rights (Technical Data) / Restricted Rights (Computer Software)</w:t>
            </w:r>
          </w:p>
        </w:tc>
        <w:tc>
          <w:tcPr>
            <w:tcW w:type="dxa" w:w="2340"/>
            <w:tcMar>
              <w:top w:w="80" w:type="dxa"/>
              <w:bottom w:w="80" w:type="dxa"/>
              <w:left w:w="120" w:type="dxa"/>
              <w:right w:w="120" w:type="dxa"/>
            </w:tcMar>
          </w:tcPr>
          <w:p>
            <w:pPr>
              <w:spacing w:after="40" w:line="240" w:lineRule="auto"/>
            </w:pPr>
            <w:r/>
            <w:r>
              <w:t>Techman Studios</w:t>
            </w:r>
          </w:p>
        </w:tc>
      </w:tr>
      <w:tr>
        <w:tc>
          <w:tcPr>
            <w:tcW w:type="dxa" w:w="2340"/>
            <w:tcMar>
              <w:top w:w="80" w:type="dxa"/>
              <w:bottom w:w="80" w:type="dxa"/>
              <w:left w:w="120" w:type="dxa"/>
              <w:right w:w="120" w:type="dxa"/>
            </w:tcMar>
          </w:tcPr>
          <w:p>
            <w:pPr>
              <w:spacing w:after="40" w:line="240" w:lineRule="auto"/>
            </w:pPr>
            <w:r/>
            <w:r>
              <w:t>**Frontier_OS / Exciton-MoA adapter mapping**</w:t>
            </w:r>
          </w:p>
        </w:tc>
        <w:tc>
          <w:tcPr>
            <w:tcW w:type="dxa" w:w="2340"/>
            <w:tcMar>
              <w:top w:w="80" w:type="dxa"/>
              <w:bottom w:w="80" w:type="dxa"/>
              <w:left w:w="120" w:type="dxa"/>
              <w:right w:w="120" w:type="dxa"/>
            </w:tcMar>
          </w:tcPr>
          <w:p>
            <w:pPr>
              <w:spacing w:after="40" w:line="240" w:lineRule="auto"/>
            </w:pPr>
            <w:r/>
            <w:r>
              <w:t>Developed exclusively at private expense before award</w:t>
            </w:r>
          </w:p>
        </w:tc>
        <w:tc>
          <w:tcPr>
            <w:tcW w:type="dxa" w:w="2340"/>
            <w:tcMar>
              <w:top w:w="80" w:type="dxa"/>
              <w:bottom w:w="80" w:type="dxa"/>
              <w:left w:w="120" w:type="dxa"/>
              <w:right w:w="120" w:type="dxa"/>
            </w:tcMar>
          </w:tcPr>
          <w:p>
            <w:pPr>
              <w:spacing w:after="40" w:line="240" w:lineRule="auto"/>
            </w:pPr>
            <w:r/>
            <w:r>
              <w:t>Limited Rights (Technical Data) / Restricted Rights (Computer Software)</w:t>
            </w:r>
          </w:p>
        </w:tc>
        <w:tc>
          <w:tcPr>
            <w:tcW w:type="dxa" w:w="2340"/>
            <w:tcMar>
              <w:top w:w="80" w:type="dxa"/>
              <w:bottom w:w="80" w:type="dxa"/>
              <w:left w:w="120" w:type="dxa"/>
              <w:right w:w="120" w:type="dxa"/>
            </w:tcMar>
          </w:tcPr>
          <w:p>
            <w:pPr>
              <w:spacing w:after="40" w:line="240" w:lineRule="auto"/>
            </w:pPr>
            <w:r/>
            <w:r>
              <w:t>Techman Studios</w:t>
            </w:r>
          </w:p>
        </w:tc>
      </w:tr>
      <w:tr>
        <w:tc>
          <w:tcPr>
            <w:tcW w:type="dxa" w:w="2340"/>
            <w:tcMar>
              <w:top w:w="80" w:type="dxa"/>
              <w:bottom w:w="80" w:type="dxa"/>
              <w:left w:w="120" w:type="dxa"/>
              <w:right w:w="120" w:type="dxa"/>
            </w:tcMar>
          </w:tcPr>
          <w:p>
            <w:pPr>
              <w:spacing w:after="40" w:line="240" w:lineRule="auto"/>
            </w:pPr>
            <w:r/>
            <w:r>
              <w:t>**Synthetic scenario generator methodology**</w:t>
            </w:r>
          </w:p>
        </w:tc>
        <w:tc>
          <w:tcPr>
            <w:tcW w:type="dxa" w:w="2340"/>
            <w:tcMar>
              <w:top w:w="80" w:type="dxa"/>
              <w:bottom w:w="80" w:type="dxa"/>
              <w:left w:w="120" w:type="dxa"/>
              <w:right w:w="120" w:type="dxa"/>
            </w:tcMar>
          </w:tcPr>
          <w:p>
            <w:pPr>
              <w:spacing w:after="40" w:line="240" w:lineRule="auto"/>
            </w:pPr>
            <w:r/>
            <w:r>
              <w:t>Proposed SBIR development incorporating pre-existing proprietary concepts</w:t>
            </w:r>
          </w:p>
        </w:tc>
        <w:tc>
          <w:tcPr>
            <w:tcW w:type="dxa" w:w="2340"/>
            <w:tcMar>
              <w:top w:w="80" w:type="dxa"/>
              <w:bottom w:w="80" w:type="dxa"/>
              <w:left w:w="120" w:type="dxa"/>
              <w:right w:w="120" w:type="dxa"/>
            </w:tcMar>
          </w:tcPr>
          <w:p>
            <w:pPr>
              <w:spacing w:after="40" w:line="240" w:lineRule="auto"/>
            </w:pPr>
            <w:r/>
            <w:r>
              <w:t>SBIR Data Rights</w:t>
            </w:r>
          </w:p>
        </w:tc>
        <w:tc>
          <w:tcPr>
            <w:tcW w:type="dxa" w:w="2340"/>
            <w:tcMar>
              <w:top w:w="80" w:type="dxa"/>
              <w:bottom w:w="80" w:type="dxa"/>
              <w:left w:w="120" w:type="dxa"/>
              <w:right w:w="120" w:type="dxa"/>
            </w:tcMar>
          </w:tcPr>
          <w:p>
            <w:pPr>
              <w:spacing w:after="40" w:line="240" w:lineRule="auto"/>
            </w:pPr>
            <w:r/>
            <w:r>
              <w:t>Techman Studios</w:t>
            </w:r>
          </w:p>
        </w:tc>
      </w:tr>
      <w:tr>
        <w:tc>
          <w:tcPr>
            <w:tcW w:type="dxa" w:w="2340"/>
            <w:tcMar>
              <w:top w:w="80" w:type="dxa"/>
              <w:bottom w:w="80" w:type="dxa"/>
              <w:left w:w="120" w:type="dxa"/>
              <w:right w:w="120" w:type="dxa"/>
            </w:tcMar>
          </w:tcPr>
          <w:p>
            <w:pPr>
              <w:spacing w:after="40" w:line="240" w:lineRule="auto"/>
            </w:pPr>
            <w:r/>
            <w:r>
              <w:t>**Risk scoring and escalation controls**</w:t>
            </w:r>
          </w:p>
        </w:tc>
        <w:tc>
          <w:tcPr>
            <w:tcW w:type="dxa" w:w="2340"/>
            <w:tcMar>
              <w:top w:w="80" w:type="dxa"/>
              <w:bottom w:w="80" w:type="dxa"/>
              <w:left w:w="120" w:type="dxa"/>
              <w:right w:w="120" w:type="dxa"/>
            </w:tcMar>
          </w:tcPr>
          <w:p>
            <w:pPr>
              <w:spacing w:after="40" w:line="240" w:lineRule="auto"/>
            </w:pPr>
            <w:r/>
            <w:r>
              <w:t>Proposed SBIR development</w:t>
            </w:r>
          </w:p>
        </w:tc>
        <w:tc>
          <w:tcPr>
            <w:tcW w:type="dxa" w:w="2340"/>
            <w:tcMar>
              <w:top w:w="80" w:type="dxa"/>
              <w:bottom w:w="80" w:type="dxa"/>
              <w:left w:w="120" w:type="dxa"/>
              <w:right w:w="120" w:type="dxa"/>
            </w:tcMar>
          </w:tcPr>
          <w:p>
            <w:pPr>
              <w:spacing w:after="40" w:line="240" w:lineRule="auto"/>
            </w:pPr>
            <w:r/>
            <w:r>
              <w:t>SBIR Data Rights</w:t>
            </w:r>
          </w:p>
        </w:tc>
        <w:tc>
          <w:tcPr>
            <w:tcW w:type="dxa" w:w="2340"/>
            <w:tcMar>
              <w:top w:w="80" w:type="dxa"/>
              <w:bottom w:w="80" w:type="dxa"/>
              <w:left w:w="120" w:type="dxa"/>
              <w:right w:w="120" w:type="dxa"/>
            </w:tcMar>
          </w:tcPr>
          <w:p>
            <w:pPr>
              <w:spacing w:after="40" w:line="240" w:lineRule="auto"/>
            </w:pPr>
            <w:r/>
            <w:r>
              <w:t>Techman Studios</w:t>
            </w:r>
          </w:p>
        </w:tc>
      </w:tr>
      <w:tr>
        <w:tc>
          <w:tcPr>
            <w:tcW w:type="dxa" w:w="2340"/>
            <w:tcMar>
              <w:top w:w="80" w:type="dxa"/>
              <w:bottom w:w="80" w:type="dxa"/>
              <w:left w:w="120" w:type="dxa"/>
              <w:right w:w="120" w:type="dxa"/>
            </w:tcMar>
          </w:tcPr>
          <w:p>
            <w:pPr>
              <w:spacing w:after="40" w:line="240" w:lineRule="auto"/>
            </w:pPr>
            <w:r/>
            <w:r>
              <w:t>**Replay/provenance/explanation templates**</w:t>
            </w:r>
          </w:p>
        </w:tc>
        <w:tc>
          <w:tcPr>
            <w:tcW w:type="dxa" w:w="2340"/>
            <w:tcMar>
              <w:top w:w="80" w:type="dxa"/>
              <w:bottom w:w="80" w:type="dxa"/>
              <w:left w:w="120" w:type="dxa"/>
              <w:right w:w="120" w:type="dxa"/>
            </w:tcMar>
          </w:tcPr>
          <w:p>
            <w:pPr>
              <w:spacing w:after="40" w:line="240" w:lineRule="auto"/>
            </w:pPr>
            <w:r/>
            <w:r>
              <w:t>Proposed SBIR development</w:t>
            </w:r>
          </w:p>
        </w:tc>
        <w:tc>
          <w:tcPr>
            <w:tcW w:type="dxa" w:w="2340"/>
            <w:tcMar>
              <w:top w:w="80" w:type="dxa"/>
              <w:bottom w:w="80" w:type="dxa"/>
              <w:left w:w="120" w:type="dxa"/>
              <w:right w:w="120" w:type="dxa"/>
            </w:tcMar>
          </w:tcPr>
          <w:p>
            <w:pPr>
              <w:spacing w:after="40" w:line="240" w:lineRule="auto"/>
            </w:pPr>
            <w:r/>
            <w:r>
              <w:t>SBIR Data Rights</w:t>
            </w:r>
          </w:p>
        </w:tc>
        <w:tc>
          <w:tcPr>
            <w:tcW w:type="dxa" w:w="2340"/>
            <w:tcMar>
              <w:top w:w="80" w:type="dxa"/>
              <w:bottom w:w="80" w:type="dxa"/>
              <w:left w:w="120" w:type="dxa"/>
              <w:right w:w="120" w:type="dxa"/>
            </w:tcMar>
          </w:tcPr>
          <w:p>
            <w:pPr>
              <w:spacing w:after="40" w:line="240" w:lineRule="auto"/>
            </w:pPr>
            <w:r/>
            <w:r>
              <w:t>Techman Studios</w:t>
            </w:r>
          </w:p>
        </w:tc>
      </w:tr>
      <w:tr>
        <w:tc>
          <w:tcPr>
            <w:tcW w:type="dxa" w:w="2340"/>
            <w:tcMar>
              <w:top w:w="80" w:type="dxa"/>
              <w:bottom w:w="80" w:type="dxa"/>
              <w:left w:w="120" w:type="dxa"/>
              <w:right w:w="120" w:type="dxa"/>
            </w:tcMar>
          </w:tcPr>
          <w:p>
            <w:pPr>
              <w:spacing w:after="40" w:line="240" w:lineRule="auto"/>
            </w:pPr>
            <w:r/>
            <w:r>
              <w:t>**Metrics harness and baseline comparison**</w:t>
            </w:r>
          </w:p>
        </w:tc>
        <w:tc>
          <w:tcPr>
            <w:tcW w:type="dxa" w:w="2340"/>
            <w:tcMar>
              <w:top w:w="80" w:type="dxa"/>
              <w:bottom w:w="80" w:type="dxa"/>
              <w:left w:w="120" w:type="dxa"/>
              <w:right w:w="120" w:type="dxa"/>
            </w:tcMar>
          </w:tcPr>
          <w:p>
            <w:pPr>
              <w:spacing w:after="40" w:line="240" w:lineRule="auto"/>
            </w:pPr>
            <w:r/>
            <w:r>
              <w:t>Proposed SBIR development</w:t>
            </w:r>
          </w:p>
        </w:tc>
        <w:tc>
          <w:tcPr>
            <w:tcW w:type="dxa" w:w="2340"/>
            <w:tcMar>
              <w:top w:w="80" w:type="dxa"/>
              <w:bottom w:w="80" w:type="dxa"/>
              <w:left w:w="120" w:type="dxa"/>
              <w:right w:w="120" w:type="dxa"/>
            </w:tcMar>
          </w:tcPr>
          <w:p>
            <w:pPr>
              <w:spacing w:after="40" w:line="240" w:lineRule="auto"/>
            </w:pPr>
            <w:r/>
            <w:r>
              <w:t>SBIR Data Rights</w:t>
            </w:r>
          </w:p>
        </w:tc>
        <w:tc>
          <w:tcPr>
            <w:tcW w:type="dxa" w:w="2340"/>
            <w:tcMar>
              <w:top w:w="80" w:type="dxa"/>
              <w:bottom w:w="80" w:type="dxa"/>
              <w:left w:w="120" w:type="dxa"/>
              <w:right w:w="120" w:type="dxa"/>
            </w:tcMar>
          </w:tcPr>
          <w:p>
            <w:pPr>
              <w:spacing w:after="40" w:line="240" w:lineRule="auto"/>
            </w:pPr>
            <w:r/>
            <w:r>
              <w:t>Techman Studios</w:t>
            </w:r>
          </w:p>
        </w:tc>
      </w:tr>
    </w:tbl>
    <w:p>
      <w:r/>
      <w:r>
        <w:rPr>
          <w:i/>
        </w:rPr>
        <w:t>Markings: Techman Studios will mark each proprietary page and sheet of data in accordance with the legends defined in the Navy instructions.</w:t>
      </w:r>
      <w:r/>
    </w:p>
    <w:p>
      <w:r>
        <w:t>---</w:t>
      </w:r>
    </w:p>
    <w:p>
      <w:pPr>
        <w:keepNext/>
        <w:spacing w:before="240" w:after="120"/>
      </w:pPr>
      <w:r>
        <w:rPr>
          <w:b/>
          <w:sz w:val="26"/>
        </w:rPr>
        <w:t>4. Foreign Citizens</w:t>
      </w:r>
    </w:p>
    <w:p>
      <w:r>
        <w:t xml:space="preserve">All personnel proposed to perform work on this project are </w:t>
      </w:r>
      <w:r>
        <w:rPr>
          <w:b/>
        </w:rPr>
        <w:t>United States citizens</w:t>
      </w:r>
      <w:r>
        <w:t>. No foreign citizens or foreign nationals are proposed to perform work on either the Phase I Base or Option periods.</w:t>
      </w:r>
    </w:p>
    <w:p>
      <w:r>
        <w:t>---</w:t>
      </w:r>
    </w:p>
    <w:p>
      <w:pPr>
        <w:keepNext/>
        <w:spacing w:before="240" w:after="120"/>
      </w:pPr>
      <w:r>
        <w:rPr>
          <w:b/>
          <w:sz w:val="26"/>
        </w:rPr>
        <w:t>5. Additional Cost Information (TABA Request)</w:t>
      </w:r>
    </w:p>
    <w:p>
      <w:r>
        <w:t xml:space="preserve">No Technical and Business Assistance (TABA) funding is requested for either the Phase I Base or Option periods. The TABA amount requested is </w:t>
      </w:r>
      <w:r>
        <w:rPr>
          <w:b/>
        </w:rPr>
        <w:t>$0.00</w:t>
      </w:r>
      <w:r>
        <w:t>.</w:t>
      </w:r>
    </w:p>
    <w:p>
      <w:r>
        <w:t>---</w:t>
      </w:r>
    </w:p>
    <w:p>
      <w:pPr>
        <w:keepNext/>
        <w:spacing w:before="240" w:after="120"/>
      </w:pPr>
      <w:r>
        <w:rPr>
          <w:b/>
          <w:sz w:val="26"/>
        </w:rPr>
        <w:t>6. SBIR/STTR Funding Agreement Certification</w:t>
      </w:r>
    </w:p>
    <w:p>
      <w:r>
        <w:t>Techman Studios will complete the electronic certification in DSIP. The Corporate Official (Bryan Tucker, CEO) confirms compliance with all SBA and Navy size, ownership, work share, and performance requirements for the duration of the contract.</w:t>
      </w:r>
    </w:p>
    <w:p>
      <w:r>
        <w:t>---</w:t>
      </w:r>
    </w:p>
    <w:p>
      <w:pPr>
        <w:keepNext/>
        <w:spacing w:before="240" w:after="120"/>
      </w:pPr>
      <w:r>
        <w:rPr>
          <w:b/>
          <w:sz w:val="26"/>
        </w:rPr>
        <w:t>7. Allocation of Rights Between Prime and Subcontractor</w:t>
      </w:r>
    </w:p>
    <w:p>
      <w:r>
        <w:t xml:space="preserve">Not applicable. Techman Studios is performing </w:t>
      </w:r>
      <w:r>
        <w:rPr>
          <w:b/>
        </w:rPr>
        <w:t>100% of the project labor</w:t>
      </w:r>
      <w:r>
        <w:t xml:space="preserve"> during both the Base and Option periods, satisfying the SBIR requirement that the small business perform at least two-thirds of the work. No subcontractors or consultants are proposed.</w:t>
      </w:r>
    </w:p>
    <w:p>
      <w:r>
        <w:t>---</w:t>
      </w:r>
    </w:p>
    <w:p>
      <w:pPr>
        <w:keepNext/>
        <w:spacing w:before="240" w:after="120"/>
      </w:pPr>
      <w:r>
        <w:rPr>
          <w:b/>
          <w:sz w:val="26"/>
        </w:rPr>
        <w:t>8. Disclosure of Information (DFARS 252.204-7000)</w:t>
      </w:r>
    </w:p>
    <w:p>
      <w:pPr>
        <w:keepNext/>
        <w:spacing w:before="160" w:after="80"/>
      </w:pPr>
      <w:r>
        <w:rPr>
          <w:b/>
          <w:sz w:val="23"/>
        </w:rPr>
        <w:t>Fundamental Research Disclosure</w:t>
      </w:r>
    </w:p>
    <w:p>
      <w:r>
        <w:t xml:space="preserve">Techman Studios requests to identify the proposed Phase I research as </w:t>
      </w:r>
      <w:r>
        <w:rPr>
          <w:b/>
        </w:rPr>
        <w:t>fundamental research</w:t>
      </w:r>
      <w:r>
        <w:t xml:space="preserve"> to eliminate the requirements for prior approval of public disclosure of information (DFARS 252.204-7000).</w:t>
      </w:r>
    </w:p>
    <w:p>
      <w:pPr>
        <w:pStyle w:val="ListBullet"/>
        <w:spacing w:after="80"/>
      </w:pPr>
      <w:r>
        <w:t xml:space="preserve">  </w:t>
      </w:r>
      <w:r>
        <w:rPr>
          <w:b/>
        </w:rPr>
        <w:t>Objective</w:t>
      </w:r>
      <w:r>
        <w:t>: Demonstrate the mathematical and software feasibility of using a shared contextual state-space for multi-agent event fusion and explanation.</w:t>
      </w:r>
    </w:p>
    <w:p>
      <w:pPr>
        <w:pStyle w:val="ListBullet"/>
        <w:spacing w:after="80"/>
      </w:pPr>
      <w:r>
        <w:t xml:space="preserve">  </w:t>
      </w:r>
      <w:r>
        <w:rPr>
          <w:b/>
        </w:rPr>
        <w:t>Scope of Work</w:t>
      </w:r>
      <w:r>
        <w:t>: The Phase I scope consists entirely of unclassified software simulations, synthetic scenario generation, and baseline comparisons. It does not involve real-world mission data, classified systems, or operational targeting.</w:t>
      </w:r>
    </w:p>
    <w:p>
      <w:pPr>
        <w:pStyle w:val="ListBullet"/>
        <w:spacing w:after="80"/>
      </w:pPr>
      <w:r>
        <w:t xml:space="preserve">  </w:t>
      </w:r>
      <w:r>
        <w:rPr>
          <w:b/>
        </w:rPr>
        <w:t>Justification</w:t>
      </w:r>
      <w:r>
        <w:t>: The research is basic and applied scientific inquiry conducted at private facilities, intended for eventual dissemination in scientific publications and academic reviews. It does not contain proprietary military secrets or ITAR-controlled operational parameters.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