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PARAGON NIGERIA</w:t>
      </w:r>
    </w:p>
    <w:p>
      <w:pPr>
        <w:jc w:val="center"/>
      </w:pPr>
      <w:r>
        <w:rPr>
          <w:b/>
          <w:sz w:val="36"/>
        </w:rPr>
        <w:t>WORLD-CLASS WEBSITE TRANSFORMATION &amp; DIGITAL PLATFORM BRIEF</w:t>
      </w:r>
    </w:p>
    <w:p>
      <w:pPr>
        <w:jc w:val="center"/>
      </w:pPr>
      <w:r>
        <w:rPr>
          <w:sz w:val="22"/>
        </w:rPr>
        <w:t>Updated Strategic Direction • September 2026</w:t>
      </w:r>
    </w:p>
    <w:p/>
    <w:p>
      <w:pPr>
        <w:jc w:val="center"/>
      </w:pPr>
      <w:r>
        <w:rPr>
          <w:b/>
          <w:sz w:val="28"/>
        </w:rPr>
        <w:t>Building Enterprises. Connecting Communities. Creating Opportunity.</w:t>
      </w:r>
    </w:p>
    <w:p>
      <w:r>
        <w:br w:type="page"/>
      </w:r>
    </w:p>
    <w:p>
      <w:pPr>
        <w:pStyle w:val="Heading1"/>
      </w:pPr>
      <w:r>
        <w:t>1. Executive Direction</w:t>
      </w:r>
    </w:p>
    <w:p>
      <w:r>
        <w:t>The Paragon Nigeria website should be repositioned from a largely corporate information site into a modern enterprise, innovation, learning and community platform. The new experience should make Paragon visibly independent, multi-partner and programme-driven, while providing clear routes for entrepreneurs, learners, partners, funders and community members to participate.</w:t>
      </w:r>
    </w:p>
    <w:p>
      <w:r>
        <w:t>A major strategic change is to remove the DBN-heavy positioning from the primary brand narrative. DBN may remain visible on specific historical or active project pages where relevant, but it should not dominate the homepage, navigation, visual identity or overall perception of Paragon.</w:t>
      </w:r>
    </w:p>
    <w:p>
      <w:pPr>
        <w:pStyle w:val="Heading1"/>
      </w:pPr>
      <w:r>
        <w:t>2. Replace DBN-Heavy Positioning With a Broader Programme Portfolio</w:t>
      </w:r>
    </w:p>
    <w:p>
      <w:r>
        <w:t>The homepage and main programme architecture should foreground Paragon's broader portfolio and current ecosystem work. Priority programme stories should include 3MTT, 3MTT DeepTech, the Airtel + 3MTT programme and other active or completed Paragon programmes, subject to confirmed programme names, partner permissions and brand guidelines.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9"/>
              </w:rPr>
              <w:t>Programme / Initiative</w:t>
            </w:r>
          </w:p>
        </w:tc>
        <w:tc>
          <w:tcPr>
            <w:tcW w:type="dxa" w:w="2556"/>
            <w:vAlign w:val="center"/>
            <w:shd w:fill="D9EAF7"/>
          </w:tcPr>
          <w:p>
            <w:r/>
            <w:r>
              <w:rPr>
                <w:b/>
                <w:sz w:val="19"/>
              </w:rPr>
              <w:t>Website Role</w:t>
            </w:r>
          </w:p>
        </w:tc>
        <w:tc>
          <w:tcPr>
            <w:tcW w:type="dxa" w:w="2556"/>
            <w:vAlign w:val="center"/>
            <w:shd w:fill="D9EAF7"/>
          </w:tcPr>
          <w:p>
            <w:r/>
            <w:r>
              <w:rPr>
                <w:b/>
                <w:sz w:val="19"/>
              </w:rPr>
              <w:t>Primary CTA</w:t>
            </w:r>
          </w:p>
        </w:tc>
        <w:tc>
          <w:tcPr>
            <w:tcW w:type="dxa" w:w="2556"/>
            <w:vAlign w:val="center"/>
            <w:shd w:fill="D9EAF7"/>
          </w:tcPr>
          <w:p>
            <w:r/>
            <w:r>
              <w:rPr>
                <w:b/>
                <w:sz w:val="19"/>
              </w:rPr>
              <w:t>Content to Show</w:t>
            </w:r>
          </w:p>
        </w:tc>
      </w:tr>
      <w:tr>
        <w:tc>
          <w:tcPr>
            <w:tcW w:type="dxa" w:w="2556"/>
            <w:vAlign w:val="center"/>
          </w:tcPr>
          <w:p>
            <w:r/>
            <w:r>
              <w:rPr>
                <w:b w:val="0"/>
                <w:sz w:val="19"/>
              </w:rPr>
              <w:t>3MTT</w:t>
            </w:r>
          </w:p>
        </w:tc>
        <w:tc>
          <w:tcPr>
            <w:tcW w:type="dxa" w:w="2556"/>
            <w:vAlign w:val="center"/>
          </w:tcPr>
          <w:p>
            <w:r/>
            <w:r>
              <w:rPr>
                <w:b w:val="0"/>
                <w:sz w:val="19"/>
              </w:rPr>
              <w:t>Flagship skills / talent story</w:t>
            </w:r>
          </w:p>
        </w:tc>
        <w:tc>
          <w:tcPr>
            <w:tcW w:type="dxa" w:w="2556"/>
            <w:vAlign w:val="center"/>
          </w:tcPr>
          <w:p>
            <w:r/>
            <w:r>
              <w:rPr>
                <w:b w:val="0"/>
                <w:sz w:val="19"/>
              </w:rPr>
              <w:t>Explore / Join</w:t>
            </w:r>
          </w:p>
        </w:tc>
        <w:tc>
          <w:tcPr>
            <w:tcW w:type="dxa" w:w="2556"/>
            <w:vAlign w:val="center"/>
          </w:tcPr>
          <w:p>
            <w:r/>
            <w:r>
              <w:rPr>
                <w:b w:val="0"/>
                <w:sz w:val="19"/>
              </w:rPr>
              <w:t>Programme overview, learner stories, training, outcomes, photos, partners</w:t>
            </w:r>
          </w:p>
        </w:tc>
      </w:tr>
      <w:tr>
        <w:tc>
          <w:tcPr>
            <w:tcW w:type="dxa" w:w="2556"/>
            <w:vAlign w:val="center"/>
          </w:tcPr>
          <w:p>
            <w:r/>
            <w:r>
              <w:rPr>
                <w:b w:val="0"/>
                <w:sz w:val="19"/>
              </w:rPr>
              <w:t>3MTT DeepTech</w:t>
            </w:r>
          </w:p>
        </w:tc>
        <w:tc>
          <w:tcPr>
            <w:tcW w:type="dxa" w:w="2556"/>
            <w:vAlign w:val="center"/>
          </w:tcPr>
          <w:p>
            <w:r/>
            <w:r>
              <w:rPr>
                <w:b w:val="0"/>
                <w:sz w:val="19"/>
              </w:rPr>
              <w:t>Deep-tech innovation pathway</w:t>
            </w:r>
          </w:p>
        </w:tc>
        <w:tc>
          <w:tcPr>
            <w:tcW w:type="dxa" w:w="2556"/>
            <w:vAlign w:val="center"/>
          </w:tcPr>
          <w:p>
            <w:r/>
            <w:r>
              <w:rPr>
                <w:b w:val="0"/>
                <w:sz w:val="19"/>
              </w:rPr>
              <w:t>Explore / Apply</w:t>
            </w:r>
          </w:p>
        </w:tc>
        <w:tc>
          <w:tcPr>
            <w:tcW w:type="dxa" w:w="2556"/>
            <w:vAlign w:val="center"/>
          </w:tcPr>
          <w:p>
            <w:r/>
            <w:r>
              <w:rPr>
                <w:b w:val="0"/>
                <w:sz w:val="19"/>
              </w:rPr>
              <w:t>Deep-tech themes, cohorts, projects, mentors, outcomes, media</w:t>
            </w:r>
          </w:p>
        </w:tc>
      </w:tr>
      <w:tr>
        <w:tc>
          <w:tcPr>
            <w:tcW w:type="dxa" w:w="2556"/>
            <w:vAlign w:val="center"/>
          </w:tcPr>
          <w:p>
            <w:r/>
            <w:r>
              <w:rPr>
                <w:b w:val="0"/>
                <w:sz w:val="19"/>
              </w:rPr>
              <w:t>Airtel + 3MTT Programme</w:t>
            </w:r>
          </w:p>
        </w:tc>
        <w:tc>
          <w:tcPr>
            <w:tcW w:type="dxa" w:w="2556"/>
            <w:vAlign w:val="center"/>
          </w:tcPr>
          <w:p>
            <w:r/>
            <w:r>
              <w:rPr>
                <w:b w:val="0"/>
                <w:sz w:val="19"/>
              </w:rPr>
              <w:t>Partner-led digital opportunity</w:t>
            </w:r>
          </w:p>
        </w:tc>
        <w:tc>
          <w:tcPr>
            <w:tcW w:type="dxa" w:w="2556"/>
            <w:vAlign w:val="center"/>
          </w:tcPr>
          <w:p>
            <w:r/>
            <w:r>
              <w:rPr>
                <w:b w:val="0"/>
                <w:sz w:val="19"/>
              </w:rPr>
              <w:t>Learn More / Participate</w:t>
            </w:r>
          </w:p>
        </w:tc>
        <w:tc>
          <w:tcPr>
            <w:tcW w:type="dxa" w:w="2556"/>
            <w:vAlign w:val="center"/>
          </w:tcPr>
          <w:p>
            <w:r/>
            <w:r>
              <w:rPr>
                <w:b w:val="0"/>
                <w:sz w:val="19"/>
              </w:rPr>
              <w:t>Programme journey, Airtel and 3MTT branding, impact, participant stories</w:t>
            </w:r>
          </w:p>
        </w:tc>
      </w:tr>
      <w:tr>
        <w:tc>
          <w:tcPr>
            <w:tcW w:type="dxa" w:w="2556"/>
            <w:vAlign w:val="center"/>
          </w:tcPr>
          <w:p>
            <w:r/>
            <w:r>
              <w:rPr>
                <w:b w:val="0"/>
                <w:sz w:val="19"/>
              </w:rPr>
              <w:t>Gateway Programme</w:t>
            </w:r>
          </w:p>
        </w:tc>
        <w:tc>
          <w:tcPr>
            <w:tcW w:type="dxa" w:w="2556"/>
            <w:vAlign w:val="center"/>
          </w:tcPr>
          <w:p>
            <w:r/>
            <w:r>
              <w:rPr>
                <w:b w:val="0"/>
                <w:sz w:val="19"/>
              </w:rPr>
              <w:t>Entrepreneurship / opportunity pathway</w:t>
            </w:r>
          </w:p>
        </w:tc>
        <w:tc>
          <w:tcPr>
            <w:tcW w:type="dxa" w:w="2556"/>
            <w:vAlign w:val="center"/>
          </w:tcPr>
          <w:p>
            <w:r/>
            <w:r>
              <w:rPr>
                <w:b w:val="0"/>
                <w:sz w:val="19"/>
              </w:rPr>
              <w:t>Apply / Join</w:t>
            </w:r>
          </w:p>
        </w:tc>
        <w:tc>
          <w:tcPr>
            <w:tcW w:type="dxa" w:w="2556"/>
            <w:vAlign w:val="center"/>
          </w:tcPr>
          <w:p>
            <w:r/>
            <w:r>
              <w:rPr>
                <w:b w:val="0"/>
                <w:sz w:val="19"/>
              </w:rPr>
              <w:t>Eligibility, benefits, timeline, application, alumni</w:t>
            </w:r>
          </w:p>
        </w:tc>
      </w:tr>
      <w:tr>
        <w:tc>
          <w:tcPr>
            <w:tcW w:type="dxa" w:w="2556"/>
            <w:vAlign w:val="center"/>
          </w:tcPr>
          <w:p>
            <w:r/>
            <w:r>
              <w:rPr>
                <w:b w:val="0"/>
                <w:sz w:val="19"/>
              </w:rPr>
              <w:t>Innovation Challenges</w:t>
            </w:r>
          </w:p>
        </w:tc>
        <w:tc>
          <w:tcPr>
            <w:tcW w:type="dxa" w:w="2556"/>
            <w:vAlign w:val="center"/>
          </w:tcPr>
          <w:p>
            <w:r/>
            <w:r>
              <w:rPr>
                <w:b w:val="0"/>
                <w:sz w:val="19"/>
              </w:rPr>
              <w:t>Innovation discovery and competitions</w:t>
            </w:r>
          </w:p>
        </w:tc>
        <w:tc>
          <w:tcPr>
            <w:tcW w:type="dxa" w:w="2556"/>
            <w:vAlign w:val="center"/>
          </w:tcPr>
          <w:p>
            <w:r/>
            <w:r>
              <w:rPr>
                <w:b w:val="0"/>
                <w:sz w:val="19"/>
              </w:rPr>
              <w:t>View Opportunities</w:t>
            </w:r>
          </w:p>
        </w:tc>
        <w:tc>
          <w:tcPr>
            <w:tcW w:type="dxa" w:w="2556"/>
            <w:vAlign w:val="center"/>
          </w:tcPr>
          <w:p>
            <w:r/>
            <w:r>
              <w:rPr>
                <w:b w:val="0"/>
                <w:sz w:val="19"/>
              </w:rPr>
              <w:t>Open calls, past challenges, winners, partners</w:t>
            </w:r>
          </w:p>
        </w:tc>
      </w:tr>
      <w:tr>
        <w:tc>
          <w:tcPr>
            <w:tcW w:type="dxa" w:w="2556"/>
            <w:vAlign w:val="center"/>
          </w:tcPr>
          <w:p>
            <w:r/>
            <w:r>
              <w:rPr>
                <w:b w:val="0"/>
                <w:sz w:val="19"/>
              </w:rPr>
              <w:t>Enterprise Development</w:t>
            </w:r>
          </w:p>
        </w:tc>
        <w:tc>
          <w:tcPr>
            <w:tcW w:type="dxa" w:w="2556"/>
            <w:vAlign w:val="center"/>
          </w:tcPr>
          <w:p>
            <w:r/>
            <w:r>
              <w:rPr>
                <w:b w:val="0"/>
                <w:sz w:val="19"/>
              </w:rPr>
              <w:t>Business support and acceleration</w:t>
            </w:r>
          </w:p>
        </w:tc>
        <w:tc>
          <w:tcPr>
            <w:tcW w:type="dxa" w:w="2556"/>
            <w:vAlign w:val="center"/>
          </w:tcPr>
          <w:p>
            <w:r/>
            <w:r>
              <w:rPr>
                <w:b w:val="0"/>
                <w:sz w:val="19"/>
              </w:rPr>
              <w:t>Explore</w:t>
            </w:r>
          </w:p>
        </w:tc>
        <w:tc>
          <w:tcPr>
            <w:tcW w:type="dxa" w:w="2556"/>
            <w:vAlign w:val="center"/>
          </w:tcPr>
          <w:p>
            <w:r/>
            <w:r>
              <w:rPr>
                <w:b w:val="0"/>
                <w:sz w:val="19"/>
              </w:rPr>
              <w:t>Training, mentorship, business resources and success stories</w:t>
            </w:r>
          </w:p>
        </w:tc>
      </w:tr>
      <w:tr>
        <w:tc>
          <w:tcPr>
            <w:tcW w:type="dxa" w:w="2556"/>
            <w:vAlign w:val="center"/>
          </w:tcPr>
          <w:p>
            <w:r/>
            <w:r>
              <w:rPr>
                <w:b w:val="0"/>
                <w:sz w:val="19"/>
              </w:rPr>
              <w:t>Digital Skills &amp; Community</w:t>
            </w:r>
          </w:p>
        </w:tc>
        <w:tc>
          <w:tcPr>
            <w:tcW w:type="dxa" w:w="2556"/>
            <w:vAlign w:val="center"/>
          </w:tcPr>
          <w:p>
            <w:r/>
            <w:r>
              <w:rPr>
                <w:b w:val="0"/>
                <w:sz w:val="19"/>
              </w:rPr>
              <w:t>Community and learning layer</w:t>
            </w:r>
          </w:p>
        </w:tc>
        <w:tc>
          <w:tcPr>
            <w:tcW w:type="dxa" w:w="2556"/>
            <w:vAlign w:val="center"/>
          </w:tcPr>
          <w:p>
            <w:r/>
            <w:r>
              <w:rPr>
                <w:b w:val="0"/>
                <w:sz w:val="19"/>
              </w:rPr>
              <w:t>Join Community</w:t>
            </w:r>
          </w:p>
        </w:tc>
        <w:tc>
          <w:tcPr>
            <w:tcW w:type="dxa" w:w="2556"/>
            <w:vAlign w:val="center"/>
          </w:tcPr>
          <w:p>
            <w:r/>
            <w:r>
              <w:rPr>
                <w:b w:val="0"/>
                <w:sz w:val="19"/>
              </w:rPr>
              <w:t>Courses, events, resources and community access</w:t>
            </w:r>
          </w:p>
        </w:tc>
      </w:tr>
    </w:tbl>
    <w:p>
      <w:pPr>
        <w:pStyle w:val="Heading1"/>
      </w:pPr>
      <w:r>
        <w:t>3. Homepage Architecture</w:t>
      </w:r>
    </w:p>
    <w:p>
      <w:r>
        <w:rPr>
          <w:b/>
        </w:rPr>
        <w:t xml:space="preserve">Hero — </w:t>
      </w:r>
      <w:r>
        <w:t>Use a high-quality video/image-led hero showing real Paragon activities. Suggested headline: “Building Enterprises. Connecting Communities. Creating Opportunity.” CTAs: “Explore Programmes” and “Join Paragon.”</w:t>
      </w:r>
    </w:p>
    <w:p>
      <w:r>
        <w:rPr>
          <w:b/>
        </w:rPr>
        <w:t xml:space="preserve">Trusted By / Ecosystem — </w:t>
      </w:r>
      <w:r>
        <w:t>Display approved partner and programme logos, including relevant 3MTT, Airtel and other confirmed partners. Include USAID only where Paragon has appropriate permission/relationship to display the logo.</w:t>
      </w:r>
    </w:p>
    <w:p>
      <w:r>
        <w:rPr>
          <w:b/>
        </w:rPr>
        <w:t xml:space="preserve">What We Do — </w:t>
      </w:r>
      <w:r>
        <w:t>Enterprise development, digital skills, innovation, programme delivery, community development, learning and ecosystem building.</w:t>
      </w:r>
    </w:p>
    <w:p>
      <w:r>
        <w:rPr>
          <w:b/>
        </w:rPr>
        <w:t xml:space="preserve">Featured Programmes — </w:t>
      </w:r>
      <w:r>
        <w:t>Large visual cards for 3MTT, 3MTT DeepTech, Airtel + 3MTT, Gateway and other priority programmes.</w:t>
      </w:r>
    </w:p>
    <w:p>
      <w:r>
        <w:rPr>
          <w:b/>
        </w:rPr>
        <w:t xml:space="preserve">Impact — </w:t>
      </w:r>
      <w:r>
        <w:t>Verified figures only: people reached, entrepreneurs supported, learners trained, states reached, programmes delivered and other measurable outcomes.</w:t>
      </w:r>
    </w:p>
    <w:p>
      <w:r>
        <w:rPr>
          <w:b/>
        </w:rPr>
        <w:t xml:space="preserve">Paragon in Action — </w:t>
      </w:r>
      <w:r>
        <w:t>Large gallery of previous work with real photography and short captions.</w:t>
      </w:r>
    </w:p>
    <w:p>
      <w:r>
        <w:rPr>
          <w:b/>
        </w:rPr>
        <w:t xml:space="preserve">Opportunities — </w:t>
      </w:r>
      <w:r>
        <w:t>Open programmes, applications, competitions, training, events, jobs, fellowships and partner opportunities.</w:t>
      </w:r>
    </w:p>
    <w:p>
      <w:r>
        <w:rPr>
          <w:b/>
        </w:rPr>
        <w:t xml:space="preserve">Paragon Academy — </w:t>
      </w:r>
      <w:r>
        <w:t>LMS preview with courses, progress, certificates and learning pathways.</w:t>
      </w:r>
    </w:p>
    <w:p>
      <w:r>
        <w:rPr>
          <w:b/>
        </w:rPr>
        <w:t xml:space="preserve">Resource Centre — </w:t>
      </w:r>
      <w:r>
        <w:t>Books, guides, reports, templates, case studies, recordings and downloadable materials.</w:t>
      </w:r>
    </w:p>
    <w:p>
      <w:r>
        <w:rPr>
          <w:b/>
        </w:rPr>
        <w:t xml:space="preserve">Community — </w:t>
      </w:r>
      <w:r>
        <w:t>Join the Paragon community, select interests and access opportunities.</w:t>
      </w:r>
    </w:p>
    <w:p>
      <w:r>
        <w:rPr>
          <w:b/>
        </w:rPr>
        <w:t xml:space="preserve">Stories — </w:t>
      </w:r>
      <w:r>
        <w:t>Participant, founder and community impact stories with photography/video.</w:t>
      </w:r>
    </w:p>
    <w:p>
      <w:r>
        <w:rPr>
          <w:b/>
        </w:rPr>
        <w:t xml:space="preserve">Events — </w:t>
      </w:r>
      <w:r>
        <w:t>Upcoming workshops, webinars, challenges, demo days and community events.</w:t>
      </w:r>
    </w:p>
    <w:p>
      <w:r>
        <w:rPr>
          <w:b/>
        </w:rPr>
        <w:t xml:space="preserve">Shop — </w:t>
      </w:r>
      <w:r>
        <w:t>Paragon merchandise and branded products.</w:t>
      </w:r>
    </w:p>
    <w:p>
      <w:r>
        <w:rPr>
          <w:b/>
        </w:rPr>
        <w:t xml:space="preserve">Newsletter — </w:t>
      </w:r>
      <w:r>
        <w:t>Paragon Brief email subscription.</w:t>
      </w:r>
    </w:p>
    <w:p>
      <w:pPr>
        <w:pStyle w:val="Heading1"/>
      </w:pPr>
      <w:r>
        <w:t>4. Email Capture / Welcome Gate</w:t>
      </w:r>
    </w:p>
    <w:p>
      <w:r>
        <w:t>Introduce an elegant email-capture experience before users access the full platform, particularly for gated resources, courses and community benefits. The experience should clearly explain the value of submitting an email and comply with applicable privacy and consent requirements.</w:t>
      </w:r>
    </w:p>
    <w:p>
      <w:r>
        <w:t>Suggested copy:</w:t>
      </w:r>
    </w:p>
    <w:p>
      <w:pPr>
        <w:pStyle w:val="IntenseQuote"/>
      </w:pPr>
      <w:r>
        <w:t>Welcome to Paragon Nigeria</w:t>
        <w:br/>
        <w:t>Discover programmes, opportunities, learning resources and ways to participate in our ecosystem.</w:t>
        <w:br/>
        <w:br/>
        <w:t>Enter your email to access Paragon opportunities and resources.</w:t>
        <w:br/>
        <w:t>[ Email Address ]</w:t>
        <w:br/>
        <w:t>[ ] I agree to receive Paragon opportunities and updates.</w:t>
        <w:br/>
        <w:t>CONTINUE</w:t>
      </w:r>
    </w:p>
    <w:p>
      <w:pPr>
        <w:pStyle w:val="Heading1"/>
      </w:pPr>
      <w:r>
        <w:t>5. Paragon Community</w:t>
      </w:r>
    </w:p>
    <w:p>
      <w:r>
        <w:t>Create a dedicated community layer with a clear “Join Paragon” journey.</w:t>
      </w:r>
    </w:p>
    <w:p>
      <w:pPr>
        <w:pStyle w:val="ListBullet"/>
      </w:pPr>
      <w:r>
        <w:t>Entrepreneurs — programmes, business support, opportunities and resources.</w:t>
      </w:r>
    </w:p>
    <w:p>
      <w:pPr>
        <w:pStyle w:val="ListBullet"/>
      </w:pPr>
      <w:r>
        <w:t>Learners — courses, digital skills, workshops and certificates.</w:t>
      </w:r>
    </w:p>
    <w:p>
      <w:pPr>
        <w:pStyle w:val="ListBullet"/>
      </w:pPr>
      <w:r>
        <w:t>Innovators — challenges, mentors, technical opportunities and market connections.</w:t>
      </w:r>
    </w:p>
    <w:p>
      <w:pPr>
        <w:pStyle w:val="ListBullet"/>
      </w:pPr>
      <w:r>
        <w:t>Partners — collaboration, programme delivery and ecosystem engagement.</w:t>
      </w:r>
    </w:p>
    <w:p>
      <w:pPr>
        <w:pStyle w:val="ListBullet"/>
      </w:pPr>
      <w:r>
        <w:t>Alumni — continued opportunities, events, referrals and community participation.</w:t>
      </w:r>
    </w:p>
    <w:p>
      <w:r>
        <w:t>Suggested registration fields: Name, Email, Phone, Organisation, State, Area of Interest and Participant Type.</w:t>
      </w:r>
    </w:p>
    <w:p>
      <w:pPr>
        <w:pStyle w:val="Heading1"/>
      </w:pPr>
      <w:r>
        <w:t>6. Paragon Academy / LMS</w:t>
      </w:r>
    </w:p>
    <w:p>
      <w:r>
        <w:t>Embed or integrate a full Learning Management System under “Paragon Academy.” The LMS should support account creation, course enrolment, video lessons, downloadable materials, quizzes, assignments, progress tracking, certificates and learner dashboards.</w:t>
      </w:r>
    </w:p>
    <w:p>
      <w:r>
        <w:t>Suggested course categories:</w:t>
      </w:r>
    </w:p>
    <w:p>
      <w:pPr>
        <w:pStyle w:val="ListBullet"/>
      </w:pPr>
      <w:r>
        <w:t>Entrepreneurship</w:t>
      </w:r>
    </w:p>
    <w:p>
      <w:pPr>
        <w:pStyle w:val="ListBullet"/>
      </w:pPr>
      <w:r>
        <w:t>Digital Skills</w:t>
      </w:r>
    </w:p>
    <w:p>
      <w:pPr>
        <w:pStyle w:val="ListBullet"/>
      </w:pPr>
      <w:r>
        <w:t>Technology &amp; DeepTech</w:t>
      </w:r>
    </w:p>
    <w:p>
      <w:pPr>
        <w:pStyle w:val="ListBullet"/>
      </w:pPr>
      <w:r>
        <w:t>Financial Literacy</w:t>
      </w:r>
    </w:p>
    <w:p>
      <w:pPr>
        <w:pStyle w:val="ListBullet"/>
      </w:pPr>
      <w:r>
        <w:t>Innovation</w:t>
      </w:r>
    </w:p>
    <w:p>
      <w:pPr>
        <w:pStyle w:val="ListBullet"/>
      </w:pPr>
      <w:r>
        <w:t>Marketing &amp; Sales</w:t>
      </w:r>
    </w:p>
    <w:p>
      <w:pPr>
        <w:pStyle w:val="ListBullet"/>
      </w:pPr>
      <w:r>
        <w:t>Leadership</w:t>
      </w:r>
    </w:p>
    <w:p>
      <w:pPr>
        <w:pStyle w:val="ListBullet"/>
      </w:pPr>
      <w:r>
        <w:t>Creative Economy</w:t>
      </w:r>
    </w:p>
    <w:p>
      <w:pPr>
        <w:pStyle w:val="ListBullet"/>
      </w:pPr>
      <w:r>
        <w:t>Career Development</w:t>
      </w:r>
    </w:p>
    <w:p>
      <w:pPr>
        <w:pStyle w:val="Heading1"/>
      </w:pPr>
      <w:r>
        <w:t>7. Resource Centre</w:t>
      </w:r>
    </w:p>
    <w:p>
      <w:r>
        <w:t>Create a searchable, filterable Paragon Resource Centre where users can discover and download useful materials. Email-gate premium downloads where appropriate.</w:t>
      </w:r>
    </w:p>
    <w:p>
      <w:pPr>
        <w:pStyle w:val="ListBullet"/>
      </w:pPr>
      <w:r>
        <w:t>Books / eBooks</w:t>
      </w:r>
    </w:p>
    <w:p>
      <w:pPr>
        <w:pStyle w:val="ListBullet"/>
      </w:pPr>
      <w:r>
        <w:t>Business guides</w:t>
      </w:r>
    </w:p>
    <w:p>
      <w:pPr>
        <w:pStyle w:val="ListBullet"/>
      </w:pPr>
      <w:r>
        <w:t>Technology resources</w:t>
      </w:r>
    </w:p>
    <w:p>
      <w:pPr>
        <w:pStyle w:val="ListBullet"/>
      </w:pPr>
      <w:r>
        <w:t>Reports</w:t>
      </w:r>
    </w:p>
    <w:p>
      <w:pPr>
        <w:pStyle w:val="ListBullet"/>
      </w:pPr>
      <w:r>
        <w:t>Templates</w:t>
      </w:r>
    </w:p>
    <w:p>
      <w:pPr>
        <w:pStyle w:val="ListBullet"/>
      </w:pPr>
      <w:r>
        <w:t>Case studies</w:t>
      </w:r>
    </w:p>
    <w:p>
      <w:pPr>
        <w:pStyle w:val="ListBullet"/>
      </w:pPr>
      <w:r>
        <w:t>Webinars / recordings</w:t>
      </w:r>
    </w:p>
    <w:p>
      <w:pPr>
        <w:pStyle w:val="ListBullet"/>
      </w:pPr>
      <w:r>
        <w:t>Toolkits</w:t>
      </w:r>
    </w:p>
    <w:p>
      <w:pPr>
        <w:pStyle w:val="Heading1"/>
      </w:pPr>
      <w:r>
        <w:t>8. Paragon in Action — Previous Work Gallery</w:t>
      </w:r>
    </w:p>
    <w:p>
      <w:r>
        <w:t>Make previous work one of the strongest visual sections. Use 30–50 high-quality, authentic images across training, community activities, entrepreneurs, innovation challenges, workshops, partnerships and events. Add filters such as Training, Community, Innovation, Programmes, Events and Partnerships.</w:t>
      </w:r>
    </w:p>
    <w:p>
      <w:pPr>
        <w:pStyle w:val="Heading1"/>
      </w:pPr>
      <w:r>
        <w:t>9. Partners &amp; Programme Branding</w:t>
      </w:r>
    </w:p>
    <w:p>
      <w:r>
        <w:t>Create a polished partner wall and programme ecosystem section. Include approved logos for relevant partners such as Airtel, 3MTT, USAID and other confirmed organisations. Logo use must follow each organisation's brand guidelines and permission requirements.</w:t>
      </w:r>
    </w:p>
    <w:p>
      <w:pPr>
        <w:pStyle w:val="Heading1"/>
      </w:pPr>
      <w:r>
        <w:t>10. Opportunities Hub</w:t>
      </w:r>
    </w:p>
    <w:p>
      <w:r>
        <w:t>Add a central opportunities page where users can discover current Paragon programmes and selected external ecosystem opportunities.</w:t>
      </w:r>
    </w:p>
    <w:p>
      <w:pPr>
        <w:pStyle w:val="ListBullet"/>
      </w:pPr>
      <w:r>
        <w:t>Programmes</w:t>
      </w:r>
    </w:p>
    <w:p>
      <w:pPr>
        <w:pStyle w:val="ListBullet"/>
      </w:pPr>
      <w:r>
        <w:t>Training</w:t>
      </w:r>
    </w:p>
    <w:p>
      <w:pPr>
        <w:pStyle w:val="ListBullet"/>
      </w:pPr>
      <w:r>
        <w:t>Competitions</w:t>
      </w:r>
    </w:p>
    <w:p>
      <w:pPr>
        <w:pStyle w:val="ListBullet"/>
      </w:pPr>
      <w:r>
        <w:t>Fellowships</w:t>
      </w:r>
    </w:p>
    <w:p>
      <w:pPr>
        <w:pStyle w:val="ListBullet"/>
      </w:pPr>
      <w:r>
        <w:t>Jobs</w:t>
      </w:r>
    </w:p>
    <w:p>
      <w:pPr>
        <w:pStyle w:val="ListBullet"/>
      </w:pPr>
      <w:r>
        <w:t>Internships</w:t>
      </w:r>
    </w:p>
    <w:p>
      <w:pPr>
        <w:pStyle w:val="ListBullet"/>
      </w:pPr>
      <w:r>
        <w:t>Grants / funding opportunities</w:t>
      </w:r>
    </w:p>
    <w:p>
      <w:pPr>
        <w:pStyle w:val="ListBullet"/>
      </w:pPr>
      <w:r>
        <w:t>Events</w:t>
      </w:r>
    </w:p>
    <w:p>
      <w:r>
        <w:t>Every opportunity should display status, deadline, eligibility, location, benefits and a clear Apply / Register CTA.</w:t>
      </w:r>
    </w:p>
    <w:p>
      <w:pPr>
        <w:pStyle w:val="Heading1"/>
      </w:pPr>
      <w:r>
        <w:t>11. Paragon Merchandise Store</w:t>
      </w:r>
    </w:p>
    <w:p>
      <w:r>
        <w:t>Add a Shop section under the Paragon brand for approved merchandise: T-shirts, polos, hoodies, caps, tote bags, notebooks, bottles, laptop accessories and other branded items. The initial version can use a secure external commerce checkout if a native store is not yet required.</w:t>
      </w:r>
    </w:p>
    <w:p>
      <w:pPr>
        <w:pStyle w:val="Heading1"/>
      </w:pPr>
      <w:r>
        <w:t>12. Impact &amp; Storytelling</w:t>
      </w:r>
    </w:p>
    <w:p>
      <w:r>
        <w:t>Introduce a verified impact dashboard and a “People Behind the Numbers” story series. Use real participant stories, photographs, video testimonials and measurable outcomes. Avoid publishing unverified numbers.</w:t>
      </w:r>
    </w:p>
    <w:p>
      <w:pPr>
        <w:pStyle w:val="Heading1"/>
      </w:pPr>
      <w:r>
        <w:t>13. Events &amp; Community Calendar</w:t>
      </w:r>
    </w:p>
    <w:p>
      <w:r>
        <w:t>Create a dynamic events calendar for workshops, webinars, training, innovation challenges, community meetups and demo days. Include registration and add-to-calendar functionality.</w:t>
      </w:r>
    </w:p>
    <w:p>
      <w:pPr>
        <w:pStyle w:val="Heading1"/>
      </w:pPr>
      <w:r>
        <w:t>14. Recommended Main Navigation</w:t>
      </w:r>
    </w:p>
    <w:p>
      <w:r>
        <w:rPr>
          <w:b/>
        </w:rPr>
        <w:t>ABOUT  |  WHAT WE DO  |  PROGRAMMES  |  OPPORTUNITIES  |  ACADEMY  |  RESOURCES  |  COMMUNITY  |  IMPACT  |  SHOP  |  CONTACT</w:t>
      </w:r>
    </w:p>
    <w:p>
      <w:r>
        <w:t>Primary persistent CTA: JOIN PARAGON</w:t>
      </w:r>
    </w:p>
    <w:p>
      <w:pPr>
        <w:pStyle w:val="Heading1"/>
      </w:pPr>
      <w:r>
        <w:t>15. Suggested Digital User Journey</w:t>
      </w:r>
    </w:p>
    <w:p>
      <w:pPr>
        <w:jc w:val="center"/>
      </w:pPr>
      <w:r>
        <w:rPr>
          <w:b/>
          <w:sz w:val="28"/>
        </w:rPr>
        <w:t>DISCOVER  →  JOIN  →  LEARN  →  PARTICIPATE  →  CONNECT  →  GROW  →  GIVE BACK</w:t>
      </w:r>
    </w:p>
    <w:p>
      <w:pPr>
        <w:pStyle w:val="Heading1"/>
      </w:pPr>
      <w:r>
        <w:t>16. Priority Implementation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9"/>
              </w:rPr>
              <w:t>Priority</w:t>
            </w:r>
          </w:p>
        </w:tc>
        <w:tc>
          <w:tcPr>
            <w:tcW w:type="dxa" w:w="3408"/>
            <w:vAlign w:val="center"/>
            <w:shd w:fill="D9EAF7"/>
          </w:tcPr>
          <w:p>
            <w:r/>
            <w:r>
              <w:rPr>
                <w:b/>
                <w:sz w:val="19"/>
              </w:rPr>
              <w:t>Workstream</w:t>
            </w:r>
          </w:p>
        </w:tc>
        <w:tc>
          <w:tcPr>
            <w:tcW w:type="dxa" w:w="3408"/>
            <w:vAlign w:val="center"/>
            <w:shd w:fill="D9EAF7"/>
          </w:tcPr>
          <w:p>
            <w:r/>
            <w:r>
              <w:rPr>
                <w:b/>
                <w:sz w:val="19"/>
              </w:rPr>
              <w:t>Outcome</w:t>
            </w:r>
          </w:p>
        </w:tc>
      </w:tr>
      <w:tr>
        <w:tc>
          <w:tcPr>
            <w:tcW w:type="dxa" w:w="3408"/>
            <w:vAlign w:val="center"/>
          </w:tcPr>
          <w:p>
            <w:r/>
            <w:r>
              <w:rPr>
                <w:b w:val="0"/>
                <w:sz w:val="19"/>
              </w:rPr>
              <w:t>P1</w:t>
            </w:r>
          </w:p>
        </w:tc>
        <w:tc>
          <w:tcPr>
            <w:tcW w:type="dxa" w:w="3408"/>
            <w:vAlign w:val="center"/>
          </w:tcPr>
          <w:p>
            <w:r/>
            <w:r>
              <w:rPr>
                <w:b w:val="0"/>
                <w:sz w:val="19"/>
              </w:rPr>
              <w:t>Brand / information architecture</w:t>
            </w:r>
          </w:p>
        </w:tc>
        <w:tc>
          <w:tcPr>
            <w:tcW w:type="dxa" w:w="3408"/>
            <w:vAlign w:val="center"/>
          </w:tcPr>
          <w:p>
            <w:r/>
            <w:r>
              <w:rPr>
                <w:b w:val="0"/>
                <w:sz w:val="19"/>
              </w:rPr>
              <w:t>Remove DBN-heavy narrative and establish Paragon-led positioning.</w:t>
            </w:r>
          </w:p>
        </w:tc>
      </w:tr>
      <w:tr>
        <w:tc>
          <w:tcPr>
            <w:tcW w:type="dxa" w:w="3408"/>
            <w:vAlign w:val="center"/>
          </w:tcPr>
          <w:p>
            <w:r/>
            <w:r>
              <w:rPr>
                <w:b w:val="0"/>
                <w:sz w:val="19"/>
              </w:rPr>
              <w:t>P1</w:t>
            </w:r>
          </w:p>
        </w:tc>
        <w:tc>
          <w:tcPr>
            <w:tcW w:type="dxa" w:w="3408"/>
            <w:vAlign w:val="center"/>
          </w:tcPr>
          <w:p>
            <w:r/>
            <w:r>
              <w:rPr>
                <w:b w:val="0"/>
                <w:sz w:val="19"/>
              </w:rPr>
              <w:t>Homepage + programme portfolio</w:t>
            </w:r>
          </w:p>
        </w:tc>
        <w:tc>
          <w:tcPr>
            <w:tcW w:type="dxa" w:w="3408"/>
            <w:vAlign w:val="center"/>
          </w:tcPr>
          <w:p>
            <w:r/>
            <w:r>
              <w:rPr>
                <w:b w:val="0"/>
                <w:sz w:val="19"/>
              </w:rPr>
              <w:t>Make 3MTT, 3MTT DeepTech, Airtel + 3MTT and other key programmes highly visible.</w:t>
            </w:r>
          </w:p>
        </w:tc>
      </w:tr>
      <w:tr>
        <w:tc>
          <w:tcPr>
            <w:tcW w:type="dxa" w:w="3408"/>
            <w:vAlign w:val="center"/>
          </w:tcPr>
          <w:p>
            <w:r/>
            <w:r>
              <w:rPr>
                <w:b w:val="0"/>
                <w:sz w:val="19"/>
              </w:rPr>
              <w:t>P1</w:t>
            </w:r>
          </w:p>
        </w:tc>
        <w:tc>
          <w:tcPr>
            <w:tcW w:type="dxa" w:w="3408"/>
            <w:vAlign w:val="center"/>
          </w:tcPr>
          <w:p>
            <w:r/>
            <w:r>
              <w:rPr>
                <w:b w:val="0"/>
                <w:sz w:val="19"/>
              </w:rPr>
              <w:t>Community + email capture</w:t>
            </w:r>
          </w:p>
        </w:tc>
        <w:tc>
          <w:tcPr>
            <w:tcW w:type="dxa" w:w="3408"/>
            <w:vAlign w:val="center"/>
          </w:tcPr>
          <w:p>
            <w:r/>
            <w:r>
              <w:rPr>
                <w:b w:val="0"/>
                <w:sz w:val="19"/>
              </w:rPr>
              <w:t>Convert visitors into identifiable community members and subscribers.</w:t>
            </w:r>
          </w:p>
        </w:tc>
      </w:tr>
      <w:tr>
        <w:tc>
          <w:tcPr>
            <w:tcW w:type="dxa" w:w="3408"/>
            <w:vAlign w:val="center"/>
          </w:tcPr>
          <w:p>
            <w:r/>
            <w:r>
              <w:rPr>
                <w:b w:val="0"/>
                <w:sz w:val="19"/>
              </w:rPr>
              <w:t>P1</w:t>
            </w:r>
          </w:p>
        </w:tc>
        <w:tc>
          <w:tcPr>
            <w:tcW w:type="dxa" w:w="3408"/>
            <w:vAlign w:val="center"/>
          </w:tcPr>
          <w:p>
            <w:r/>
            <w:r>
              <w:rPr>
                <w:b w:val="0"/>
                <w:sz w:val="19"/>
              </w:rPr>
              <w:t>Previous work gallery</w:t>
            </w:r>
          </w:p>
        </w:tc>
        <w:tc>
          <w:tcPr>
            <w:tcW w:type="dxa" w:w="3408"/>
            <w:vAlign w:val="center"/>
          </w:tcPr>
          <w:p>
            <w:r/>
            <w:r>
              <w:rPr>
                <w:b w:val="0"/>
                <w:sz w:val="19"/>
              </w:rPr>
              <w:t>Demonstrate credibility through strong visual evidence of delivery.</w:t>
            </w:r>
          </w:p>
        </w:tc>
      </w:tr>
      <w:tr>
        <w:tc>
          <w:tcPr>
            <w:tcW w:type="dxa" w:w="3408"/>
            <w:vAlign w:val="center"/>
          </w:tcPr>
          <w:p>
            <w:r/>
            <w:r>
              <w:rPr>
                <w:b w:val="0"/>
                <w:sz w:val="19"/>
              </w:rPr>
              <w:t>P1</w:t>
            </w:r>
          </w:p>
        </w:tc>
        <w:tc>
          <w:tcPr>
            <w:tcW w:type="dxa" w:w="3408"/>
            <w:vAlign w:val="center"/>
          </w:tcPr>
          <w:p>
            <w:r/>
            <w:r>
              <w:rPr>
                <w:b w:val="0"/>
                <w:sz w:val="19"/>
              </w:rPr>
              <w:t>Partners</w:t>
            </w:r>
          </w:p>
        </w:tc>
        <w:tc>
          <w:tcPr>
            <w:tcW w:type="dxa" w:w="3408"/>
            <w:vAlign w:val="center"/>
          </w:tcPr>
          <w:p>
            <w:r/>
            <w:r>
              <w:rPr>
                <w:b w:val="0"/>
                <w:sz w:val="19"/>
              </w:rPr>
              <w:t>Create a professional partner ecosystem wall with approved logos.</w:t>
            </w:r>
          </w:p>
        </w:tc>
      </w:tr>
      <w:tr>
        <w:tc>
          <w:tcPr>
            <w:tcW w:type="dxa" w:w="3408"/>
            <w:vAlign w:val="center"/>
          </w:tcPr>
          <w:p>
            <w:r/>
            <w:r>
              <w:rPr>
                <w:b w:val="0"/>
                <w:sz w:val="19"/>
              </w:rPr>
              <w:t>P2</w:t>
            </w:r>
          </w:p>
        </w:tc>
        <w:tc>
          <w:tcPr>
            <w:tcW w:type="dxa" w:w="3408"/>
            <w:vAlign w:val="center"/>
          </w:tcPr>
          <w:p>
            <w:r/>
            <w:r>
              <w:rPr>
                <w:b w:val="0"/>
                <w:sz w:val="19"/>
              </w:rPr>
              <w:t>Academy / LMS</w:t>
            </w:r>
          </w:p>
        </w:tc>
        <w:tc>
          <w:tcPr>
            <w:tcW w:type="dxa" w:w="3408"/>
            <w:vAlign w:val="center"/>
          </w:tcPr>
          <w:p>
            <w:r/>
            <w:r>
              <w:rPr>
                <w:b w:val="0"/>
                <w:sz w:val="19"/>
              </w:rPr>
              <w:t>Create a recurring learning and engagement platform.</w:t>
            </w:r>
          </w:p>
        </w:tc>
      </w:tr>
      <w:tr>
        <w:tc>
          <w:tcPr>
            <w:tcW w:type="dxa" w:w="3408"/>
            <w:vAlign w:val="center"/>
          </w:tcPr>
          <w:p>
            <w:r/>
            <w:r>
              <w:rPr>
                <w:b w:val="0"/>
                <w:sz w:val="19"/>
              </w:rPr>
              <w:t>P2</w:t>
            </w:r>
          </w:p>
        </w:tc>
        <w:tc>
          <w:tcPr>
            <w:tcW w:type="dxa" w:w="3408"/>
            <w:vAlign w:val="center"/>
          </w:tcPr>
          <w:p>
            <w:r/>
            <w:r>
              <w:rPr>
                <w:b w:val="0"/>
                <w:sz w:val="19"/>
              </w:rPr>
              <w:t>Resource Centre</w:t>
            </w:r>
          </w:p>
        </w:tc>
        <w:tc>
          <w:tcPr>
            <w:tcW w:type="dxa" w:w="3408"/>
            <w:vAlign w:val="center"/>
          </w:tcPr>
          <w:p>
            <w:r/>
            <w:r>
              <w:rPr>
                <w:b w:val="0"/>
                <w:sz w:val="19"/>
              </w:rPr>
              <w:t>Build searchable, downloadable knowledge assets.</w:t>
            </w:r>
          </w:p>
        </w:tc>
      </w:tr>
      <w:tr>
        <w:tc>
          <w:tcPr>
            <w:tcW w:type="dxa" w:w="3408"/>
            <w:vAlign w:val="center"/>
          </w:tcPr>
          <w:p>
            <w:r/>
            <w:r>
              <w:rPr>
                <w:b w:val="0"/>
                <w:sz w:val="19"/>
              </w:rPr>
              <w:t>P2</w:t>
            </w:r>
          </w:p>
        </w:tc>
        <w:tc>
          <w:tcPr>
            <w:tcW w:type="dxa" w:w="3408"/>
            <w:vAlign w:val="center"/>
          </w:tcPr>
          <w:p>
            <w:r/>
            <w:r>
              <w:rPr>
                <w:b w:val="0"/>
                <w:sz w:val="19"/>
              </w:rPr>
              <w:t>Opportunities Hub</w:t>
            </w:r>
          </w:p>
        </w:tc>
        <w:tc>
          <w:tcPr>
            <w:tcW w:type="dxa" w:w="3408"/>
            <w:vAlign w:val="center"/>
          </w:tcPr>
          <w:p>
            <w:r/>
            <w:r>
              <w:rPr>
                <w:b w:val="0"/>
                <w:sz w:val="19"/>
              </w:rPr>
              <w:t>Create a repeat-visit destination for current opportunities.</w:t>
            </w:r>
          </w:p>
        </w:tc>
      </w:tr>
      <w:tr>
        <w:tc>
          <w:tcPr>
            <w:tcW w:type="dxa" w:w="3408"/>
            <w:vAlign w:val="center"/>
          </w:tcPr>
          <w:p>
            <w:r/>
            <w:r>
              <w:rPr>
                <w:b w:val="0"/>
                <w:sz w:val="19"/>
              </w:rPr>
              <w:t>P2</w:t>
            </w:r>
          </w:p>
        </w:tc>
        <w:tc>
          <w:tcPr>
            <w:tcW w:type="dxa" w:w="3408"/>
            <w:vAlign w:val="center"/>
          </w:tcPr>
          <w:p>
            <w:r/>
            <w:r>
              <w:rPr>
                <w:b w:val="0"/>
                <w:sz w:val="19"/>
              </w:rPr>
              <w:t>Impact dashboard + stories</w:t>
            </w:r>
          </w:p>
        </w:tc>
        <w:tc>
          <w:tcPr>
            <w:tcW w:type="dxa" w:w="3408"/>
            <w:vAlign w:val="center"/>
          </w:tcPr>
          <w:p>
            <w:r/>
            <w:r>
              <w:rPr>
                <w:b w:val="0"/>
                <w:sz w:val="19"/>
              </w:rPr>
              <w:t>Demonstrate outcomes through evidence and participant stories.</w:t>
            </w:r>
          </w:p>
        </w:tc>
      </w:tr>
      <w:tr>
        <w:tc>
          <w:tcPr>
            <w:tcW w:type="dxa" w:w="3408"/>
            <w:vAlign w:val="center"/>
          </w:tcPr>
          <w:p>
            <w:r/>
            <w:r>
              <w:rPr>
                <w:b w:val="0"/>
                <w:sz w:val="19"/>
              </w:rPr>
              <w:t>P3</w:t>
            </w:r>
          </w:p>
        </w:tc>
        <w:tc>
          <w:tcPr>
            <w:tcW w:type="dxa" w:w="3408"/>
            <w:vAlign w:val="center"/>
          </w:tcPr>
          <w:p>
            <w:r/>
            <w:r>
              <w:rPr>
                <w:b w:val="0"/>
                <w:sz w:val="19"/>
              </w:rPr>
              <w:t>Shop</w:t>
            </w:r>
          </w:p>
        </w:tc>
        <w:tc>
          <w:tcPr>
            <w:tcW w:type="dxa" w:w="3408"/>
            <w:vAlign w:val="center"/>
          </w:tcPr>
          <w:p>
            <w:r/>
            <w:r>
              <w:rPr>
                <w:b w:val="0"/>
                <w:sz w:val="19"/>
              </w:rPr>
              <w:t>Create branded merchandise revenue / community touchpoint.</w:t>
            </w:r>
          </w:p>
        </w:tc>
      </w:tr>
      <w:tr>
        <w:tc>
          <w:tcPr>
            <w:tcW w:type="dxa" w:w="3408"/>
            <w:vAlign w:val="center"/>
          </w:tcPr>
          <w:p>
            <w:r/>
            <w:r>
              <w:rPr>
                <w:b w:val="0"/>
                <w:sz w:val="19"/>
              </w:rPr>
              <w:t>P3</w:t>
            </w:r>
          </w:p>
        </w:tc>
        <w:tc>
          <w:tcPr>
            <w:tcW w:type="dxa" w:w="3408"/>
            <w:vAlign w:val="center"/>
          </w:tcPr>
          <w:p>
            <w:r/>
            <w:r>
              <w:rPr>
                <w:b w:val="0"/>
                <w:sz w:val="19"/>
              </w:rPr>
              <w:t>Nigeria footprint / map</w:t>
            </w:r>
          </w:p>
        </w:tc>
        <w:tc>
          <w:tcPr>
            <w:tcW w:type="dxa" w:w="3408"/>
            <w:vAlign w:val="center"/>
          </w:tcPr>
          <w:p>
            <w:r/>
            <w:r>
              <w:rPr>
                <w:b w:val="0"/>
                <w:sz w:val="19"/>
              </w:rPr>
              <w:t>Visualise geographic reach where verified data is available.</w:t>
            </w:r>
          </w:p>
        </w:tc>
      </w:tr>
    </w:tbl>
    <w:p>
      <w:pPr>
        <w:pStyle w:val="Heading1"/>
      </w:pPr>
      <w:r>
        <w:t>17. Design Direction</w:t>
      </w:r>
    </w:p>
    <w:p>
      <w:pPr>
        <w:pStyle w:val="ListBullet"/>
      </w:pPr>
      <w:r>
        <w:t>Modern, premium and technology-forward visual language.</w:t>
      </w:r>
    </w:p>
    <w:p>
      <w:pPr>
        <w:pStyle w:val="ListBullet"/>
      </w:pPr>
      <w:r>
        <w:t>Use real photography from Paragon programmes rather than generic stock images.</w:t>
      </w:r>
    </w:p>
    <w:p>
      <w:pPr>
        <w:pStyle w:val="ListBullet"/>
      </w:pPr>
      <w:r>
        <w:t>Strong typography, generous white space, clean cards and subtle motion.</w:t>
      </w:r>
    </w:p>
    <w:p>
      <w:pPr>
        <w:pStyle w:val="ListBullet"/>
      </w:pPr>
      <w:r>
        <w:t>Use authentic Nigerian people, entrepreneurs, learners and community environments.</w:t>
      </w:r>
    </w:p>
    <w:p>
      <w:pPr>
        <w:pStyle w:val="ListBullet"/>
      </w:pPr>
      <w:r>
        <w:t>Use video and interactive sections strategically rather than excessive animation.</w:t>
      </w:r>
    </w:p>
    <w:p>
      <w:pPr>
        <w:pStyle w:val="ListBullet"/>
      </w:pPr>
      <w:r>
        <w:t>Ensure mobile-first responsiveness and fast loading.</w:t>
      </w:r>
    </w:p>
    <w:p>
      <w:pPr>
        <w:pStyle w:val="ListBullet"/>
      </w:pPr>
      <w:r>
        <w:t>Maintain accessibility, clear contrast, readable typography and keyboard-friendly navigation.</w:t>
      </w:r>
    </w:p>
    <w:p>
      <w:pPr>
        <w:pStyle w:val="ListBullet"/>
      </w:pPr>
      <w:r>
        <w:t>Use consistent Paragon Nigeria branding as the master identity; partner branding should support, not overpower, Paragon.</w:t>
      </w:r>
    </w:p>
    <w:p>
      <w:pPr>
        <w:pStyle w:val="Heading1"/>
      </w:pPr>
      <w:r>
        <w:t>18. Technical / Platform Requirements</w:t>
      </w:r>
    </w:p>
    <w:p>
      <w:pPr>
        <w:pStyle w:val="ListBullet"/>
      </w:pPr>
      <w:r>
        <w:t>CMS that Paragon staff can update without developers.</w:t>
      </w:r>
    </w:p>
    <w:p>
      <w:pPr>
        <w:pStyle w:val="ListBullet"/>
      </w:pPr>
      <w:r>
        <w:t>Secure user registration and authentication.</w:t>
      </w:r>
    </w:p>
    <w:p>
      <w:pPr>
        <w:pStyle w:val="ListBullet"/>
      </w:pPr>
      <w:r>
        <w:t>CRM/email integration for community and newsletter leads.</w:t>
      </w:r>
    </w:p>
    <w:p>
      <w:pPr>
        <w:pStyle w:val="ListBullet"/>
      </w:pPr>
      <w:r>
        <w:t>LMS integration with learner dashboard and certificates.</w:t>
      </w:r>
    </w:p>
    <w:p>
      <w:pPr>
        <w:pStyle w:val="ListBullet"/>
      </w:pPr>
      <w:r>
        <w:t>Searchable resource library with download analytics.</w:t>
      </w:r>
    </w:p>
    <w:p>
      <w:pPr>
        <w:pStyle w:val="ListBullet"/>
      </w:pPr>
      <w:r>
        <w:t>Programme application and registration forms.</w:t>
      </w:r>
    </w:p>
    <w:p>
      <w:pPr>
        <w:pStyle w:val="ListBullet"/>
      </w:pPr>
      <w:r>
        <w:t>Event registration and calendar integration.</w:t>
      </w:r>
    </w:p>
    <w:p>
      <w:pPr>
        <w:pStyle w:val="ListBullet"/>
      </w:pPr>
      <w:r>
        <w:t>E-commerce capability or secure shop integration.</w:t>
      </w:r>
    </w:p>
    <w:p>
      <w:pPr>
        <w:pStyle w:val="ListBullet"/>
      </w:pPr>
      <w:r>
        <w:t>Analytics dashboard and conversion tracking.</w:t>
      </w:r>
    </w:p>
    <w:p>
      <w:pPr>
        <w:pStyle w:val="ListBullet"/>
      </w:pPr>
      <w:r>
        <w:t>SEO-ready page architecture and metadata.</w:t>
      </w:r>
    </w:p>
    <w:p>
      <w:pPr>
        <w:pStyle w:val="ListBullet"/>
      </w:pPr>
      <w:r>
        <w:t>Fast hosting, image optimisation, caching and security.</w:t>
      </w:r>
    </w:p>
    <w:p>
      <w:pPr>
        <w:pStyle w:val="ListBullet"/>
      </w:pPr>
      <w:r>
        <w:t>Privacy, consent, cookie and data-management controls appropriate to the jurisdictions served.</w:t>
      </w:r>
    </w:p>
    <w:p>
      <w:pPr>
        <w:pStyle w:val="Heading1"/>
      </w:pPr>
      <w:r>
        <w:t>19. Final Brand Positioning</w:t>
      </w:r>
    </w:p>
    <w:p>
      <w:r>
        <w:t>The redesigned Paragon Nigeria website should communicate that Paragon is an independent, credible and multi-partner platform that builds enterprise capacity, develops talent, connects communities, supports innovation and creates pathways into opportunities.</w:t>
      </w:r>
    </w:p>
    <w:p>
      <w:pPr>
        <w:jc w:val="center"/>
      </w:pPr>
      <w:r>
        <w:rPr>
          <w:b/>
          <w:sz w:val="40"/>
        </w:rPr>
        <w:t>PARAGON NIGERIA</w:t>
      </w:r>
    </w:p>
    <w:p>
      <w:pPr>
        <w:jc w:val="center"/>
      </w:pPr>
      <w:r>
        <w:rPr>
          <w:b/>
        </w:rPr>
        <w:t>Building Enterprises. Connecting Communities. Creating Opportunity.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