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76"/>
        <w:jc w:val="center"/>
      </w:pPr>
      <w:r>
        <w:rPr>
          <w:rFonts w:ascii="Times New Roman" w:cs="Times New Roman" w:eastAsia="Times New Roman" w:hAnsi="Times New Roman"/>
          <w:b/>
          <w:bCs/>
          <w:i w:val="false"/>
          <w:iCs w:val="false"/>
          <w:color w:val="000000"/>
          <w:sz w:val="28"/>
          <w:szCs w:val="28"/>
        </w:rPr>
        <w:t xml:space="preserve">MASS-AI: A Context-Aware Ensemble Learning Framework for Electricity Theft Detection in Turkey's National Smart Meter Infrastructure</w:t>
      </w:r>
    </w:p>
    <w:p>
      <w:pPr>
        <w:spacing w:after="40" w:before="0" w:line="276"/>
        <w:jc w:val="center"/>
      </w:pPr>
      <w:r>
        <w:rPr>
          <w:rFonts w:ascii="Times New Roman" w:cs="Times New Roman" w:eastAsia="Times New Roman" w:hAnsi="Times New Roman"/>
          <w:b w:val="false"/>
          <w:bCs w:val="false"/>
          <w:i w:val="false"/>
          <w:iCs w:val="false"/>
          <w:color w:val="000000"/>
          <w:sz w:val="22"/>
          <w:szCs w:val="22"/>
        </w:rPr>
        <w:t xml:space="preserve">Ömer Burak Koçak and Mustafa Alparslan Zehir</w:t>
      </w:r>
    </w:p>
    <w:p>
      <w:pPr>
        <w:spacing w:after="20" w:before="0" w:line="276"/>
        <w:jc w:val="center"/>
      </w:pPr>
      <w:r>
        <w:rPr>
          <w:rFonts w:ascii="Times New Roman" w:cs="Times New Roman" w:eastAsia="Times New Roman" w:hAnsi="Times New Roman"/>
          <w:b w:val="false"/>
          <w:bCs w:val="false"/>
          <w:i/>
          <w:iCs/>
          <w:color w:val="000000"/>
          <w:sz w:val="18"/>
          <w:szCs w:val="18"/>
        </w:rPr>
        <w:t xml:space="preserve">Department of Electrical and Electronics Engineering, Marmara University, Istanbul, Turkey</w:t>
      </w:r>
    </w:p>
    <w:p>
      <w:pPr>
        <w:spacing w:after="240" w:before="0" w:line="276"/>
        <w:jc w:val="center"/>
      </w:pPr>
      <w:r>
        <w:rPr>
          <w:rFonts w:ascii="Times New Roman" w:cs="Times New Roman" w:eastAsia="Times New Roman" w:hAnsi="Times New Roman"/>
          <w:b w:val="false"/>
          <w:bCs w:val="false"/>
          <w:i/>
          <w:iCs/>
          <w:color w:val="000000"/>
          <w:sz w:val="18"/>
          <w:szCs w:val="18"/>
        </w:rPr>
        <w:t xml:space="preserve">omer.kocak@marun.edu.tr, alparslan.zehir@marmara.edu.tr</w:t>
      </w:r>
    </w:p>
    <w:p>
      <w:pPr>
        <w:spacing w:after="80" w:before="0" w:line="276"/>
        <w:jc w:val="both"/>
      </w:pPr>
      <w:r>
        <w:rPr>
          <w:rFonts w:ascii="Times New Roman" w:cs="Times New Roman" w:eastAsia="Times New Roman" w:hAnsi="Times New Roman"/>
          <w:b/>
          <w:bCs/>
          <w:i/>
          <w:iCs/>
          <w:color w:val="000000"/>
          <w:sz w:val="18"/>
          <w:szCs w:val="18"/>
        </w:rPr>
        <w:t xml:space="preserve">Abstract</w:t>
      </w:r>
      <w:r>
        <w:rPr>
          <w:rFonts w:ascii="Times New Roman" w:cs="Times New Roman" w:eastAsia="Times New Roman" w:hAnsi="Times New Roman"/>
          <w:b w:val="false"/>
          <w:bCs w:val="false"/>
          <w:i/>
          <w:iCs/>
          <w:color w:val="000000"/>
          <w:sz w:val="18"/>
          <w:szCs w:val="18"/>
        </w:rPr>
        <w:t xml:space="preserve">—Turkey launched the MASS (Milli Akıllı Sayaç Sistemleri) project on March 1, 2026, targeting the replacement of 50 million electricity meters with advanced metering infrastructure (AMI) by 2028. Despite generating granular consumption data at 15-minute intervals, no artificial intelligence (AI) system currently exists to leverage this data for non-technical loss (NTL) detection. This paper presents MASS-AI, a context-aware ensemble learning framework that addresses two critical challenges: (1) accurate electricity theft detection through multi-model fusion, and (2) false positive reduction via novel context-aware features including holiday calendar correlation, neighborhood comparison, and transition pattern analysis. We evaluate six machine learning models—Isolation Forest, XGBoost, Random Forest, Gradient Boosting, LSTM Autoencoder, and a Stacking Ensemble—using a synthetic dataset of 2,000 customers over 180 days with five realistic theft scenarios and four vacation patterns injected. The Stacking Ensemble achieves an ROC-AUC of 0.9428 and F1 score of 0.8727, while the context-aware model improves ROC-AUC to 0.9526 and eliminates all false positives among vacationing customers. SHAP (SHapley Additive exPlanations) analysis provides per-customer interpretability, identifying sudden_change_ratio, holiday_consumption_ratio, and kurtosis as the most discriminative features. An interactive Streamlit dashboard with five modules—regional anomaly mapping, time series comparison, model performance analytics, customer drill-down with radar profiling, and live simulation—demonstrates operational readiness. The system addresses a potential annual economic impact of 60–80 billion TL in electricity theft losses across Turkey's distribution network.</w:t>
      </w:r>
    </w:p>
    <w:p>
      <w:pPr>
        <w:spacing w:after="240" w:before="0" w:line="276"/>
        <w:jc w:val="both"/>
      </w:pPr>
      <w:r>
        <w:rPr>
          <w:rFonts w:ascii="Times New Roman" w:cs="Times New Roman" w:eastAsia="Times New Roman" w:hAnsi="Times New Roman"/>
          <w:b/>
          <w:bCs/>
          <w:i/>
          <w:iCs/>
          <w:color w:val="000000"/>
          <w:sz w:val="18"/>
          <w:szCs w:val="18"/>
        </w:rPr>
        <w:t xml:space="preserve">Index Terms</w:t>
      </w:r>
      <w:r>
        <w:rPr>
          <w:rFonts w:ascii="Times New Roman" w:cs="Times New Roman" w:eastAsia="Times New Roman" w:hAnsi="Times New Roman"/>
          <w:b w:val="false"/>
          <w:bCs w:val="false"/>
          <w:i/>
          <w:iCs/>
          <w:color w:val="000000"/>
          <w:sz w:val="18"/>
          <w:szCs w:val="18"/>
        </w:rPr>
        <w:t xml:space="preserve">—Smart meter, anomaly detection, electricity theft, ensemble learning, SHAP explainability, context-aware classification, LSTM autoencoder, MASS, Turkey, smart grid.</w:t>
      </w:r>
    </w:p>
    <w:p>
      <w:pPr>
        <w:spacing w:after="120" w:before="240" w:line="276"/>
        <w:jc w:val="center"/>
      </w:pPr>
      <w:r>
        <w:rPr>
          <w:rFonts w:ascii="Times New Roman" w:cs="Times New Roman" w:eastAsia="Times New Roman" w:hAnsi="Times New Roman"/>
          <w:b/>
          <w:bCs/>
          <w:i w:val="false"/>
          <w:iCs w:val="false"/>
          <w:color w:val="000000"/>
          <w:sz w:val="20"/>
          <w:szCs w:val="20"/>
        </w:rPr>
        <w:t xml:space="preserve">I. INTRODUCTION</w:t>
      </w:r>
    </w:p>
    <w:p>
      <w:pPr>
        <w:spacing w:after="100" w:before="0" w:line="276"/>
        <w:jc w:val="both"/>
      </w:pPr>
      <w:r>
        <w:rPr>
          <w:rFonts w:ascii="Times New Roman" w:cs="Times New Roman" w:eastAsia="Times New Roman" w:hAnsi="Times New Roman"/>
          <w:b w:val="false"/>
          <w:bCs w:val="false"/>
          <w:i w:val="false"/>
          <w:iCs w:val="false"/>
          <w:color w:val="000000"/>
          <w:sz w:val="20"/>
          <w:szCs w:val="20"/>
        </w:rPr>
        <w:t xml:space="preserve">Non-technical losses (NTL) in electricity distribution networks represent a critical challenge for power utilities worldwide. In Turkey, the Energy Market Regulatory Authority (EPDK) reports loss/theft ratios reaching 28% in certain distribution regions, notably the Dicle EDAŞ service area, resulting in estimated annual losses of 60–80 billion Turkish Lira (TL). These losses not only undermine the financial viability of distribution companies but also degrade power quality, overload transformers, and increase electricity costs for legitimate consumers [1].</w:t>
      </w:r>
    </w:p>
    <w:p>
      <w:pPr>
        <w:spacing w:after="100" w:before="0" w:line="276"/>
        <w:jc w:val="both"/>
      </w:pPr>
      <w:r>
        <w:rPr>
          <w:rFonts w:ascii="Times New Roman" w:cs="Times New Roman" w:eastAsia="Times New Roman" w:hAnsi="Times New Roman"/>
          <w:b w:val="false"/>
          <w:bCs w:val="false"/>
          <w:i w:val="false"/>
          <w:iCs w:val="false"/>
          <w:color w:val="000000"/>
          <w:sz w:val="20"/>
          <w:szCs w:val="20"/>
        </w:rPr>
        <w:t xml:space="preserve">To address this challenge at a national scale, Turkey initiated the MASS (Milli Akıllı Sayaç Sistemleri—National Smart Meter Systems) project on March 1, 2026, with the objective of deploying 50 million advanced metering infrastructure (AMI) devices by 2028 [1]. These smart meters generate consumption measurements at 15-minute intervals, creating an unprecedented data stream. However, this data is currently utilized exclusively for billing purposes, leaving significant analytical potential untapped [2].</w:t>
      </w:r>
    </w:p>
    <w:p>
      <w:pPr>
        <w:spacing w:after="100" w:before="0" w:line="276"/>
        <w:jc w:val="both"/>
      </w:pPr>
      <w:r>
        <w:rPr>
          <w:rFonts w:ascii="Times New Roman" w:cs="Times New Roman" w:eastAsia="Times New Roman" w:hAnsi="Times New Roman"/>
          <w:b w:val="false"/>
          <w:bCs w:val="false"/>
          <w:i w:val="false"/>
          <w:iCs w:val="false"/>
          <w:color w:val="000000"/>
          <w:sz w:val="20"/>
          <w:szCs w:val="20"/>
        </w:rPr>
        <w:t xml:space="preserve">Concurrently, Turkey's renewable energy targets—aiming for 47.8% renewable generation capacity—introduce additional grid complexity through bidirectional power flows from distributed solar and wind installations. The convergence of these three factors—the MASS deployment, renewable energy integration, and persistent NTL—creates both an urgent need and a unique opportunity for AI-powered anomaly detection systems [3].</w:t>
      </w:r>
    </w:p>
    <w:p>
      <w:pPr>
        <w:spacing w:after="100" w:before="0" w:line="276"/>
        <w:jc w:val="both"/>
      </w:pPr>
      <w:r>
        <w:rPr>
          <w:rFonts w:ascii="Times New Roman" w:cs="Times New Roman" w:eastAsia="Times New Roman" w:hAnsi="Times New Roman"/>
          <w:b w:val="false"/>
          <w:bCs w:val="false"/>
          <w:i w:val="false"/>
          <w:iCs w:val="false"/>
          <w:color w:val="000000"/>
          <w:sz w:val="20"/>
          <w:szCs w:val="20"/>
        </w:rPr>
        <w:t xml:space="preserve">Existing electricity theft detection approaches in the literature, while demonstrating strong performance on benchmark datasets, exhibit two significant limitations. First, most studies employ single-model architectures that may not capture the heterogeneous nature of theft patterns. Second, few studies address the false positive problem arising from legitimate consumption anomalies such as vacations, holidays, and seasonal migration—patterns that are particularly prevalent in Turkey due to extended religious holidays (Ramadan and Eid) and summer migration to rural areas.</w:t>
      </w:r>
    </w:p>
    <w:p>
      <w:pPr>
        <w:spacing w:after="100" w:before="0" w:line="276"/>
        <w:jc w:val="both"/>
      </w:pPr>
      <w:r>
        <w:rPr>
          <w:rFonts w:ascii="Times New Roman" w:cs="Times New Roman" w:eastAsia="Times New Roman" w:hAnsi="Times New Roman"/>
          <w:b w:val="false"/>
          <w:bCs w:val="false"/>
          <w:i w:val="false"/>
          <w:iCs w:val="false"/>
          <w:color w:val="000000"/>
          <w:sz w:val="20"/>
          <w:szCs w:val="20"/>
        </w:rPr>
        <w:t xml:space="preserve">This paper presents MASS-AI, a comprehensive framework that addresses both limitations through the following contributions:</w:t>
      </w:r>
    </w:p>
    <w:p>
      <w:pPr>
        <w:spacing w:after="60" w:before="0" w:line="276"/>
        <w:jc w:val="both"/>
      </w:pPr>
      <w:r>
        <w:rPr>
          <w:rFonts w:ascii="Times New Roman" w:cs="Times New Roman" w:eastAsia="Times New Roman" w:hAnsi="Times New Roman"/>
          <w:b/>
          <w:bCs/>
          <w:i w:val="false"/>
          <w:iCs w:val="false"/>
          <w:color w:val="000000"/>
          <w:sz w:val="20"/>
          <w:szCs w:val="20"/>
        </w:rPr>
        <w:t xml:space="preserve">1) Multi-model comparative analysis: </w:t>
      </w:r>
      <w:r>
        <w:rPr>
          <w:rFonts w:ascii="Times New Roman" w:cs="Times New Roman" w:eastAsia="Times New Roman" w:hAnsi="Times New Roman"/>
          <w:b w:val="false"/>
          <w:bCs w:val="false"/>
          <w:i w:val="false"/>
          <w:iCs w:val="false"/>
          <w:color w:val="000000"/>
          <w:sz w:val="20"/>
          <w:szCs w:val="20"/>
        </w:rPr>
        <w:t xml:space="preserve">We evaluate six machine learning approaches spanning unsupervised (Isolation Forest), supervised (XGBoost, Random Forest, Gradient Boosting), deep learning (LSTM Autoencoder), and meta-learning (Stacking Ensemble) paradigms, providing a systematic comparison under identical experimental conditions.</w:t>
      </w:r>
    </w:p>
    <w:p>
      <w:pPr>
        <w:spacing w:after="60" w:before="0" w:line="276"/>
        <w:jc w:val="both"/>
      </w:pPr>
      <w:r>
        <w:rPr>
          <w:rFonts w:ascii="Times New Roman" w:cs="Times New Roman" w:eastAsia="Times New Roman" w:hAnsi="Times New Roman"/>
          <w:b/>
          <w:bCs/>
          <w:i w:val="false"/>
          <w:iCs w:val="false"/>
          <w:color w:val="000000"/>
          <w:sz w:val="20"/>
          <w:szCs w:val="20"/>
        </w:rPr>
        <w:t xml:space="preserve">2) Context-aware feature engineering: </w:t>
      </w:r>
      <w:r>
        <w:rPr>
          <w:rFonts w:ascii="Times New Roman" w:cs="Times New Roman" w:eastAsia="Times New Roman" w:hAnsi="Times New Roman"/>
          <w:b w:val="false"/>
          <w:bCs w:val="false"/>
          <w:i w:val="false"/>
          <w:iCs w:val="false"/>
          <w:color w:val="000000"/>
          <w:sz w:val="20"/>
          <w:szCs w:val="20"/>
        </w:rPr>
        <w:t xml:space="preserve">We introduce 14 novel features including transition pattern analysis (V-shape score, drop/rise edge detection), holiday calendar correlation, neighborhood deviation analysis, and standby consumption classification to distinguish legitimate anomalies from theft.</w:t>
      </w:r>
    </w:p>
    <w:p>
      <w:pPr>
        <w:spacing w:after="60" w:before="0" w:line="276"/>
        <w:jc w:val="both"/>
      </w:pPr>
      <w:r>
        <w:rPr>
          <w:rFonts w:ascii="Times New Roman" w:cs="Times New Roman" w:eastAsia="Times New Roman" w:hAnsi="Times New Roman"/>
          <w:b/>
          <w:bCs/>
          <w:i w:val="false"/>
          <w:iCs w:val="false"/>
          <w:color w:val="000000"/>
          <w:sz w:val="20"/>
          <w:szCs w:val="20"/>
        </w:rPr>
        <w:t xml:space="preserve">3) SHAP-based explainability: </w:t>
      </w:r>
      <w:r>
        <w:rPr>
          <w:rFonts w:ascii="Times New Roman" w:cs="Times New Roman" w:eastAsia="Times New Roman" w:hAnsi="Times New Roman"/>
          <w:b w:val="false"/>
          <w:bCs w:val="false"/>
          <w:i w:val="false"/>
          <w:iCs w:val="false"/>
          <w:color w:val="000000"/>
          <w:sz w:val="20"/>
          <w:szCs w:val="20"/>
        </w:rPr>
        <w:t xml:space="preserve">We provide per-customer interpretable predictions, enabling operators to understand the specific factors contributing to each theft classification.</w:t>
      </w:r>
    </w:p>
    <w:p>
      <w:pPr>
        <w:spacing w:after="60" w:before="0" w:line="276"/>
        <w:jc w:val="both"/>
      </w:pPr>
      <w:r>
        <w:rPr>
          <w:rFonts w:ascii="Times New Roman" w:cs="Times New Roman" w:eastAsia="Times New Roman" w:hAnsi="Times New Roman"/>
          <w:b/>
          <w:bCs/>
          <w:i w:val="false"/>
          <w:iCs w:val="false"/>
          <w:color w:val="000000"/>
          <w:sz w:val="20"/>
          <w:szCs w:val="20"/>
        </w:rPr>
        <w:t xml:space="preserve">4) Operational deployment framework: </w:t>
      </w:r>
      <w:r>
        <w:rPr>
          <w:rFonts w:ascii="Times New Roman" w:cs="Times New Roman" w:eastAsia="Times New Roman" w:hAnsi="Times New Roman"/>
          <w:b w:val="false"/>
          <w:bCs w:val="false"/>
          <w:i w:val="false"/>
          <w:iCs w:val="false"/>
          <w:color w:val="000000"/>
          <w:sz w:val="20"/>
          <w:szCs w:val="20"/>
        </w:rPr>
        <w:t xml:space="preserve">We demonstrate a production-ready system including a 5-module interactive dashboard with real-time simulation capabilities.</w:t>
      </w:r>
    </w:p>
    <w:p>
      <w:pPr>
        <w:spacing w:after="120" w:before="0" w:line="276"/>
        <w:jc w:val="both"/>
      </w:pPr>
      <w:r>
        <w:rPr>
          <w:rFonts w:ascii="Times New Roman" w:cs="Times New Roman" w:eastAsia="Times New Roman" w:hAnsi="Times New Roman"/>
          <w:b/>
          <w:bCs/>
          <w:i w:val="false"/>
          <w:iCs w:val="false"/>
          <w:color w:val="000000"/>
          <w:sz w:val="20"/>
          <w:szCs w:val="20"/>
        </w:rPr>
        <w:t xml:space="preserve">5) Turkey-specific contextualization: </w:t>
      </w:r>
      <w:r>
        <w:rPr>
          <w:rFonts w:ascii="Times New Roman" w:cs="Times New Roman" w:eastAsia="Times New Roman" w:hAnsi="Times New Roman"/>
          <w:b w:val="false"/>
          <w:bCs w:val="false"/>
          <w:i w:val="false"/>
          <w:iCs w:val="false"/>
          <w:color w:val="000000"/>
          <w:sz w:val="20"/>
          <w:szCs w:val="20"/>
        </w:rPr>
        <w:t xml:space="preserve">We model the first AI-powered theft detection system specifically designed for Turkey's MASS infrastructure, incorporating Turkish holiday calendars, regional consumption patterns, and seasonal migration behaviors.</w:t>
      </w:r>
    </w:p>
    <w:p>
      <w:pPr>
        <w:spacing w:after="120" w:before="240" w:line="276"/>
        <w:jc w:val="center"/>
      </w:pPr>
      <w:r>
        <w:rPr>
          <w:rFonts w:ascii="Times New Roman" w:cs="Times New Roman" w:eastAsia="Times New Roman" w:hAnsi="Times New Roman"/>
          <w:b/>
          <w:bCs/>
          <w:i w:val="false"/>
          <w:iCs w:val="false"/>
          <w:color w:val="000000"/>
          <w:sz w:val="20"/>
          <w:szCs w:val="20"/>
        </w:rPr>
        <w:t xml:space="preserve">II. RELATED WORK</w:t>
      </w:r>
    </w:p>
    <w:p>
      <w:pPr>
        <w:spacing w:after="80" w:before="160" w:line="276"/>
        <w:jc w:val="both"/>
      </w:pPr>
      <w:r>
        <w:rPr>
          <w:rFonts w:ascii="Times New Roman" w:cs="Times New Roman" w:eastAsia="Times New Roman" w:hAnsi="Times New Roman"/>
          <w:b w:val="false"/>
          <w:bCs w:val="false"/>
          <w:i/>
          <w:iCs/>
          <w:color w:val="000000"/>
          <w:sz w:val="20"/>
          <w:szCs w:val="20"/>
        </w:rPr>
        <w:t xml:space="preserve">A. Machine Learning for Electricity Theft Detection</w:t>
      </w:r>
    </w:p>
    <w:p>
      <w:pPr>
        <w:spacing w:after="100" w:before="0" w:line="276"/>
        <w:jc w:val="both"/>
      </w:pPr>
      <w:r>
        <w:rPr>
          <w:rFonts w:ascii="Times New Roman" w:cs="Times New Roman" w:eastAsia="Times New Roman" w:hAnsi="Times New Roman"/>
          <w:b w:val="false"/>
          <w:bCs w:val="false"/>
          <w:i w:val="false"/>
          <w:iCs w:val="false"/>
          <w:color w:val="000000"/>
          <w:sz w:val="20"/>
          <w:szCs w:val="20"/>
        </w:rPr>
        <w:t xml:space="preserve">The application of machine learning to electricity theft detection has gained significant momentum with the availability of smart meter datasets. Zheng et al. [4] proposed a Wide &amp; Deep Convolutional Neural Network (CNN) architecture using the State Grid Corporation of China (SGCC) dataset of 42,372 customers, establishing a benchmark for subsequent studies. Their approach achieved notable performance by combining wide linear models for memorization with deep neural networks for generalization.</w:t>
      </w:r>
    </w:p>
    <w:p>
      <w:pPr>
        <w:spacing w:after="100" w:before="0" w:line="276"/>
        <w:jc w:val="both"/>
      </w:pPr>
      <w:r>
        <w:rPr>
          <w:rFonts w:ascii="Times New Roman" w:cs="Times New Roman" w:eastAsia="Times New Roman" w:hAnsi="Times New Roman"/>
          <w:b w:val="false"/>
          <w:bCs w:val="false"/>
          <w:i w:val="false"/>
          <w:iCs w:val="false"/>
          <w:color w:val="000000"/>
          <w:sz w:val="20"/>
          <w:szCs w:val="20"/>
        </w:rPr>
        <w:t xml:space="preserve">Support Vector Machines (SVM) were employed by Jokar et al. [5] for consumption pattern analysis in AMI environments, while Buzau et al. [6] demonstrated the effectiveness of XGBoost for handling the inherent class imbalance in theft detection datasets. More recently, Mbey et al. [7] proposed an SVM-PSO hybrid with a smart calendar context, and Iftikhar et al. [8] presented a comprehensive evaluation of supervised learning techniques using SMOTE-based data augmentation.</w:t>
      </w:r>
    </w:p>
    <w:p>
      <w:pPr>
        <w:spacing w:after="80" w:before="160" w:line="276"/>
        <w:jc w:val="both"/>
      </w:pPr>
      <w:r>
        <w:rPr>
          <w:rFonts w:ascii="Times New Roman" w:cs="Times New Roman" w:eastAsia="Times New Roman" w:hAnsi="Times New Roman"/>
          <w:b w:val="false"/>
          <w:bCs w:val="false"/>
          <w:i/>
          <w:iCs/>
          <w:color w:val="000000"/>
          <w:sz w:val="20"/>
          <w:szCs w:val="20"/>
        </w:rPr>
        <w:t xml:space="preserve">B. Deep Learning Approaches</w:t>
      </w:r>
    </w:p>
    <w:p>
      <w:pPr>
        <w:spacing w:after="100" w:before="0" w:line="276"/>
        <w:jc w:val="both"/>
      </w:pPr>
      <w:r>
        <w:rPr>
          <w:rFonts w:ascii="Times New Roman" w:cs="Times New Roman" w:eastAsia="Times New Roman" w:hAnsi="Times New Roman"/>
          <w:b w:val="false"/>
          <w:bCs w:val="false"/>
          <w:i w:val="false"/>
          <w:iCs w:val="false"/>
          <w:color w:val="000000"/>
          <w:sz w:val="20"/>
          <w:szCs w:val="20"/>
        </w:rPr>
        <w:t xml:space="preserve">Recurrent neural network architectures, particularly LSTM networks, have shown promise for temporal pattern analysis in consumption data. Hasan et al. [9] proposed a CNN-LSTM hybrid achieving strong results on the SGCC dataset. Malhotra et al. [10] demonstrated that LSTM autoencoders can effectively learn normal temporal patterns and identify anomalies through reconstruction error analysis. El-Toukhy et al. [11] introduced deep reinforcement learning for adaptive theft detection, demonstrating improved resilience to evolving attack patterns.</w:t>
      </w:r>
    </w:p>
    <w:p>
      <w:pPr>
        <w:spacing w:after="80" w:before="160" w:line="276"/>
        <w:jc w:val="both"/>
      </w:pPr>
      <w:r>
        <w:rPr>
          <w:rFonts w:ascii="Times New Roman" w:cs="Times New Roman" w:eastAsia="Times New Roman" w:hAnsi="Times New Roman"/>
          <w:b w:val="false"/>
          <w:bCs w:val="false"/>
          <w:i/>
          <w:iCs/>
          <w:color w:val="000000"/>
          <w:sz w:val="20"/>
          <w:szCs w:val="20"/>
        </w:rPr>
        <w:t xml:space="preserve">C. Limitations of Existing Work</w:t>
      </w:r>
    </w:p>
    <w:p>
      <w:pPr>
        <w:spacing w:after="100" w:before="0" w:line="276"/>
        <w:jc w:val="both"/>
      </w:pPr>
      <w:r>
        <w:rPr>
          <w:rFonts w:ascii="Times New Roman" w:cs="Times New Roman" w:eastAsia="Times New Roman" w:hAnsi="Times New Roman"/>
          <w:b w:val="false"/>
          <w:bCs w:val="false"/>
          <w:i w:val="false"/>
          <w:iCs w:val="false"/>
          <w:color w:val="000000"/>
          <w:sz w:val="20"/>
          <w:szCs w:val="20"/>
        </w:rPr>
        <w:t xml:space="preserve">Despite significant progress, several gaps remain. First, most studies evaluate single models or simple combinations, lacking systematic multi-paradigm comparison. Second, the false positive problem from legitimate consumption anomalies (vacations, holidays, equipment changes) is largely unaddressed. Third, model interpretability is rarely considered, limiting operational deployment. Fourth, no existing study addresses Turkey's specific MASS infrastructure context. MASS-AI addresses all four limitations through its ensemble architecture, context-aware features, SHAP explainability, and Turkey-specific design.</w:t>
      </w:r>
    </w:p>
    <w:p>
      <w:pPr>
        <w:spacing w:after="120" w:before="240" w:line="276"/>
        <w:jc w:val="center"/>
      </w:pPr>
      <w:r>
        <w:rPr>
          <w:rFonts w:ascii="Times New Roman" w:cs="Times New Roman" w:eastAsia="Times New Roman" w:hAnsi="Times New Roman"/>
          <w:b/>
          <w:bCs/>
          <w:i w:val="false"/>
          <w:iCs w:val="false"/>
          <w:color w:val="000000"/>
          <w:sz w:val="20"/>
          <w:szCs w:val="20"/>
        </w:rPr>
        <w:t xml:space="preserve">III. METHODOLOGY</w:t>
      </w:r>
    </w:p>
    <w:p>
      <w:pPr>
        <w:spacing w:after="80" w:before="160" w:line="276"/>
        <w:jc w:val="both"/>
      </w:pPr>
      <w:r>
        <w:rPr>
          <w:rFonts w:ascii="Times New Roman" w:cs="Times New Roman" w:eastAsia="Times New Roman" w:hAnsi="Times New Roman"/>
          <w:b w:val="false"/>
          <w:bCs w:val="false"/>
          <w:i/>
          <w:iCs/>
          <w:color w:val="000000"/>
          <w:sz w:val="20"/>
          <w:szCs w:val="20"/>
        </w:rPr>
        <w:t xml:space="preserve">A. Data Generation Framework</w:t>
      </w:r>
    </w:p>
    <w:p>
      <w:pPr>
        <w:spacing w:after="100" w:before="0" w:line="276"/>
        <w:jc w:val="both"/>
      </w:pPr>
      <w:r>
        <w:rPr>
          <w:rFonts w:ascii="Times New Roman" w:cs="Times New Roman" w:eastAsia="Times New Roman" w:hAnsi="Times New Roman"/>
          <w:b w:val="false"/>
          <w:bCs w:val="false"/>
          <w:i w:val="false"/>
          <w:iCs w:val="false"/>
          <w:color w:val="000000"/>
          <w:sz w:val="20"/>
          <w:szCs w:val="20"/>
        </w:rPr>
        <w:t xml:space="preserve">In the absence of publicly available MASS data (the project commenced March 1, 2026), we developed a synthetic data generation framework that models realistic Turkish consumption patterns. The dataset comprises N = 2,000 customers over T = 180 days (March–August 2026) with 15-minute measurement intervals (96 measurements/day), yielding 17,280 data points per customer. Three customer profiles are modeled: residential (70%), commercial (20%), and industrial (10%), each with distinct temporal consumption patterns.</w:t>
      </w:r>
    </w:p>
    <w:p>
      <w:pPr>
        <w:spacing w:after="100" w:before="0" w:line="276"/>
        <w:jc w:val="both"/>
      </w:pPr>
      <w:r>
        <w:rPr>
          <w:rFonts w:ascii="Times New Roman" w:cs="Times New Roman" w:eastAsia="Times New Roman" w:hAnsi="Times New Roman"/>
          <w:b w:val="false"/>
          <w:bCs w:val="false"/>
          <w:i w:val="false"/>
          <w:iCs w:val="false"/>
          <w:color w:val="000000"/>
          <w:sz w:val="20"/>
          <w:szCs w:val="20"/>
        </w:rPr>
        <w:t xml:space="preserve">Residential profiles incorporate morning (07:00–09:00) and evening (18:00–23:00) peak periods with minimal overnight consumption. Commercial profiles exhibit business-hour peaks (09:00–18:00) with reduced weekend activity. Industrial profiles maintain relatively constant consumption reflecting multi-shift operations. All profiles include seasonal modulation following a sinusoidal pattern to model heating/cooling demands.</w:t>
      </w:r>
    </w:p>
    <w:p>
      <w:pPr>
        <w:spacing w:after="80" w:before="160" w:line="276"/>
        <w:jc w:val="both"/>
      </w:pPr>
      <w:r>
        <w:rPr>
          <w:rFonts w:ascii="Times New Roman" w:cs="Times New Roman" w:eastAsia="Times New Roman" w:hAnsi="Times New Roman"/>
          <w:b w:val="false"/>
          <w:bCs w:val="false"/>
          <w:i/>
          <w:iCs/>
          <w:color w:val="000000"/>
          <w:sz w:val="20"/>
          <w:szCs w:val="20"/>
        </w:rPr>
        <w:t xml:space="preserve">B. Theft Scenario Injection</w:t>
      </w:r>
    </w:p>
    <w:p>
      <w:pPr>
        <w:spacing w:after="100" w:before="0" w:line="276"/>
        <w:jc w:val="both"/>
      </w:pPr>
      <w:r>
        <w:rPr>
          <w:rFonts w:ascii="Times New Roman" w:cs="Times New Roman" w:eastAsia="Times New Roman" w:hAnsi="Times New Roman"/>
          <w:b w:val="false"/>
          <w:bCs w:val="false"/>
          <w:i w:val="false"/>
          <w:iCs w:val="false"/>
          <w:color w:val="000000"/>
          <w:sz w:val="20"/>
          <w:szCs w:val="20"/>
        </w:rPr>
        <w:t xml:space="preserve">Five theft scenarios are injected at a 12% overall rate (240 customers), reflecting Turkey's actual NTL statistics:</w:t>
      </w:r>
    </w:p>
    <w:tbl>
      <w:tblPr>
        <w:tblW w:type="dxa" w:w="10426"/>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3926"/>
      </w:tblGrid>
      <w:tr>
        <w:tc>
          <w:tcPr>
            <w:tcW w:type="dxa" w:w="2000"/>
            <w:tcBorders>
              <w:top w:val="single" w:color="999999" w:sz="1"/>
              <w:left w:val="single" w:color="999999" w:sz="1"/>
              <w:bottom w:val="single" w:color="999999" w:sz="1"/>
              <w:right w:val="single" w:color="999999" w:sz="1"/>
            </w:tcBorders>
            <w:shd w:fill="D6EAF8" w:val="clear"/>
            <w:tcMar>
              <w:top w:type="dxa" w:w="40"/>
              <w:left w:type="dxa" w:w="60"/>
              <w:bottom w:type="dxa" w:w="40"/>
              <w:right w:type="dxa" w:w="60"/>
            </w:tcMar>
          </w:tcPr>
          <w:p>
            <w:pPr>
              <w:spacing w:after="0"/>
              <w:jc w:val="center"/>
            </w:pPr>
            <w:r>
              <w:rPr>
                <w:rFonts w:ascii="Times New Roman" w:cs="Times New Roman" w:eastAsia="Times New Roman" w:hAnsi="Times New Roman"/>
                <w:b/>
                <w:bCs/>
                <w:i w:val="false"/>
                <w:iCs w:val="false"/>
                <w:sz w:val="18"/>
                <w:szCs w:val="18"/>
              </w:rPr>
              <w:t xml:space="preserve">Type</w:t>
            </w:r>
          </w:p>
        </w:tc>
        <w:tc>
          <w:tcPr>
            <w:tcW w:type="dxa" w:w="4500"/>
            <w:tcBorders>
              <w:top w:val="single" w:color="999999" w:sz="1"/>
              <w:left w:val="single" w:color="999999" w:sz="1"/>
              <w:bottom w:val="single" w:color="999999" w:sz="1"/>
              <w:right w:val="single" w:color="999999" w:sz="1"/>
            </w:tcBorders>
            <w:shd w:fill="D6EAF8" w:val="clear"/>
            <w:tcMar>
              <w:top w:type="dxa" w:w="40"/>
              <w:left w:type="dxa" w:w="60"/>
              <w:bottom w:type="dxa" w:w="40"/>
              <w:right w:type="dxa" w:w="60"/>
            </w:tcMar>
          </w:tcPr>
          <w:p>
            <w:pPr>
              <w:spacing w:after="0"/>
              <w:jc w:val="center"/>
            </w:pPr>
            <w:r>
              <w:rPr>
                <w:rFonts w:ascii="Times New Roman" w:cs="Times New Roman" w:eastAsia="Times New Roman" w:hAnsi="Times New Roman"/>
                <w:b/>
                <w:bCs/>
                <w:i w:val="false"/>
                <w:iCs w:val="false"/>
                <w:sz w:val="18"/>
                <w:szCs w:val="18"/>
              </w:rPr>
              <w:t xml:space="preserve">Mechanism</w:t>
            </w:r>
          </w:p>
        </w:tc>
        <w:tc>
          <w:tcPr>
            <w:tcW w:type="dxa" w:w="3926"/>
            <w:tcBorders>
              <w:top w:val="single" w:color="999999" w:sz="1"/>
              <w:left w:val="single" w:color="999999" w:sz="1"/>
              <w:bottom w:val="single" w:color="999999" w:sz="1"/>
              <w:right w:val="single" w:color="999999" w:sz="1"/>
            </w:tcBorders>
            <w:shd w:fill="D6EAF8" w:val="clear"/>
            <w:tcMar>
              <w:top w:type="dxa" w:w="40"/>
              <w:left w:type="dxa" w:w="60"/>
              <w:bottom w:type="dxa" w:w="40"/>
              <w:right w:type="dxa" w:w="60"/>
            </w:tcMar>
          </w:tcPr>
          <w:p>
            <w:pPr>
              <w:spacing w:after="0"/>
              <w:jc w:val="center"/>
            </w:pPr>
            <w:r>
              <w:rPr>
                <w:rFonts w:ascii="Times New Roman" w:cs="Times New Roman" w:eastAsia="Times New Roman" w:hAnsi="Times New Roman"/>
                <w:b/>
                <w:bCs/>
                <w:i w:val="false"/>
                <w:iCs w:val="false"/>
                <w:sz w:val="18"/>
                <w:szCs w:val="18"/>
              </w:rPr>
              <w:t xml:space="preserve">Real-World Analog</w:t>
            </w:r>
          </w:p>
        </w:tc>
      </w:tr>
      <w:tr>
        <w:tc>
          <w:tcPr>
            <w:tcW w:type="dxa" w:w="20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6"/>
                <w:szCs w:val="16"/>
              </w:rPr>
              <w:t xml:space="preserve">Constant Reduction</w:t>
            </w:r>
          </w:p>
        </w:tc>
        <w:tc>
          <w:tcPr>
            <w:tcW w:type="dxa" w:w="45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6"/>
                <w:szCs w:val="16"/>
              </w:rPr>
              <w:t xml:space="preserve">All consumption reduced by 30–70%</w:t>
            </w:r>
          </w:p>
        </w:tc>
        <w:tc>
          <w:tcPr>
            <w:tcW w:type="dxa" w:w="3926"/>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6"/>
                <w:szCs w:val="16"/>
              </w:rPr>
              <w:t xml:space="preserve">Meter calibration tampering</w:t>
            </w:r>
          </w:p>
        </w:tc>
      </w:tr>
      <w:tr>
        <w:tc>
          <w:tcPr>
            <w:tcW w:type="dxa" w:w="20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6"/>
                <w:szCs w:val="16"/>
              </w:rPr>
              <w:t xml:space="preserve">Night Zeroing</w:t>
            </w:r>
          </w:p>
        </w:tc>
        <w:tc>
          <w:tcPr>
            <w:tcW w:type="dxa" w:w="45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6"/>
                <w:szCs w:val="16"/>
              </w:rPr>
              <w:t xml:space="preserve">00:00–06:00 consumption set to near-zero</w:t>
            </w:r>
          </w:p>
        </w:tc>
        <w:tc>
          <w:tcPr>
            <w:tcW w:type="dxa" w:w="3926"/>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6"/>
                <w:szCs w:val="16"/>
              </w:rPr>
              <w:t xml:space="preserve">Nighttime cable bypass</w:t>
            </w:r>
          </w:p>
        </w:tc>
      </w:tr>
      <w:tr>
        <w:tc>
          <w:tcPr>
            <w:tcW w:type="dxa" w:w="20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6"/>
                <w:szCs w:val="16"/>
              </w:rPr>
              <w:t xml:space="preserve">Random Zeros</w:t>
            </w:r>
          </w:p>
        </w:tc>
        <w:tc>
          <w:tcPr>
            <w:tcW w:type="dxa" w:w="45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6"/>
                <w:szCs w:val="16"/>
              </w:rPr>
              <w:t xml:space="preserve">30% of days show zero consumption</w:t>
            </w:r>
          </w:p>
        </w:tc>
        <w:tc>
          <w:tcPr>
            <w:tcW w:type="dxa" w:w="3926"/>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6"/>
                <w:szCs w:val="16"/>
              </w:rPr>
              <w:t xml:space="preserve">Periodic meter stopping</w:t>
            </w:r>
          </w:p>
        </w:tc>
      </w:tr>
      <w:tr>
        <w:tc>
          <w:tcPr>
            <w:tcW w:type="dxa" w:w="20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6"/>
                <w:szCs w:val="16"/>
              </w:rPr>
              <w:t xml:space="preserve">Gradual Decrease</w:t>
            </w:r>
          </w:p>
        </w:tc>
        <w:tc>
          <w:tcPr>
            <w:tcW w:type="dxa" w:w="45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6"/>
                <w:szCs w:val="16"/>
              </w:rPr>
              <w:t xml:space="preserve">Monthly 5–10% consumption decline</w:t>
            </w:r>
          </w:p>
        </w:tc>
        <w:tc>
          <w:tcPr>
            <w:tcW w:type="dxa" w:w="3926"/>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6"/>
                <w:szCs w:val="16"/>
              </w:rPr>
              <w:t xml:space="preserve">Progressive theft escalation</w:t>
            </w:r>
          </w:p>
        </w:tc>
      </w:tr>
      <w:tr>
        <w:tc>
          <w:tcPr>
            <w:tcW w:type="dxa" w:w="20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6"/>
                <w:szCs w:val="16"/>
              </w:rPr>
              <w:t xml:space="preserve">Peak Clipping</w:t>
            </w:r>
          </w:p>
        </w:tc>
        <w:tc>
          <w:tcPr>
            <w:tcW w:type="dxa" w:w="45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6"/>
                <w:szCs w:val="16"/>
              </w:rPr>
              <w:t xml:space="preserve">Consumption capped at 60th percentile</w:t>
            </w:r>
          </w:p>
        </w:tc>
        <w:tc>
          <w:tcPr>
            <w:tcW w:type="dxa" w:w="3926"/>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6"/>
                <w:szCs w:val="16"/>
              </w:rPr>
              <w:t xml:space="preserve">Current limiter device</w:t>
            </w:r>
          </w:p>
        </w:tc>
      </w:tr>
    </w:tbl>
    <w:p>
      <w:pPr>
        <w:spacing w:after="160" w:before="0" w:line="276"/>
        <w:jc w:val="center"/>
      </w:pPr>
      <w:r>
        <w:rPr>
          <w:rFonts w:ascii="Times New Roman" w:cs="Times New Roman" w:eastAsia="Times New Roman" w:hAnsi="Times New Roman"/>
          <w:b w:val="false"/>
          <w:bCs w:val="false"/>
          <w:i/>
          <w:iCs/>
          <w:color w:val="000000"/>
          <w:sz w:val="16"/>
          <w:szCs w:val="16"/>
        </w:rPr>
        <w:t xml:space="preserve">TABLE I: Electricity theft scenarios modeled in the synthetic dataset.</w:t>
      </w:r>
    </w:p>
    <w:p>
      <w:pPr>
        <w:spacing w:after="80" w:before="160" w:line="276"/>
        <w:jc w:val="both"/>
      </w:pPr>
      <w:r>
        <w:rPr>
          <w:rFonts w:ascii="Times New Roman" w:cs="Times New Roman" w:eastAsia="Times New Roman" w:hAnsi="Times New Roman"/>
          <w:b w:val="false"/>
          <w:bCs w:val="false"/>
          <w:i/>
          <w:iCs/>
          <w:color w:val="000000"/>
          <w:sz w:val="20"/>
          <w:szCs w:val="20"/>
        </w:rPr>
        <w:t xml:space="preserve">C. Vacation Pattern Modeling</w:t>
      </w:r>
    </w:p>
    <w:p>
      <w:pPr>
        <w:spacing w:after="100" w:before="0" w:line="276"/>
        <w:jc w:val="both"/>
      </w:pPr>
      <w:r>
        <w:rPr>
          <w:rFonts w:ascii="Times New Roman" w:cs="Times New Roman" w:eastAsia="Times New Roman" w:hAnsi="Times New Roman"/>
          <w:b w:val="false"/>
          <w:bCs w:val="false"/>
          <w:i w:val="false"/>
          <w:iCs w:val="false"/>
          <w:color w:val="000000"/>
          <w:sz w:val="20"/>
          <w:szCs w:val="20"/>
        </w:rPr>
        <w:t xml:space="preserve">A critical innovation of MASS-AI is the explicit modeling of vacation patterns to address the false positive problem. Four vacation scenarios are applied to 15% of normal customers (300 customers):</w:t>
      </w:r>
    </w:p>
    <w:p>
      <w:pPr>
        <w:spacing w:after="60" w:before="0" w:line="276"/>
        <w:jc w:val="both"/>
      </w:pPr>
      <w:r>
        <w:rPr>
          <w:rFonts w:ascii="Times New Roman" w:cs="Times New Roman" w:eastAsia="Times New Roman" w:hAnsi="Times New Roman"/>
          <w:b/>
          <w:bCs/>
          <w:i w:val="false"/>
          <w:iCs w:val="false"/>
          <w:color w:val="000000"/>
          <w:sz w:val="20"/>
          <w:szCs w:val="20"/>
        </w:rPr>
        <w:t xml:space="preserve">Short vacation (3–5 days): </w:t>
      </w:r>
      <w:r>
        <w:rPr>
          <w:rFonts w:ascii="Times New Roman" w:cs="Times New Roman" w:eastAsia="Times New Roman" w:hAnsi="Times New Roman"/>
          <w:b w:val="false"/>
          <w:bCs w:val="false"/>
          <w:i w:val="false"/>
          <w:iCs w:val="false"/>
          <w:color w:val="000000"/>
          <w:sz w:val="20"/>
          <w:szCs w:val="20"/>
        </w:rPr>
        <w:t xml:space="preserve">Consumption drops to standby level (refrigerator baseline ~0.05–0.15 kW). Simulates weekend getaways and short holidays.</w:t>
      </w:r>
    </w:p>
    <w:p>
      <w:pPr>
        <w:spacing w:after="60" w:before="0" w:line="276"/>
        <w:jc w:val="both"/>
      </w:pPr>
      <w:r>
        <w:rPr>
          <w:rFonts w:ascii="Times New Roman" w:cs="Times New Roman" w:eastAsia="Times New Roman" w:hAnsi="Times New Roman"/>
          <w:b/>
          <w:bCs/>
          <w:i w:val="false"/>
          <w:iCs w:val="false"/>
          <w:color w:val="000000"/>
          <w:sz w:val="20"/>
          <w:szCs w:val="20"/>
        </w:rPr>
        <w:t xml:space="preserve">Long vacation (7–21 days): </w:t>
      </w:r>
      <w:r>
        <w:rPr>
          <w:rFonts w:ascii="Times New Roman" w:cs="Times New Roman" w:eastAsia="Times New Roman" w:hAnsi="Times New Roman"/>
          <w:b w:val="false"/>
          <w:bCs w:val="false"/>
          <w:i w:val="false"/>
          <w:iCs w:val="false"/>
          <w:color w:val="000000"/>
          <w:sz w:val="20"/>
          <w:szCs w:val="20"/>
        </w:rPr>
        <w:t xml:space="preserve">Extended low consumption with characteristic return surge (post-vacation increase of ~30% for one day due to laundry, cleaning). Simulates summer holidays.</w:t>
      </w:r>
    </w:p>
    <w:p>
      <w:pPr>
        <w:spacing w:after="60" w:before="0" w:line="276"/>
        <w:jc w:val="both"/>
      </w:pPr>
      <w:r>
        <w:rPr>
          <w:rFonts w:ascii="Times New Roman" w:cs="Times New Roman" w:eastAsia="Times New Roman" w:hAnsi="Times New Roman"/>
          <w:b/>
          <w:bCs/>
          <w:i w:val="false"/>
          <w:iCs w:val="false"/>
          <w:color w:val="000000"/>
          <w:sz w:val="20"/>
          <w:szCs w:val="20"/>
        </w:rPr>
        <w:t xml:space="preserve">Holiday effect: </w:t>
      </w:r>
      <w:r>
        <w:rPr>
          <w:rFonts w:ascii="Times New Roman" w:cs="Times New Roman" w:eastAsia="Times New Roman" w:hAnsi="Times New Roman"/>
          <w:b w:val="false"/>
          <w:bCs w:val="false"/>
          <w:i w:val="false"/>
          <w:iCs w:val="false"/>
          <w:color w:val="000000"/>
          <w:sz w:val="20"/>
          <w:szCs w:val="20"/>
        </w:rPr>
        <w:t xml:space="preserve">Consumption reduction of 40–60% during official Turkish holidays (Ramazan Bayramı, Kurban Bayramı, national holidays). Applied based on the 2026 Turkish holiday calendar.</w:t>
      </w:r>
    </w:p>
    <w:p>
      <w:pPr>
        <w:spacing w:after="120" w:before="0" w:line="276"/>
        <w:jc w:val="both"/>
      </w:pPr>
      <w:r>
        <w:rPr>
          <w:rFonts w:ascii="Times New Roman" w:cs="Times New Roman" w:eastAsia="Times New Roman" w:hAnsi="Times New Roman"/>
          <w:b/>
          <w:bCs/>
          <w:i w:val="false"/>
          <w:iCs w:val="false"/>
          <w:color w:val="000000"/>
          <w:sz w:val="20"/>
          <w:szCs w:val="20"/>
        </w:rPr>
        <w:t xml:space="preserve">Seasonal migration (45–90 days): </w:t>
      </w:r>
      <w:r>
        <w:rPr>
          <w:rFonts w:ascii="Times New Roman" w:cs="Times New Roman" w:eastAsia="Times New Roman" w:hAnsi="Times New Roman"/>
          <w:b w:val="false"/>
          <w:bCs w:val="false"/>
          <w:i w:val="false"/>
          <w:iCs w:val="false"/>
          <w:color w:val="000000"/>
          <w:sz w:val="20"/>
          <w:szCs w:val="20"/>
        </w:rPr>
        <w:t xml:space="preserve">Near-zero consumption during summer months, reflecting the common Turkish practice of relocating to rural areas or coastal towns. Standby consumption of 0.02–0.08 kW maintained.</w:t>
      </w:r>
    </w:p>
    <w:p>
      <w:pPr>
        <w:spacing w:after="80" w:before="160" w:line="276"/>
        <w:jc w:val="both"/>
      </w:pPr>
      <w:r>
        <w:rPr>
          <w:rFonts w:ascii="Times New Roman" w:cs="Times New Roman" w:eastAsia="Times New Roman" w:hAnsi="Times New Roman"/>
          <w:b w:val="false"/>
          <w:bCs w:val="false"/>
          <w:i/>
          <w:iCs/>
          <w:color w:val="000000"/>
          <w:sz w:val="20"/>
          <w:szCs w:val="20"/>
        </w:rPr>
        <w:t xml:space="preserve">D. Feature Engineering</w:t>
      </w:r>
    </w:p>
    <w:p>
      <w:pPr>
        <w:spacing w:after="100" w:before="0" w:line="276"/>
        <w:jc w:val="both"/>
      </w:pPr>
      <w:r>
        <w:rPr>
          <w:rFonts w:ascii="Times New Roman" w:cs="Times New Roman" w:eastAsia="Times New Roman" w:hAnsi="Times New Roman"/>
          <w:b w:val="false"/>
          <w:bCs w:val="false"/>
          <w:i w:val="false"/>
          <w:iCs w:val="false"/>
          <w:color w:val="000000"/>
          <w:sz w:val="20"/>
          <w:szCs w:val="20"/>
        </w:rPr>
        <w:t xml:space="preserve">We extract 34+ features organized into four categories:</w:t>
      </w:r>
    </w:p>
    <w:p>
      <w:pPr>
        <w:spacing w:after="60" w:before="0" w:line="276"/>
        <w:jc w:val="both"/>
      </w:pPr>
      <w:r>
        <w:rPr>
          <w:rFonts w:ascii="Times New Roman" w:cs="Times New Roman" w:eastAsia="Times New Roman" w:hAnsi="Times New Roman"/>
          <w:b/>
          <w:bCs/>
          <w:i w:val="false"/>
          <w:iCs w:val="false"/>
          <w:color w:val="000000"/>
          <w:sz w:val="20"/>
          <w:szCs w:val="20"/>
        </w:rPr>
        <w:t xml:space="preserve">Base statistical features (20): </w:t>
      </w:r>
      <w:r>
        <w:rPr>
          <w:rFonts w:ascii="Times New Roman" w:cs="Times New Roman" w:eastAsia="Times New Roman" w:hAnsi="Times New Roman"/>
          <w:b w:val="false"/>
          <w:bCs w:val="false"/>
          <w:i w:val="false"/>
          <w:iCs w:val="false"/>
          <w:color w:val="000000"/>
          <w:sz w:val="20"/>
          <w:szCs w:val="20"/>
        </w:rPr>
        <w:t xml:space="preserve">Mean, standard deviation, min, max, median, skewness, kurtosis of consumption values; daily total statistics (mean, std, coefficient of variation); night-to-day ratio; weekend-to-weekday ratio; peak hour; zero measurement percentage; sudden change ratio; trend slope; interquartile range.</w:t>
      </w:r>
    </w:p>
    <w:p>
      <w:pPr>
        <w:spacing w:after="60" w:before="0" w:line="276"/>
        <w:jc w:val="both"/>
      </w:pPr>
      <w:r>
        <w:rPr>
          <w:rFonts w:ascii="Times New Roman" w:cs="Times New Roman" w:eastAsia="Times New Roman" w:hAnsi="Times New Roman"/>
          <w:b/>
          <w:bCs/>
          <w:i w:val="false"/>
          <w:iCs w:val="false"/>
          <w:color w:val="000000"/>
          <w:sz w:val="20"/>
          <w:szCs w:val="20"/>
        </w:rPr>
        <w:t xml:space="preserve">Context-aware transition features (6): </w:t>
      </w:r>
      <w:r>
        <w:rPr>
          <w:rFonts w:ascii="Times New Roman" w:cs="Times New Roman" w:eastAsia="Times New Roman" w:hAnsi="Times New Roman"/>
          <w:b w:val="false"/>
          <w:bCs w:val="false"/>
          <w:i w:val="false"/>
          <w:iCs w:val="false"/>
          <w:color w:val="000000"/>
          <w:sz w:val="20"/>
          <w:szCs w:val="20"/>
        </w:rPr>
        <w:t xml:space="preserve">Drop edge count (days with &gt;50% consumption decrease), rise edge count, V-shape score (paired drop-rise events indicating temporary absence), maximum low-consumption block duration, number of low blocks, average block duration. The V-shape score is computed as V = min(drops, rises) / (T/30), distinguishing vacation (high V) from theft (low V).</w:t>
      </w:r>
    </w:p>
    <w:p>
      <w:pPr>
        <w:spacing w:after="60" w:before="0" w:line="276"/>
        <w:jc w:val="both"/>
      </w:pPr>
      <w:r>
        <w:rPr>
          <w:rFonts w:ascii="Times New Roman" w:cs="Times New Roman" w:eastAsia="Times New Roman" w:hAnsi="Times New Roman"/>
          <w:b/>
          <w:bCs/>
          <w:i w:val="false"/>
          <w:iCs w:val="false"/>
          <w:color w:val="000000"/>
          <w:sz w:val="20"/>
          <w:szCs w:val="20"/>
        </w:rPr>
        <w:t xml:space="preserve">Holiday and neighborhood features (4): </w:t>
      </w:r>
      <w:r>
        <w:rPr>
          <w:rFonts w:ascii="Times New Roman" w:cs="Times New Roman" w:eastAsia="Times New Roman" w:hAnsi="Times New Roman"/>
          <w:b w:val="false"/>
          <w:bCs w:val="false"/>
          <w:i w:val="false"/>
          <w:iCs w:val="false"/>
          <w:color w:val="000000"/>
          <w:sz w:val="20"/>
          <w:szCs w:val="20"/>
        </w:rPr>
        <w:t xml:space="preserve">Holiday consumption ratio (consumption during official holidays vs. non-holidays), neighbor correlation (Pearson correlation with transformer-group average), neighbor deviation score (mean absolute deviation from group average normalized by group standard deviation), weekday pattern coefficient of variation.</w:t>
      </w:r>
    </w:p>
    <w:p>
      <w:pPr>
        <w:spacing w:after="120" w:before="0" w:line="276"/>
        <w:jc w:val="both"/>
      </w:pPr>
      <w:r>
        <w:rPr>
          <w:rFonts w:ascii="Times New Roman" w:cs="Times New Roman" w:eastAsia="Times New Roman" w:hAnsi="Times New Roman"/>
          <w:b/>
          <w:bCs/>
          <w:i w:val="false"/>
          <w:iCs w:val="false"/>
          <w:color w:val="000000"/>
          <w:sz w:val="20"/>
          <w:szCs w:val="20"/>
        </w:rPr>
        <w:t xml:space="preserve">Standby analysis features (4): </w:t>
      </w:r>
      <w:r>
        <w:rPr>
          <w:rFonts w:ascii="Times New Roman" w:cs="Times New Roman" w:eastAsia="Times New Roman" w:hAnsi="Times New Roman"/>
          <w:b w:val="false"/>
          <w:bCs w:val="false"/>
          <w:i w:val="false"/>
          <w:iCs w:val="false"/>
          <w:color w:val="000000"/>
          <w:sz w:val="20"/>
          <w:szCs w:val="20"/>
        </w:rPr>
        <w:t xml:space="preserve">Near-zero day ratio (days with minimum &lt; 0.005 kW), standby day ratio (days with minimum 0.005–0.2 kW), average minimum consumption during low periods, post-low surge count. This distinction is critical: vacationing customers maintain standby consumption (refrigerator, security systems) while cable bypass theft produces true zero readings.</w:t>
      </w:r>
    </w:p>
    <w:p>
      <w:pPr>
        <w:spacing w:after="80" w:before="160" w:line="276"/>
        <w:jc w:val="both"/>
      </w:pPr>
      <w:r>
        <w:rPr>
          <w:rFonts w:ascii="Times New Roman" w:cs="Times New Roman" w:eastAsia="Times New Roman" w:hAnsi="Times New Roman"/>
          <w:b w:val="false"/>
          <w:bCs w:val="false"/>
          <w:i/>
          <w:iCs/>
          <w:color w:val="000000"/>
          <w:sz w:val="20"/>
          <w:szCs w:val="20"/>
        </w:rPr>
        <w:t xml:space="preserve">E. Model Architectures</w:t>
      </w:r>
    </w:p>
    <w:p>
      <w:pPr>
        <w:spacing w:after="100" w:before="0" w:line="276"/>
        <w:jc w:val="both"/>
      </w:pPr>
      <w:r>
        <w:rPr>
          <w:rFonts w:ascii="Times New Roman" w:cs="Times New Roman" w:eastAsia="Times New Roman" w:hAnsi="Times New Roman"/>
          <w:b w:val="false"/>
          <w:bCs w:val="false"/>
          <w:i w:val="false"/>
          <w:iCs w:val="false"/>
          <w:color w:val="000000"/>
          <w:sz w:val="20"/>
          <w:szCs w:val="20"/>
        </w:rPr>
        <w:t xml:space="preserve">We evaluate six models spanning three paradigms:</w:t>
      </w:r>
    </w:p>
    <w:p>
      <w:pPr>
        <w:spacing w:after="60" w:before="0" w:line="276"/>
        <w:jc w:val="both"/>
      </w:pPr>
      <w:r>
        <w:rPr>
          <w:rFonts w:ascii="Times New Roman" w:cs="Times New Roman" w:eastAsia="Times New Roman" w:hAnsi="Times New Roman"/>
          <w:b/>
          <w:bCs/>
          <w:i w:val="false"/>
          <w:iCs w:val="false"/>
          <w:color w:val="000000"/>
          <w:sz w:val="20"/>
          <w:szCs w:val="20"/>
        </w:rPr>
        <w:t xml:space="preserve">Unsupervised — Isolation Forest: </w:t>
      </w:r>
      <w:r>
        <w:rPr>
          <w:rFonts w:ascii="Times New Roman" w:cs="Times New Roman" w:eastAsia="Times New Roman" w:hAnsi="Times New Roman"/>
          <w:b w:val="false"/>
          <w:bCs w:val="false"/>
          <w:i w:val="false"/>
          <w:iCs w:val="false"/>
          <w:color w:val="000000"/>
          <w:sz w:val="20"/>
          <w:szCs w:val="20"/>
        </w:rPr>
        <w:t xml:space="preserve">200 estimators with contamination parameter α = 0.12 matching the expected theft rate. Operates without labeled data, isolating anomalies through random feature splitting [12].</w:t>
      </w:r>
    </w:p>
    <w:p>
      <w:pPr>
        <w:spacing w:after="60" w:before="0" w:line="276"/>
        <w:jc w:val="both"/>
      </w:pPr>
      <w:r>
        <w:rPr>
          <w:rFonts w:ascii="Times New Roman" w:cs="Times New Roman" w:eastAsia="Times New Roman" w:hAnsi="Times New Roman"/>
          <w:b/>
          <w:bCs/>
          <w:i w:val="false"/>
          <w:iCs w:val="false"/>
          <w:color w:val="000000"/>
          <w:sz w:val="20"/>
          <w:szCs w:val="20"/>
        </w:rPr>
        <w:t xml:space="preserve">Supervised — XGBoost: </w:t>
      </w:r>
      <w:r>
        <w:rPr>
          <w:rFonts w:ascii="Times New Roman" w:cs="Times New Roman" w:eastAsia="Times New Roman" w:hAnsi="Times New Roman"/>
          <w:b w:val="false"/>
          <w:bCs w:val="false"/>
          <w:i w:val="false"/>
          <w:iCs w:val="false"/>
          <w:color w:val="000000"/>
          <w:sz w:val="20"/>
          <w:szCs w:val="20"/>
        </w:rPr>
        <w:t xml:space="preserve">300 estimators, max_depth = 6, learning_rate = 0.05, with scale_pos_weight for class imbalance handling. Subsample and colsample_bytree set to 0.8 for regularization [13].</w:t>
      </w:r>
    </w:p>
    <w:p>
      <w:pPr>
        <w:spacing w:after="60" w:before="0" w:line="276"/>
        <w:jc w:val="both"/>
      </w:pPr>
      <w:r>
        <w:rPr>
          <w:rFonts w:ascii="Times New Roman" w:cs="Times New Roman" w:eastAsia="Times New Roman" w:hAnsi="Times New Roman"/>
          <w:b/>
          <w:bCs/>
          <w:i w:val="false"/>
          <w:iCs w:val="false"/>
          <w:color w:val="000000"/>
          <w:sz w:val="20"/>
          <w:szCs w:val="20"/>
        </w:rPr>
        <w:t xml:space="preserve">Supervised — Random Forest: </w:t>
      </w:r>
      <w:r>
        <w:rPr>
          <w:rFonts w:ascii="Times New Roman" w:cs="Times New Roman" w:eastAsia="Times New Roman" w:hAnsi="Times New Roman"/>
          <w:b w:val="false"/>
          <w:bCs w:val="false"/>
          <w:i w:val="false"/>
          <w:iCs w:val="false"/>
          <w:color w:val="000000"/>
          <w:sz w:val="20"/>
          <w:szCs w:val="20"/>
        </w:rPr>
        <w:t xml:space="preserve">200 estimators, max_depth = 8, with balanced class weights. Provides robust performance and feature importance rankings [14].</w:t>
      </w:r>
    </w:p>
    <w:p>
      <w:pPr>
        <w:spacing w:after="60" w:before="0" w:line="276"/>
        <w:jc w:val="both"/>
      </w:pPr>
      <w:r>
        <w:rPr>
          <w:rFonts w:ascii="Times New Roman" w:cs="Times New Roman" w:eastAsia="Times New Roman" w:hAnsi="Times New Roman"/>
          <w:b/>
          <w:bCs/>
          <w:i w:val="false"/>
          <w:iCs w:val="false"/>
          <w:color w:val="000000"/>
          <w:sz w:val="20"/>
          <w:szCs w:val="20"/>
        </w:rPr>
        <w:t xml:space="preserve">Supervised — Gradient Boosting: </w:t>
      </w:r>
      <w:r>
        <w:rPr>
          <w:rFonts w:ascii="Times New Roman" w:cs="Times New Roman" w:eastAsia="Times New Roman" w:hAnsi="Times New Roman"/>
          <w:b w:val="false"/>
          <w:bCs w:val="false"/>
          <w:i w:val="false"/>
          <w:iCs w:val="false"/>
          <w:color w:val="000000"/>
          <w:sz w:val="20"/>
          <w:szCs w:val="20"/>
        </w:rPr>
        <w:t xml:space="preserve">200 estimators, max_depth = 5, learning_rate = 0.05, subsample = 0.8. Sequential boosting for residual correction.</w:t>
      </w:r>
    </w:p>
    <w:p>
      <w:pPr>
        <w:spacing w:after="60" w:before="0" w:line="276"/>
        <w:jc w:val="both"/>
      </w:pPr>
      <w:r>
        <w:rPr>
          <w:rFonts w:ascii="Times New Roman" w:cs="Times New Roman" w:eastAsia="Times New Roman" w:hAnsi="Times New Roman"/>
          <w:b/>
          <w:bCs/>
          <w:i w:val="false"/>
          <w:iCs w:val="false"/>
          <w:color w:val="000000"/>
          <w:sz w:val="20"/>
          <w:szCs w:val="20"/>
        </w:rPr>
        <w:t xml:space="preserve">Deep Learning — LSTM Autoencoder: </w:t>
      </w:r>
      <w:r>
        <w:rPr>
          <w:rFonts w:ascii="Times New Roman" w:cs="Times New Roman" w:eastAsia="Times New Roman" w:hAnsi="Times New Roman"/>
          <w:b w:val="false"/>
          <w:bCs w:val="false"/>
          <w:i w:val="false"/>
          <w:iCs w:val="false"/>
          <w:color w:val="000000"/>
          <w:sz w:val="20"/>
          <w:szCs w:val="20"/>
        </w:rPr>
        <w:t xml:space="preserve">Encoder: LSTM(64) → Dropout(0.2) → LSTM(32) → Dense(32). Decoder: RepeatVector(96) → LSTM(32) → Dropout(0.2) → LSTM(64) → TimeDistributed(Dense(1)). Trained exclusively on normal sequences using MSE loss with Adam optimizer (lr = 0.001). Input: 96-timestep windows (24 hours) with 48-timestep stride. Anomaly threshold determined by F1 maximization on the precision-recall curve [10].</w:t>
      </w:r>
    </w:p>
    <w:p>
      <w:pPr>
        <w:spacing w:after="60" w:before="0" w:line="276"/>
        <w:jc w:val="both"/>
      </w:pPr>
      <w:r>
        <w:rPr>
          <w:rFonts w:ascii="Times New Roman" w:cs="Times New Roman" w:eastAsia="Times New Roman" w:hAnsi="Times New Roman"/>
          <w:b/>
          <w:bCs/>
          <w:i w:val="false"/>
          <w:iCs w:val="false"/>
          <w:color w:val="000000"/>
          <w:sz w:val="20"/>
          <w:szCs w:val="20"/>
        </w:rPr>
        <w:t xml:space="preserve">Meta-Learning — Stacking Ensemble: </w:t>
      </w:r>
      <w:r>
        <w:rPr>
          <w:rFonts w:ascii="Times New Roman" w:cs="Times New Roman" w:eastAsia="Times New Roman" w:hAnsi="Times New Roman"/>
          <w:b w:val="false"/>
          <w:bCs w:val="false"/>
          <w:i w:val="false"/>
          <w:iCs w:val="false"/>
          <w:color w:val="000000"/>
          <w:sz w:val="20"/>
          <w:szCs w:val="20"/>
        </w:rPr>
        <w:t xml:space="preserve">Base learners: XGBoost, Random Forest, Gradient Boosting. Meta-learner: Logistic Regression trained on 5-fold stratified cross-validated predictions. SMOTE-style minority augmentation raises the minority class ratio from 12% to 25% before training [15].</w:t>
      </w:r>
    </w:p>
    <w:p>
      <w:pPr>
        <w:spacing w:after="80" w:before="160" w:line="276"/>
        <w:jc w:val="both"/>
      </w:pPr>
      <w:r>
        <w:rPr>
          <w:rFonts w:ascii="Times New Roman" w:cs="Times New Roman" w:eastAsia="Times New Roman" w:hAnsi="Times New Roman"/>
          <w:b w:val="false"/>
          <w:bCs w:val="false"/>
          <w:i/>
          <w:iCs/>
          <w:color w:val="000000"/>
          <w:sz w:val="20"/>
          <w:szCs w:val="20"/>
        </w:rPr>
        <w:t xml:space="preserve">F. Explainability with SHAP</w:t>
      </w:r>
    </w:p>
    <w:p>
      <w:pPr>
        <w:spacing w:after="100" w:before="0" w:line="276"/>
        <w:jc w:val="both"/>
      </w:pPr>
      <w:r>
        <w:rPr>
          <w:rFonts w:ascii="Times New Roman" w:cs="Times New Roman" w:eastAsia="Times New Roman" w:hAnsi="Times New Roman"/>
          <w:b w:val="false"/>
          <w:bCs w:val="false"/>
          <w:i w:val="false"/>
          <w:iCs w:val="false"/>
          <w:color w:val="000000"/>
          <w:sz w:val="20"/>
          <w:szCs w:val="20"/>
        </w:rPr>
        <w:t xml:space="preserve">To provide interpretable predictions, we employ TreeSHAP [16] on the Random Forest component of the Stacking Ensemble. SHAP values are computed for each test sample, enabling both global feature importance rankings and per-customer explanations of the form: 'Customer #1332 is flagged due to high sudden_change_ratio (+0.228 SHAP), elevated kurtosis (+0.118), and high daily CV (+0.092).' This interpretability is critical for operational deployment, as field inspection teams require justification for prioritization decisions.</w:t>
      </w:r>
    </w:p>
    <w:p>
      <w:pPr>
        <w:spacing w:after="120" w:before="240" w:line="276"/>
        <w:jc w:val="center"/>
      </w:pPr>
      <w:r>
        <w:rPr>
          <w:rFonts w:ascii="Times New Roman" w:cs="Times New Roman" w:eastAsia="Times New Roman" w:hAnsi="Times New Roman"/>
          <w:b/>
          <w:bCs/>
          <w:i w:val="false"/>
          <w:iCs w:val="false"/>
          <w:color w:val="000000"/>
          <w:sz w:val="20"/>
          <w:szCs w:val="20"/>
        </w:rPr>
        <w:t xml:space="preserve">IV. EXPERIMENTAL RESULTS</w:t>
      </w:r>
    </w:p>
    <w:p>
      <w:pPr>
        <w:spacing w:after="80" w:before="160" w:line="276"/>
        <w:jc w:val="both"/>
      </w:pPr>
      <w:r>
        <w:rPr>
          <w:rFonts w:ascii="Times New Roman" w:cs="Times New Roman" w:eastAsia="Times New Roman" w:hAnsi="Times New Roman"/>
          <w:b w:val="false"/>
          <w:bCs w:val="false"/>
          <w:i/>
          <w:iCs/>
          <w:color w:val="000000"/>
          <w:sz w:val="20"/>
          <w:szCs w:val="20"/>
        </w:rPr>
        <w:t xml:space="preserve">A. Experimental Setup</w:t>
      </w:r>
    </w:p>
    <w:p>
      <w:pPr>
        <w:spacing w:after="100" w:before="0" w:line="276"/>
        <w:jc w:val="both"/>
      </w:pPr>
      <w:r>
        <w:rPr>
          <w:rFonts w:ascii="Times New Roman" w:cs="Times New Roman" w:eastAsia="Times New Roman" w:hAnsi="Times New Roman"/>
          <w:b w:val="false"/>
          <w:bCs w:val="false"/>
          <w:i w:val="false"/>
          <w:iCs w:val="false"/>
          <w:color w:val="000000"/>
          <w:sz w:val="20"/>
          <w:szCs w:val="20"/>
        </w:rPr>
        <w:t xml:space="preserve">The dataset is partitioned into 75% training and 25% test sets with stratified sampling. All features are standardized using z-score normalization. For the LSTM Autoencoder, only normal training samples are used for model fitting. Early stopping (patience = 5) and learning rate reduction on plateau are employed. The Stacking Ensemble uses 5-fold stratified cross-validation for meta-feature generation. All experiments are conducted using Python 3.12 with scikit-learn 1.3, XGBoost 2.0, and TensorFlow 2.20.</w:t>
      </w:r>
    </w:p>
    <w:p>
      <w:pPr>
        <w:spacing w:after="80" w:before="160" w:line="276"/>
        <w:jc w:val="both"/>
      </w:pPr>
      <w:r>
        <w:rPr>
          <w:rFonts w:ascii="Times New Roman" w:cs="Times New Roman" w:eastAsia="Times New Roman" w:hAnsi="Times New Roman"/>
          <w:b w:val="false"/>
          <w:bCs w:val="false"/>
          <w:i/>
          <w:iCs/>
          <w:color w:val="000000"/>
          <w:sz w:val="20"/>
          <w:szCs w:val="20"/>
        </w:rPr>
        <w:t xml:space="preserve">B. Overall Model Comparison</w:t>
      </w:r>
    </w:p>
    <w:tbl>
      <w:tblPr>
        <w:tblW w:type="dxa" w:w="104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2626"/>
      </w:tblGrid>
      <w:tr>
        <w:tc>
          <w:tcPr>
            <w:tcW w:type="dxa" w:w="2400"/>
            <w:tcBorders>
              <w:top w:val="single" w:color="999999" w:sz="1"/>
              <w:left w:val="single" w:color="999999" w:sz="1"/>
              <w:bottom w:val="single" w:color="999999" w:sz="1"/>
              <w:right w:val="single" w:color="999999" w:sz="1"/>
            </w:tcBorders>
            <w:shd w:fill="D6EAF8" w:val="clear"/>
            <w:tcMar>
              <w:top w:type="dxa" w:w="40"/>
              <w:left w:type="dxa" w:w="60"/>
              <w:bottom w:type="dxa" w:w="40"/>
              <w:right w:type="dxa" w:w="60"/>
            </w:tcMar>
          </w:tcPr>
          <w:p>
            <w:pPr>
              <w:spacing w:after="0"/>
              <w:jc w:val="center"/>
            </w:pPr>
            <w:r>
              <w:rPr>
                <w:rFonts w:ascii="Times New Roman" w:cs="Times New Roman" w:eastAsia="Times New Roman" w:hAnsi="Times New Roman"/>
                <w:b/>
                <w:bCs/>
                <w:i w:val="false"/>
                <w:iCs w:val="false"/>
                <w:sz w:val="18"/>
                <w:szCs w:val="18"/>
              </w:rPr>
              <w:t xml:space="preserve">Model</w:t>
            </w:r>
          </w:p>
        </w:tc>
        <w:tc>
          <w:tcPr>
            <w:tcW w:type="dxa" w:w="1800"/>
            <w:tcBorders>
              <w:top w:val="single" w:color="999999" w:sz="1"/>
              <w:left w:val="single" w:color="999999" w:sz="1"/>
              <w:bottom w:val="single" w:color="999999" w:sz="1"/>
              <w:right w:val="single" w:color="999999" w:sz="1"/>
            </w:tcBorders>
            <w:shd w:fill="D6EAF8" w:val="clear"/>
            <w:tcMar>
              <w:top w:type="dxa" w:w="40"/>
              <w:left w:type="dxa" w:w="60"/>
              <w:bottom w:type="dxa" w:w="40"/>
              <w:right w:type="dxa" w:w="60"/>
            </w:tcMar>
          </w:tcPr>
          <w:p>
            <w:pPr>
              <w:spacing w:after="0"/>
              <w:jc w:val="center"/>
            </w:pPr>
            <w:r>
              <w:rPr>
                <w:rFonts w:ascii="Times New Roman" w:cs="Times New Roman" w:eastAsia="Times New Roman" w:hAnsi="Times New Roman"/>
                <w:b/>
                <w:bCs/>
                <w:i w:val="false"/>
                <w:iCs w:val="false"/>
                <w:sz w:val="18"/>
                <w:szCs w:val="18"/>
              </w:rPr>
              <w:t xml:space="preserve">ROC-AUC</w:t>
            </w:r>
          </w:p>
        </w:tc>
        <w:tc>
          <w:tcPr>
            <w:tcW w:type="dxa" w:w="1800"/>
            <w:tcBorders>
              <w:top w:val="single" w:color="999999" w:sz="1"/>
              <w:left w:val="single" w:color="999999" w:sz="1"/>
              <w:bottom w:val="single" w:color="999999" w:sz="1"/>
              <w:right w:val="single" w:color="999999" w:sz="1"/>
            </w:tcBorders>
            <w:shd w:fill="D6EAF8" w:val="clear"/>
            <w:tcMar>
              <w:top w:type="dxa" w:w="40"/>
              <w:left w:type="dxa" w:w="60"/>
              <w:bottom w:type="dxa" w:w="40"/>
              <w:right w:type="dxa" w:w="60"/>
            </w:tcMar>
          </w:tcPr>
          <w:p>
            <w:pPr>
              <w:spacing w:after="0"/>
              <w:jc w:val="center"/>
            </w:pPr>
            <w:r>
              <w:rPr>
                <w:rFonts w:ascii="Times New Roman" w:cs="Times New Roman" w:eastAsia="Times New Roman" w:hAnsi="Times New Roman"/>
                <w:b/>
                <w:bCs/>
                <w:i w:val="false"/>
                <w:iCs w:val="false"/>
                <w:sz w:val="18"/>
                <w:szCs w:val="18"/>
              </w:rPr>
              <w:t xml:space="preserve">F1</w:t>
            </w:r>
          </w:p>
        </w:tc>
        <w:tc>
          <w:tcPr>
            <w:tcW w:type="dxa" w:w="1800"/>
            <w:tcBorders>
              <w:top w:val="single" w:color="999999" w:sz="1"/>
              <w:left w:val="single" w:color="999999" w:sz="1"/>
              <w:bottom w:val="single" w:color="999999" w:sz="1"/>
              <w:right w:val="single" w:color="999999" w:sz="1"/>
            </w:tcBorders>
            <w:shd w:fill="D6EAF8" w:val="clear"/>
            <w:tcMar>
              <w:top w:type="dxa" w:w="40"/>
              <w:left w:type="dxa" w:w="60"/>
              <w:bottom w:type="dxa" w:w="40"/>
              <w:right w:type="dxa" w:w="60"/>
            </w:tcMar>
          </w:tcPr>
          <w:p>
            <w:pPr>
              <w:spacing w:after="0"/>
              <w:jc w:val="center"/>
            </w:pPr>
            <w:r>
              <w:rPr>
                <w:rFonts w:ascii="Times New Roman" w:cs="Times New Roman" w:eastAsia="Times New Roman" w:hAnsi="Times New Roman"/>
                <w:b/>
                <w:bCs/>
                <w:i w:val="false"/>
                <w:iCs w:val="false"/>
                <w:sz w:val="18"/>
                <w:szCs w:val="18"/>
              </w:rPr>
              <w:t xml:space="preserve">Precision</w:t>
            </w:r>
          </w:p>
        </w:tc>
        <w:tc>
          <w:tcPr>
            <w:tcW w:type="dxa" w:w="2626"/>
            <w:tcBorders>
              <w:top w:val="single" w:color="999999" w:sz="1"/>
              <w:left w:val="single" w:color="999999" w:sz="1"/>
              <w:bottom w:val="single" w:color="999999" w:sz="1"/>
              <w:right w:val="single" w:color="999999" w:sz="1"/>
            </w:tcBorders>
            <w:shd w:fill="D6EAF8" w:val="clear"/>
            <w:tcMar>
              <w:top w:type="dxa" w:w="40"/>
              <w:left w:type="dxa" w:w="60"/>
              <w:bottom w:type="dxa" w:w="40"/>
              <w:right w:type="dxa" w:w="60"/>
            </w:tcMar>
          </w:tcPr>
          <w:p>
            <w:pPr>
              <w:spacing w:after="0"/>
              <w:jc w:val="center"/>
            </w:pPr>
            <w:r>
              <w:rPr>
                <w:rFonts w:ascii="Times New Roman" w:cs="Times New Roman" w:eastAsia="Times New Roman" w:hAnsi="Times New Roman"/>
                <w:b/>
                <w:bCs/>
                <w:i w:val="false"/>
                <w:iCs w:val="false"/>
                <w:sz w:val="18"/>
                <w:szCs w:val="18"/>
              </w:rPr>
              <w:t xml:space="preserve">Type</w:t>
            </w:r>
          </w:p>
        </w:tc>
      </w:tr>
      <w:tr>
        <w:tc>
          <w:tcPr>
            <w:tcW w:type="dxa" w:w="24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bCs/>
                <w:i w:val="false"/>
                <w:iCs w:val="false"/>
                <w:sz w:val="18"/>
                <w:szCs w:val="18"/>
              </w:rPr>
              <w:t xml:space="preserve">Stacking Ensemble</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bCs/>
                <w:i w:val="false"/>
                <w:iCs w:val="false"/>
                <w:sz w:val="18"/>
                <w:szCs w:val="18"/>
              </w:rPr>
              <w:t xml:space="preserve">0.9428</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bCs/>
                <w:i w:val="false"/>
                <w:iCs w:val="false"/>
                <w:sz w:val="18"/>
                <w:szCs w:val="18"/>
              </w:rPr>
              <w:t xml:space="preserve">0.8727</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bCs/>
                <w:i w:val="false"/>
                <w:iCs w:val="false"/>
                <w:sz w:val="18"/>
                <w:szCs w:val="18"/>
              </w:rPr>
              <w:t xml:space="preserve">0.96</w:t>
            </w:r>
          </w:p>
        </w:tc>
        <w:tc>
          <w:tcPr>
            <w:tcW w:type="dxa" w:w="2626"/>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8"/>
                <w:szCs w:val="18"/>
              </w:rPr>
              <w:t xml:space="preserve">Meta-Learning</w:t>
            </w:r>
          </w:p>
        </w:tc>
      </w:tr>
      <w:tr>
        <w:tc>
          <w:tcPr>
            <w:tcW w:type="dxa" w:w="24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8"/>
                <w:szCs w:val="18"/>
              </w:rPr>
              <w:t xml:space="preserve">Random Forest</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8"/>
                <w:szCs w:val="18"/>
              </w:rPr>
              <w:t xml:space="preserve">0.9461</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8"/>
                <w:szCs w:val="18"/>
              </w:rPr>
              <w:t xml:space="preserve">0.8704</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8"/>
                <w:szCs w:val="18"/>
              </w:rPr>
              <w:t xml:space="preserve">0.98</w:t>
            </w:r>
          </w:p>
        </w:tc>
        <w:tc>
          <w:tcPr>
            <w:tcW w:type="dxa" w:w="2626"/>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8"/>
                <w:szCs w:val="18"/>
              </w:rPr>
              <w:t xml:space="preserve">Supervised</w:t>
            </w:r>
          </w:p>
        </w:tc>
      </w:tr>
      <w:tr>
        <w:tc>
          <w:tcPr>
            <w:tcW w:type="dxa" w:w="24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8"/>
                <w:szCs w:val="18"/>
              </w:rPr>
              <w:t xml:space="preserve">Gradient Boosting</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8"/>
                <w:szCs w:val="18"/>
              </w:rPr>
              <w:t xml:space="preserve">0.9380</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8"/>
                <w:szCs w:val="18"/>
              </w:rPr>
              <w:t xml:space="preserve">0.8411</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8"/>
                <w:szCs w:val="18"/>
              </w:rPr>
              <w:t xml:space="preserve">—</w:t>
            </w:r>
          </w:p>
        </w:tc>
        <w:tc>
          <w:tcPr>
            <w:tcW w:type="dxa" w:w="2626"/>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8"/>
                <w:szCs w:val="18"/>
              </w:rPr>
              <w:t xml:space="preserve">Supervised</w:t>
            </w:r>
          </w:p>
        </w:tc>
      </w:tr>
      <w:tr>
        <w:tc>
          <w:tcPr>
            <w:tcW w:type="dxa" w:w="24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8"/>
                <w:szCs w:val="18"/>
              </w:rPr>
              <w:t xml:space="preserve">XGBoost</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8"/>
                <w:szCs w:val="18"/>
              </w:rPr>
              <w:t xml:space="preserve">0.9322</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8"/>
                <w:szCs w:val="18"/>
              </w:rPr>
              <w:t xml:space="preserve">0.8440</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8"/>
                <w:szCs w:val="18"/>
              </w:rPr>
              <w:t xml:space="preserve">0.92</w:t>
            </w:r>
          </w:p>
        </w:tc>
        <w:tc>
          <w:tcPr>
            <w:tcW w:type="dxa" w:w="2626"/>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8"/>
                <w:szCs w:val="18"/>
              </w:rPr>
              <w:t xml:space="preserve">Supervised</w:t>
            </w:r>
          </w:p>
        </w:tc>
      </w:tr>
      <w:tr>
        <w:tc>
          <w:tcPr>
            <w:tcW w:type="dxa" w:w="24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8"/>
                <w:szCs w:val="18"/>
              </w:rPr>
              <w:t xml:space="preserve">Isolation Forest</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8"/>
                <w:szCs w:val="18"/>
              </w:rPr>
              <w:t xml:space="preserve">0.8208</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8"/>
                <w:szCs w:val="18"/>
              </w:rPr>
              <w:t xml:space="preserve">0.2609</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8"/>
                <w:szCs w:val="18"/>
              </w:rPr>
              <w:t xml:space="preserve">0.27</w:t>
            </w:r>
          </w:p>
        </w:tc>
        <w:tc>
          <w:tcPr>
            <w:tcW w:type="dxa" w:w="2626"/>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8"/>
                <w:szCs w:val="18"/>
              </w:rPr>
              <w:t xml:space="preserve">Unsupervised</w:t>
            </w:r>
          </w:p>
        </w:tc>
      </w:tr>
      <w:tr>
        <w:tc>
          <w:tcPr>
            <w:tcW w:type="dxa" w:w="24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8"/>
                <w:szCs w:val="18"/>
              </w:rPr>
              <w:t xml:space="preserve">LSTM Autoencoder*</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8"/>
                <w:szCs w:val="18"/>
              </w:rPr>
              <w:t xml:space="preserve">0.7482</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8"/>
                <w:szCs w:val="18"/>
              </w:rPr>
              <w:t xml:space="preserve">0.5600</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8"/>
                <w:szCs w:val="18"/>
              </w:rPr>
              <w:t xml:space="preserve">—</w:t>
            </w:r>
          </w:p>
        </w:tc>
        <w:tc>
          <w:tcPr>
            <w:tcW w:type="dxa" w:w="2626"/>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8"/>
                <w:szCs w:val="18"/>
              </w:rPr>
              <w:t xml:space="preserve">Deep Learning</w:t>
            </w:r>
          </w:p>
        </w:tc>
      </w:tr>
    </w:tbl>
    <w:p>
      <w:pPr>
        <w:spacing w:after="160" w:before="0" w:line="276"/>
        <w:jc w:val="center"/>
      </w:pPr>
      <w:r>
        <w:rPr>
          <w:rFonts w:ascii="Times New Roman" w:cs="Times New Roman" w:eastAsia="Times New Roman" w:hAnsi="Times New Roman"/>
          <w:b w:val="false"/>
          <w:bCs w:val="false"/>
          <w:i/>
          <w:iCs/>
          <w:color w:val="000000"/>
          <w:sz w:val="16"/>
          <w:szCs w:val="16"/>
        </w:rPr>
        <w:t xml:space="preserve">TABLE II: Model performance comparison. *Customer-level evaluation.</w:t>
      </w:r>
    </w:p>
    <w:p>
      <w:pPr>
        <w:spacing w:after="100" w:before="0" w:line="276"/>
        <w:jc w:val="both"/>
      </w:pPr>
      <w:r>
        <w:rPr>
          <w:rFonts w:ascii="Times New Roman" w:cs="Times New Roman" w:eastAsia="Times New Roman" w:hAnsi="Times New Roman"/>
          <w:b w:val="false"/>
          <w:bCs w:val="false"/>
          <w:i w:val="false"/>
          <w:iCs w:val="false"/>
          <w:color w:val="000000"/>
          <w:sz w:val="20"/>
          <w:szCs w:val="20"/>
        </w:rPr>
        <w:t xml:space="preserve">The Stacking Ensemble achieves the highest F1 score (0.8727) with an average precision (AP) of 0.9004, indicating robust performance across operating thresholds. The supervised models demonstrate strong individual performance, with Random Forest achieving the highest individual ROC-AUC (0.9461). XGBoost's 5-fold cross-validation F1 of 0.9067 (±0.0134) confirms model stability across data partitions.</w:t>
      </w:r>
    </w:p>
    <w:p>
      <w:pPr>
        <w:spacing w:after="100" w:before="0" w:line="276"/>
        <w:jc w:val="both"/>
      </w:pPr>
      <w:r>
        <w:rPr>
          <w:rFonts w:ascii="Times New Roman" w:cs="Times New Roman" w:eastAsia="Times New Roman" w:hAnsi="Times New Roman"/>
          <w:b w:val="false"/>
          <w:bCs w:val="false"/>
          <w:i w:val="false"/>
          <w:iCs w:val="false"/>
          <w:color w:val="000000"/>
          <w:sz w:val="20"/>
          <w:szCs w:val="20"/>
        </w:rPr>
        <w:t xml:space="preserve">The LSTM Autoencoder, while achieving lower metrics at the window level, provides customer-level ROC-AUC of 0.7482 and F1 of 0.5600. Its key advantage is unsupervised operation—requiring no labeled theft examples—making it valuable for initial deployment scenarios where labeled data is unavailable.</w:t>
      </w:r>
    </w:p>
    <w:p>
      <w:pPr>
        <w:spacing w:after="80" w:before="160" w:line="276"/>
        <w:jc w:val="both"/>
      </w:pPr>
      <w:r>
        <w:rPr>
          <w:rFonts w:ascii="Times New Roman" w:cs="Times New Roman" w:eastAsia="Times New Roman" w:hAnsi="Times New Roman"/>
          <w:b w:val="false"/>
          <w:bCs w:val="false"/>
          <w:i/>
          <w:iCs/>
          <w:color w:val="000000"/>
          <w:sz w:val="20"/>
          <w:szCs w:val="20"/>
        </w:rPr>
        <w:t xml:space="preserve">C. Context-Aware Model Performance</w:t>
      </w:r>
    </w:p>
    <w:tbl>
      <w:tblPr>
        <w:tblW w:type="dxa" w:w="10426"/>
        <w:tblBorders>
          <w:top w:val="single" w:color="auto" w:sz="4"/>
          <w:left w:val="single" w:color="auto" w:sz="4"/>
          <w:bottom w:val="single" w:color="auto" w:sz="4"/>
          <w:right w:val="single" w:color="auto" w:sz="4"/>
          <w:insideH w:val="single" w:color="auto" w:sz="4"/>
          <w:insideV w:val="single" w:color="auto" w:sz="4"/>
        </w:tblBorders>
      </w:tblPr>
      <w:tblGrid>
        <w:gridCol w:w="3800"/>
        <w:gridCol w:w="3300"/>
        <w:gridCol w:w="3326"/>
      </w:tblGrid>
      <w:tr>
        <w:tc>
          <w:tcPr>
            <w:tcW w:type="dxa" w:w="3800"/>
            <w:tcBorders>
              <w:top w:val="single" w:color="999999" w:sz="1"/>
              <w:left w:val="single" w:color="999999" w:sz="1"/>
              <w:bottom w:val="single" w:color="999999" w:sz="1"/>
              <w:right w:val="single" w:color="999999" w:sz="1"/>
            </w:tcBorders>
            <w:shd w:fill="D6EAF8" w:val="clear"/>
            <w:tcMar>
              <w:top w:type="dxa" w:w="40"/>
              <w:left w:type="dxa" w:w="60"/>
              <w:bottom w:type="dxa" w:w="40"/>
              <w:right w:type="dxa" w:w="60"/>
            </w:tcMar>
          </w:tcPr>
          <w:p>
            <w:pPr>
              <w:spacing w:after="0"/>
              <w:jc w:val="center"/>
            </w:pPr>
            <w:r>
              <w:rPr>
                <w:rFonts w:ascii="Times New Roman" w:cs="Times New Roman" w:eastAsia="Times New Roman" w:hAnsi="Times New Roman"/>
                <w:b/>
                <w:bCs/>
                <w:i w:val="false"/>
                <w:iCs w:val="false"/>
                <w:sz w:val="18"/>
                <w:szCs w:val="18"/>
              </w:rPr>
              <w:t xml:space="preserve">Metric</w:t>
            </w:r>
          </w:p>
        </w:tc>
        <w:tc>
          <w:tcPr>
            <w:tcW w:type="dxa" w:w="3300"/>
            <w:tcBorders>
              <w:top w:val="single" w:color="999999" w:sz="1"/>
              <w:left w:val="single" w:color="999999" w:sz="1"/>
              <w:bottom w:val="single" w:color="999999" w:sz="1"/>
              <w:right w:val="single" w:color="999999" w:sz="1"/>
            </w:tcBorders>
            <w:shd w:fill="D6EAF8" w:val="clear"/>
            <w:tcMar>
              <w:top w:type="dxa" w:w="40"/>
              <w:left w:type="dxa" w:w="60"/>
              <w:bottom w:type="dxa" w:w="40"/>
              <w:right w:type="dxa" w:w="60"/>
            </w:tcMar>
          </w:tcPr>
          <w:p>
            <w:pPr>
              <w:spacing w:after="0"/>
              <w:jc w:val="center"/>
            </w:pPr>
            <w:r>
              <w:rPr>
                <w:rFonts w:ascii="Times New Roman" w:cs="Times New Roman" w:eastAsia="Times New Roman" w:hAnsi="Times New Roman"/>
                <w:b/>
                <w:bCs/>
                <w:i w:val="false"/>
                <w:iCs w:val="false"/>
                <w:sz w:val="18"/>
                <w:szCs w:val="18"/>
              </w:rPr>
              <w:t xml:space="preserve">Base Model</w:t>
            </w:r>
          </w:p>
        </w:tc>
        <w:tc>
          <w:tcPr>
            <w:tcW w:type="dxa" w:w="3326"/>
            <w:tcBorders>
              <w:top w:val="single" w:color="999999" w:sz="1"/>
              <w:left w:val="single" w:color="999999" w:sz="1"/>
              <w:bottom w:val="single" w:color="999999" w:sz="1"/>
              <w:right w:val="single" w:color="999999" w:sz="1"/>
            </w:tcBorders>
            <w:shd w:fill="D6EAF8" w:val="clear"/>
            <w:tcMar>
              <w:top w:type="dxa" w:w="40"/>
              <w:left w:type="dxa" w:w="60"/>
              <w:bottom w:type="dxa" w:w="40"/>
              <w:right w:type="dxa" w:w="60"/>
            </w:tcMar>
          </w:tcPr>
          <w:p>
            <w:pPr>
              <w:spacing w:after="0"/>
              <w:jc w:val="center"/>
            </w:pPr>
            <w:r>
              <w:rPr>
                <w:rFonts w:ascii="Times New Roman" w:cs="Times New Roman" w:eastAsia="Times New Roman" w:hAnsi="Times New Roman"/>
                <w:b/>
                <w:bCs/>
                <w:i w:val="false"/>
                <w:iCs w:val="false"/>
                <w:sz w:val="18"/>
                <w:szCs w:val="18"/>
              </w:rPr>
              <w:t xml:space="preserve">Context-Aware</w:t>
            </w:r>
          </w:p>
        </w:tc>
      </w:tr>
      <w:tr>
        <w:tc>
          <w:tcPr>
            <w:tcW w:type="dxa" w:w="3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8"/>
                <w:szCs w:val="18"/>
              </w:rPr>
              <w:t xml:space="preserve">Overall ROC-AUC</w:t>
            </w:r>
          </w:p>
        </w:tc>
        <w:tc>
          <w:tcPr>
            <w:tcW w:type="dxa" w:w="33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8"/>
                <w:szCs w:val="18"/>
              </w:rPr>
              <w:t xml:space="preserve">0.9424</w:t>
            </w:r>
          </w:p>
        </w:tc>
        <w:tc>
          <w:tcPr>
            <w:tcW w:type="dxa" w:w="3326"/>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bCs/>
                <w:i w:val="false"/>
                <w:iCs w:val="false"/>
                <w:sz w:val="18"/>
                <w:szCs w:val="18"/>
              </w:rPr>
              <w:t xml:space="preserve">0.9526</w:t>
            </w:r>
          </w:p>
        </w:tc>
      </w:tr>
      <w:tr>
        <w:tc>
          <w:tcPr>
            <w:tcW w:type="dxa" w:w="3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8"/>
                <w:szCs w:val="18"/>
              </w:rPr>
              <w:t xml:space="preserve">Overall F1</w:t>
            </w:r>
          </w:p>
        </w:tc>
        <w:tc>
          <w:tcPr>
            <w:tcW w:type="dxa" w:w="33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8"/>
                <w:szCs w:val="18"/>
              </w:rPr>
              <w:t xml:space="preserve">0.8491</w:t>
            </w:r>
          </w:p>
        </w:tc>
        <w:tc>
          <w:tcPr>
            <w:tcW w:type="dxa" w:w="3326"/>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bCs/>
                <w:i w:val="false"/>
                <w:iCs w:val="false"/>
                <w:sz w:val="18"/>
                <w:szCs w:val="18"/>
              </w:rPr>
              <w:t xml:space="preserve">0.8598</w:t>
            </w:r>
          </w:p>
        </w:tc>
      </w:tr>
      <w:tr>
        <w:tc>
          <w:tcPr>
            <w:tcW w:type="dxa" w:w="3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8"/>
                <w:szCs w:val="18"/>
              </w:rPr>
              <w:t xml:space="preserve">Total False Positives</w:t>
            </w:r>
          </w:p>
        </w:tc>
        <w:tc>
          <w:tcPr>
            <w:tcW w:type="dxa" w:w="33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8"/>
                <w:szCs w:val="18"/>
              </w:rPr>
              <w:t xml:space="preserve">1</w:t>
            </w:r>
          </w:p>
        </w:tc>
        <w:tc>
          <w:tcPr>
            <w:tcW w:type="dxa" w:w="3326"/>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8"/>
                <w:szCs w:val="18"/>
              </w:rPr>
              <w:t xml:space="preserve">1</w:t>
            </w:r>
          </w:p>
        </w:tc>
      </w:tr>
      <w:tr>
        <w:tc>
          <w:tcPr>
            <w:tcW w:type="dxa" w:w="3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8"/>
                <w:szCs w:val="18"/>
              </w:rPr>
              <w:t xml:space="preserve">Vacation Customer FP</w:t>
            </w:r>
          </w:p>
        </w:tc>
        <w:tc>
          <w:tcPr>
            <w:tcW w:type="dxa" w:w="33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i w:val="false"/>
                <w:iCs w:val="false"/>
                <w:sz w:val="18"/>
                <w:szCs w:val="18"/>
              </w:rPr>
              <w:t xml:space="preserve">0</w:t>
            </w:r>
          </w:p>
        </w:tc>
        <w:tc>
          <w:tcPr>
            <w:tcW w:type="dxa" w:w="3326"/>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rFonts w:ascii="Times New Roman" w:cs="Times New Roman" w:eastAsia="Times New Roman" w:hAnsi="Times New Roman"/>
                <w:b/>
                <w:bCs/>
                <w:i w:val="false"/>
                <w:iCs w:val="false"/>
                <w:sz w:val="18"/>
                <w:szCs w:val="18"/>
              </w:rPr>
              <w:t xml:space="preserve">0</w:t>
            </w:r>
          </w:p>
        </w:tc>
      </w:tr>
    </w:tbl>
    <w:p>
      <w:pPr>
        <w:spacing w:after="160" w:before="0" w:line="276"/>
        <w:jc w:val="center"/>
      </w:pPr>
      <w:r>
        <w:rPr>
          <w:rFonts w:ascii="Times New Roman" w:cs="Times New Roman" w:eastAsia="Times New Roman" w:hAnsi="Times New Roman"/>
          <w:b w:val="false"/>
          <w:bCs w:val="false"/>
          <w:i/>
          <w:iCs/>
          <w:color w:val="000000"/>
          <w:sz w:val="16"/>
          <w:szCs w:val="16"/>
        </w:rPr>
        <w:t xml:space="preserve">TABLE III: Impact of context-aware features on model performance.</w:t>
      </w:r>
    </w:p>
    <w:p>
      <w:pPr>
        <w:spacing w:after="100" w:before="0" w:line="276"/>
        <w:jc w:val="both"/>
      </w:pPr>
      <w:r>
        <w:rPr>
          <w:rFonts w:ascii="Times New Roman" w:cs="Times New Roman" w:eastAsia="Times New Roman" w:hAnsi="Times New Roman"/>
          <w:b w:val="false"/>
          <w:bCs w:val="false"/>
          <w:i w:val="false"/>
          <w:iCs w:val="false"/>
          <w:color w:val="000000"/>
          <w:sz w:val="20"/>
          <w:szCs w:val="20"/>
        </w:rPr>
        <w:t xml:space="preserve">The incorporation of 14 context-aware features improves ROC-AUC from 0.9424 to 0.9526 (+1.1%) and F1 from 0.8491 to 0.8598. Critically, all 87 vacationing normal customers in the test set are correctly classified (0 false positives), demonstrating the effectiveness of the transition analysis, holiday correlation, and standby consumption features.</w:t>
      </w:r>
    </w:p>
    <w:p>
      <w:pPr>
        <w:spacing w:after="80" w:before="160" w:line="276"/>
        <w:jc w:val="both"/>
      </w:pPr>
      <w:r>
        <w:rPr>
          <w:rFonts w:ascii="Times New Roman" w:cs="Times New Roman" w:eastAsia="Times New Roman" w:hAnsi="Times New Roman"/>
          <w:b w:val="false"/>
          <w:bCs w:val="false"/>
          <w:i/>
          <w:iCs/>
          <w:color w:val="000000"/>
          <w:sz w:val="20"/>
          <w:szCs w:val="20"/>
        </w:rPr>
        <w:t xml:space="preserve">D. SHAP Feature Analysis</w:t>
      </w:r>
    </w:p>
    <w:p>
      <w:pPr>
        <w:spacing w:after="100" w:before="0" w:line="276"/>
        <w:jc w:val="both"/>
      </w:pPr>
      <w:r>
        <w:rPr>
          <w:rFonts w:ascii="Times New Roman" w:cs="Times New Roman" w:eastAsia="Times New Roman" w:hAnsi="Times New Roman"/>
          <w:b w:val="false"/>
          <w:bCs w:val="false"/>
          <w:i w:val="false"/>
          <w:iCs w:val="false"/>
          <w:color w:val="000000"/>
          <w:sz w:val="20"/>
          <w:szCs w:val="20"/>
        </w:rPr>
        <w:t xml:space="preserve">SHAP analysis reveals the following global feature importance ranking (mean |SHAP|): sudden_change_ratio (0.128), skewness (0.070), cv_daily (0.058), kurtosis (0.054), zero_day_pct (0.038), holiday_consumption_ratio (0.062), near_zero_day_ratio (0.058). Notably, two of the top-7 features are context-aware features introduced in this work, confirming their discriminative value.</w:t>
      </w:r>
    </w:p>
    <w:p>
      <w:pPr>
        <w:spacing w:after="100" w:before="0" w:line="276"/>
        <w:jc w:val="both"/>
      </w:pPr>
      <w:r>
        <w:rPr>
          <w:rFonts w:ascii="Times New Roman" w:cs="Times New Roman" w:eastAsia="Times New Roman" w:hAnsi="Times New Roman"/>
          <w:b w:val="false"/>
          <w:bCs w:val="false"/>
          <w:i w:val="false"/>
          <w:iCs w:val="false"/>
          <w:color w:val="000000"/>
          <w:sz w:val="20"/>
          <w:szCs w:val="20"/>
        </w:rPr>
        <w:t xml:space="preserve">Per-customer SHAP explanations enable operational insights. For example, Customer #1332 (gradual decrease theft) is flagged primarily due to elevated sudden_change_ratio (+0.228 SHAP) and high kurtosis (+0.118), while Customer #185 (short vacation, correctly classified as normal) shows low V-shape score contribution and high neighbor correlation, confirming the context-aware features' role in preventing false positives.</w:t>
      </w:r>
    </w:p>
    <w:p>
      <w:pPr>
        <w:spacing w:after="80" w:before="160" w:line="276"/>
        <w:jc w:val="both"/>
      </w:pPr>
      <w:r>
        <w:rPr>
          <w:rFonts w:ascii="Times New Roman" w:cs="Times New Roman" w:eastAsia="Times New Roman" w:hAnsi="Times New Roman"/>
          <w:b w:val="false"/>
          <w:bCs w:val="false"/>
          <w:i/>
          <w:iCs/>
          <w:color w:val="000000"/>
          <w:sz w:val="20"/>
          <w:szCs w:val="20"/>
        </w:rPr>
        <w:t xml:space="preserve">E. Threshold Optimization</w:t>
      </w:r>
    </w:p>
    <w:p>
      <w:pPr>
        <w:spacing w:after="100" w:before="0" w:line="276"/>
        <w:jc w:val="both"/>
      </w:pPr>
      <w:r>
        <w:rPr>
          <w:rFonts w:ascii="Times New Roman" w:cs="Times New Roman" w:eastAsia="Times New Roman" w:hAnsi="Times New Roman"/>
          <w:b w:val="false"/>
          <w:bCs w:val="false"/>
          <w:i w:val="false"/>
          <w:iCs w:val="false"/>
          <w:color w:val="000000"/>
          <w:sz w:val="20"/>
          <w:szCs w:val="20"/>
        </w:rPr>
        <w:t xml:space="preserve">We evaluate three threshold selection strategies on the Stacking Ensemble: F1-optimal (threshold = 0.122, F1 = 0.879), F2-optimal (threshold = 0.122, F2 = 0.862, recall = 0.850) which emphasizes recall for operational scenarios where missing theft is costlier than false alarms, and cost-based (threshold = 0.042, cost = 50) using asymmetric costs where false negatives are weighted 5x more than false positives, reflecting the economic asymmetry in theft detection.</w:t>
      </w:r>
    </w:p>
    <w:p>
      <w:pPr>
        <w:spacing w:after="120" w:before="240" w:line="276"/>
        <w:jc w:val="center"/>
      </w:pPr>
      <w:r>
        <w:rPr>
          <w:rFonts w:ascii="Times New Roman" w:cs="Times New Roman" w:eastAsia="Times New Roman" w:hAnsi="Times New Roman"/>
          <w:b/>
          <w:bCs/>
          <w:i w:val="false"/>
          <w:iCs w:val="false"/>
          <w:color w:val="000000"/>
          <w:sz w:val="20"/>
          <w:szCs w:val="20"/>
        </w:rPr>
        <w:t xml:space="preserve">V. SYSTEM ARCHITECTURE AND DASHBOARD</w:t>
      </w:r>
    </w:p>
    <w:p>
      <w:pPr>
        <w:spacing w:after="100" w:before="0" w:line="276"/>
        <w:jc w:val="both"/>
      </w:pPr>
      <w:r>
        <w:rPr>
          <w:rFonts w:ascii="Times New Roman" w:cs="Times New Roman" w:eastAsia="Times New Roman" w:hAnsi="Times New Roman"/>
          <w:b w:val="false"/>
          <w:bCs w:val="false"/>
          <w:i w:val="false"/>
          <w:iCs w:val="false"/>
          <w:color w:val="000000"/>
          <w:sz w:val="20"/>
          <w:szCs w:val="20"/>
        </w:rPr>
        <w:t xml:space="preserve">MASS-AI includes a production-ready monitoring dashboard implemented in Streamlit (870 lines of Python) with Plotly visualizations. The system comprises five integrated modules:</w:t>
      </w:r>
    </w:p>
    <w:p>
      <w:pPr>
        <w:spacing w:after="60" w:before="0" w:line="276"/>
        <w:jc w:val="both"/>
      </w:pPr>
      <w:r>
        <w:rPr>
          <w:rFonts w:ascii="Times New Roman" w:cs="Times New Roman" w:eastAsia="Times New Roman" w:hAnsi="Times New Roman"/>
          <w:b/>
          <w:bCs/>
          <w:i w:val="false"/>
          <w:iCs w:val="false"/>
          <w:color w:val="000000"/>
          <w:sz w:val="20"/>
          <w:szCs w:val="20"/>
        </w:rPr>
        <w:t xml:space="preserve">Module 1 — Regional Overview: </w:t>
      </w:r>
      <w:r>
        <w:rPr>
          <w:rFonts w:ascii="Times New Roman" w:cs="Times New Roman" w:eastAsia="Times New Roman" w:hAnsi="Times New Roman"/>
          <w:b w:val="false"/>
          <w:bCs w:val="false"/>
          <w:i w:val="false"/>
          <w:iCs w:val="false"/>
          <w:color w:val="000000"/>
          <w:sz w:val="20"/>
          <w:szCs w:val="20"/>
        </w:rPr>
        <w:t xml:space="preserve">Interactive Mapbox-based visualization of theft probability across Turkey's distribution regions, with KPI cards displaying total customers, detected anomalies, average anomaly score, and critical alerts. Risk distribution pie chart and probability histograms segmented by customer profile.</w:t>
      </w:r>
    </w:p>
    <w:p>
      <w:pPr>
        <w:spacing w:after="60" w:before="0" w:line="276"/>
        <w:jc w:val="both"/>
      </w:pPr>
      <w:r>
        <w:rPr>
          <w:rFonts w:ascii="Times New Roman" w:cs="Times New Roman" w:eastAsia="Times New Roman" w:hAnsi="Times New Roman"/>
          <w:b/>
          <w:bCs/>
          <w:i w:val="false"/>
          <w:iCs w:val="false"/>
          <w:color w:val="000000"/>
          <w:sz w:val="20"/>
          <w:szCs w:val="20"/>
        </w:rPr>
        <w:t xml:space="preserve">Module 2 — Time Series Comparison: </w:t>
      </w:r>
      <w:r>
        <w:rPr>
          <w:rFonts w:ascii="Times New Roman" w:cs="Times New Roman" w:eastAsia="Times New Roman" w:hAnsi="Times New Roman"/>
          <w:b w:val="false"/>
          <w:bCs w:val="false"/>
          <w:i w:val="false"/>
          <w:iCs w:val="false"/>
          <w:color w:val="000000"/>
          <w:sz w:val="20"/>
          <w:szCs w:val="20"/>
        </w:rPr>
        <w:t xml:space="preserve">Side-by-side visualization of normal vs. theft customer consumption patterns, with configurable time window (3–30 days). A grid display of all five theft types enables visual pattern recognition. Statistical comparison table provides quantitative metrics for each pair.</w:t>
      </w:r>
    </w:p>
    <w:p>
      <w:pPr>
        <w:spacing w:after="60" w:before="0" w:line="276"/>
        <w:jc w:val="both"/>
      </w:pPr>
      <w:r>
        <w:rPr>
          <w:rFonts w:ascii="Times New Roman" w:cs="Times New Roman" w:eastAsia="Times New Roman" w:hAnsi="Times New Roman"/>
          <w:b/>
          <w:bCs/>
          <w:i w:val="false"/>
          <w:iCs w:val="false"/>
          <w:color w:val="000000"/>
          <w:sz w:val="20"/>
          <w:szCs w:val="20"/>
        </w:rPr>
        <w:t xml:space="preserve">Module 3 — Model Performance: </w:t>
      </w:r>
      <w:r>
        <w:rPr>
          <w:rFonts w:ascii="Times New Roman" w:cs="Times New Roman" w:eastAsia="Times New Roman" w:hAnsi="Times New Roman"/>
          <w:b w:val="false"/>
          <w:bCs w:val="false"/>
          <w:i w:val="false"/>
          <w:iCs w:val="false"/>
          <w:color w:val="000000"/>
          <w:sz w:val="20"/>
          <w:szCs w:val="20"/>
        </w:rPr>
        <w:t xml:space="preserve">ROC curves, precision-recall curves, and confusion matrices for all models. Feature importance bar charts and comprehensive model comparison table.</w:t>
      </w:r>
    </w:p>
    <w:p>
      <w:pPr>
        <w:spacing w:after="60" w:before="0" w:line="276"/>
        <w:jc w:val="both"/>
      </w:pPr>
      <w:r>
        <w:rPr>
          <w:rFonts w:ascii="Times New Roman" w:cs="Times New Roman" w:eastAsia="Times New Roman" w:hAnsi="Times New Roman"/>
          <w:b/>
          <w:bCs/>
          <w:i w:val="false"/>
          <w:iCs w:val="false"/>
          <w:color w:val="000000"/>
          <w:sz w:val="20"/>
          <w:szCs w:val="20"/>
        </w:rPr>
        <w:t xml:space="preserve">Module 4 — Customer Drill-Down: </w:t>
      </w:r>
      <w:r>
        <w:rPr>
          <w:rFonts w:ascii="Times New Roman" w:cs="Times New Roman" w:eastAsia="Times New Roman" w:hAnsi="Times New Roman"/>
          <w:b w:val="false"/>
          <w:bCs w:val="false"/>
          <w:i w:val="false"/>
          <w:iCs w:val="false"/>
          <w:color w:val="000000"/>
          <w:sz w:val="20"/>
          <w:szCs w:val="20"/>
        </w:rPr>
        <w:t xml:space="preserve">Individual customer analysis with consumption time series, daily total bar charts, and radar profiling comparing customer features against population averages. Anomaly highlighting marks suspicious zero-consumption periods.</w:t>
      </w:r>
    </w:p>
    <w:p>
      <w:pPr>
        <w:spacing w:after="120" w:before="0" w:line="276"/>
        <w:jc w:val="both"/>
      </w:pPr>
      <w:r>
        <w:rPr>
          <w:rFonts w:ascii="Times New Roman" w:cs="Times New Roman" w:eastAsia="Times New Roman" w:hAnsi="Times New Roman"/>
          <w:b/>
          <w:bCs/>
          <w:i w:val="false"/>
          <w:iCs w:val="false"/>
          <w:color w:val="000000"/>
          <w:sz w:val="20"/>
          <w:szCs w:val="20"/>
        </w:rPr>
        <w:t xml:space="preserve">Module 5 — Live Simulation: </w:t>
      </w:r>
      <w:r>
        <w:rPr>
          <w:rFonts w:ascii="Times New Roman" w:cs="Times New Roman" w:eastAsia="Times New Roman" w:hAnsi="Times New Roman"/>
          <w:b w:val="false"/>
          <w:bCs w:val="false"/>
          <w:i w:val="false"/>
          <w:iCs w:val="false"/>
          <w:color w:val="000000"/>
          <w:sz w:val="20"/>
          <w:szCs w:val="20"/>
        </w:rPr>
        <w:t xml:space="preserve">Real-time streaming simulation of smart meter data with configurable speed and customer count. Anomaly detection operates on the streaming data, triggering visual alerts and updating metrics in real time. This module demonstrates the system's capability for operational deployment with actual MASS data streams.</w:t>
      </w:r>
    </w:p>
    <w:p>
      <w:pPr>
        <w:spacing w:after="120" w:before="240" w:line="276"/>
        <w:jc w:val="center"/>
      </w:pPr>
      <w:r>
        <w:rPr>
          <w:rFonts w:ascii="Times New Roman" w:cs="Times New Roman" w:eastAsia="Times New Roman" w:hAnsi="Times New Roman"/>
          <w:b/>
          <w:bCs/>
          <w:i w:val="false"/>
          <w:iCs w:val="false"/>
          <w:color w:val="000000"/>
          <w:sz w:val="20"/>
          <w:szCs w:val="20"/>
        </w:rPr>
        <w:t xml:space="preserve">VI. DISCUSSION</w:t>
      </w:r>
    </w:p>
    <w:p>
      <w:pPr>
        <w:spacing w:after="80" w:before="160" w:line="276"/>
        <w:jc w:val="both"/>
      </w:pPr>
      <w:r>
        <w:rPr>
          <w:rFonts w:ascii="Times New Roman" w:cs="Times New Roman" w:eastAsia="Times New Roman" w:hAnsi="Times New Roman"/>
          <w:b w:val="false"/>
          <w:bCs w:val="false"/>
          <w:i/>
          <w:iCs/>
          <w:color w:val="000000"/>
          <w:sz w:val="20"/>
          <w:szCs w:val="20"/>
        </w:rPr>
        <w:t xml:space="preserve">A. Comparison with Existing Work</w:t>
      </w:r>
    </w:p>
    <w:p>
      <w:pPr>
        <w:spacing w:after="100" w:before="0" w:line="276"/>
        <w:jc w:val="both"/>
      </w:pPr>
      <w:r>
        <w:rPr>
          <w:rFonts w:ascii="Times New Roman" w:cs="Times New Roman" w:eastAsia="Times New Roman" w:hAnsi="Times New Roman"/>
          <w:b w:val="false"/>
          <w:bCs w:val="false"/>
          <w:i w:val="false"/>
          <w:iCs w:val="false"/>
          <w:color w:val="000000"/>
          <w:sz w:val="20"/>
          <w:szCs w:val="20"/>
        </w:rPr>
        <w:t xml:space="preserve">Our results are competitive with state-of-the-art approaches. Zheng et al. [4] reported accuracy of approximately 88% on SGCC data, while recent studies [7][8] achieve AUC scores in the 91–95% range. Our Stacking Ensemble achieves AUC of 0.9428 with the additional benefits of explainability (SHAP) and context-awareness (vacation/holiday handling) that are absent in most existing work.</w:t>
      </w:r>
    </w:p>
    <w:p>
      <w:pPr>
        <w:spacing w:after="100" w:before="0" w:line="276"/>
        <w:jc w:val="both"/>
      </w:pPr>
      <w:r>
        <w:rPr>
          <w:rFonts w:ascii="Times New Roman" w:cs="Times New Roman" w:eastAsia="Times New Roman" w:hAnsi="Times New Roman"/>
          <w:b w:val="false"/>
          <w:bCs w:val="false"/>
          <w:i w:val="false"/>
          <w:iCs w:val="false"/>
          <w:color w:val="000000"/>
          <w:sz w:val="20"/>
          <w:szCs w:val="20"/>
        </w:rPr>
        <w:t xml:space="preserve">The context-aware contribution is particularly significant for operational deployment. In a real-world scenario with millions of customers, even a small false positive rate generates thousands of unnecessary field inspections. Our framework's ability to eliminate vacation-related false positives directly translates to operational cost savings and improved field team efficiency.</w:t>
      </w:r>
    </w:p>
    <w:p>
      <w:pPr>
        <w:spacing w:after="80" w:before="160" w:line="276"/>
        <w:jc w:val="both"/>
      </w:pPr>
      <w:r>
        <w:rPr>
          <w:rFonts w:ascii="Times New Roman" w:cs="Times New Roman" w:eastAsia="Times New Roman" w:hAnsi="Times New Roman"/>
          <w:b w:val="false"/>
          <w:bCs w:val="false"/>
          <w:i/>
          <w:iCs/>
          <w:color w:val="000000"/>
          <w:sz w:val="20"/>
          <w:szCs w:val="20"/>
        </w:rPr>
        <w:t xml:space="preserve">B. Limitations and Future Work</w:t>
      </w:r>
    </w:p>
    <w:p>
      <w:pPr>
        <w:spacing w:after="100" w:before="0" w:line="276"/>
        <w:jc w:val="both"/>
      </w:pPr>
      <w:r>
        <w:rPr>
          <w:rFonts w:ascii="Times New Roman" w:cs="Times New Roman" w:eastAsia="Times New Roman" w:hAnsi="Times New Roman"/>
          <w:b w:val="false"/>
          <w:bCs w:val="false"/>
          <w:i w:val="false"/>
          <w:iCs w:val="false"/>
          <w:color w:val="000000"/>
          <w:sz w:val="20"/>
          <w:szCs w:val="20"/>
        </w:rPr>
        <w:t xml:space="preserve">Several limitations warrant acknowledgment. First, the current evaluation uses synthetic data; validation on real MASS meter data is essential and planned through university-industry collaboration with Turkish distribution companies. Second, the synthetic theft patterns, while modeled on documented techniques, may not capture the full diversity of actual methods, including transformer-level bypass which is prevalent in eastern Turkey. Third, the neighborhood comparison features assume stable transformer group membership, which may change with network reconfiguration.</w:t>
      </w:r>
    </w:p>
    <w:p>
      <w:pPr>
        <w:spacing w:after="100" w:before="0" w:line="276"/>
        <w:jc w:val="both"/>
      </w:pPr>
      <w:r>
        <w:rPr>
          <w:rFonts w:ascii="Times New Roman" w:cs="Times New Roman" w:eastAsia="Times New Roman" w:hAnsi="Times New Roman"/>
          <w:b w:val="false"/>
          <w:bCs w:val="false"/>
          <w:i w:val="false"/>
          <w:iCs w:val="false"/>
          <w:color w:val="000000"/>
          <w:sz w:val="20"/>
          <w:szCs w:val="20"/>
        </w:rPr>
        <w:t xml:space="preserve">Future work includes: (1) validation on the SGCC dataset and real MASS pilot data; (2) integration of transformer-level energy balance analysis for detecting meter-bypassing theft; (3) development of a 1D-CNN model for voltage waveform anomaly classification; (4) implementation of an ESP32-based hardware-in-the-loop prototype for real-time edge computing demonstration; and (5) federated learning approaches to enable multi-utility collaboration while preserving data privacy.</w:t>
      </w:r>
    </w:p>
    <w:p>
      <w:pPr>
        <w:spacing w:after="80" w:before="160" w:line="276"/>
        <w:jc w:val="both"/>
      </w:pPr>
      <w:r>
        <w:rPr>
          <w:rFonts w:ascii="Times New Roman" w:cs="Times New Roman" w:eastAsia="Times New Roman" w:hAnsi="Times New Roman"/>
          <w:b w:val="false"/>
          <w:bCs w:val="false"/>
          <w:i/>
          <w:iCs/>
          <w:color w:val="000000"/>
          <w:sz w:val="20"/>
          <w:szCs w:val="20"/>
        </w:rPr>
        <w:t xml:space="preserve">C. Economic Impact</w:t>
      </w:r>
    </w:p>
    <w:p>
      <w:pPr>
        <w:spacing w:after="100" w:before="0" w:line="276"/>
        <w:jc w:val="both"/>
      </w:pPr>
      <w:r>
        <w:rPr>
          <w:rFonts w:ascii="Times New Roman" w:cs="Times New Roman" w:eastAsia="Times New Roman" w:hAnsi="Times New Roman"/>
          <w:b w:val="false"/>
          <w:bCs w:val="false"/>
          <w:i w:val="false"/>
          <w:iCs w:val="false"/>
          <w:color w:val="000000"/>
          <w:sz w:val="20"/>
          <w:szCs w:val="20"/>
        </w:rPr>
        <w:t xml:space="preserve">Turkey's annual electricity theft losses are estimated at 60–80 billion TL. Assuming MASS-AI enables detection of 30% of previously undetected theft through targeted field inspections, the potential annual recovery is 18–24 billion TL. System deployment costs (cloud infrastructure, maintenance, development) are estimated at 5–10 million TL annually, yielding a cost-benefit ratio exceeding 1,000:1. Furthermore, improved detection efficiency allows field teams to investigate 10x more theft cases with the same resources through AI-guided prioritization.</w:t>
      </w:r>
    </w:p>
    <w:p>
      <w:pPr>
        <w:spacing w:after="120" w:before="240" w:line="276"/>
        <w:jc w:val="center"/>
      </w:pPr>
      <w:r>
        <w:rPr>
          <w:rFonts w:ascii="Times New Roman" w:cs="Times New Roman" w:eastAsia="Times New Roman" w:hAnsi="Times New Roman"/>
          <w:b/>
          <w:bCs/>
          <w:i w:val="false"/>
          <w:iCs w:val="false"/>
          <w:color w:val="000000"/>
          <w:sz w:val="20"/>
          <w:szCs w:val="20"/>
        </w:rPr>
        <w:t xml:space="preserve">VII. CONCLUSION</w:t>
      </w:r>
    </w:p>
    <w:p>
      <w:pPr>
        <w:spacing w:after="100" w:before="0" w:line="276"/>
        <w:jc w:val="both"/>
      </w:pPr>
      <w:r>
        <w:rPr>
          <w:rFonts w:ascii="Times New Roman" w:cs="Times New Roman" w:eastAsia="Times New Roman" w:hAnsi="Times New Roman"/>
          <w:b w:val="false"/>
          <w:bCs w:val="false"/>
          <w:i w:val="false"/>
          <w:iCs w:val="false"/>
          <w:color w:val="000000"/>
          <w:sz w:val="20"/>
          <w:szCs w:val="20"/>
        </w:rPr>
        <w:t xml:space="preserve">This paper presents MASS-AI, a context-aware ensemble learning framework for electricity theft detection designed for Turkey's national smart meter infrastructure. Our systematic evaluation of six machine learning models demonstrates that the Stacking Ensemble achieves the best combined performance (F1 = 0.8727, AP = 0.9004), while novel context-aware features improve ROC-AUC to 0.9526 and eliminate false positives among vacationing customers. SHAP-based explainability provides the interpretability required for operational deployment, and a comprehensive 5-module dashboard demonstrates production readiness.</w:t>
      </w:r>
    </w:p>
    <w:p>
      <w:pPr>
        <w:spacing w:after="100" w:before="0" w:line="276"/>
        <w:jc w:val="both"/>
      </w:pPr>
      <w:r>
        <w:rPr>
          <w:rFonts w:ascii="Times New Roman" w:cs="Times New Roman" w:eastAsia="Times New Roman" w:hAnsi="Times New Roman"/>
          <w:b w:val="false"/>
          <w:bCs w:val="false"/>
          <w:i w:val="false"/>
          <w:iCs w:val="false"/>
          <w:color w:val="000000"/>
          <w:sz w:val="20"/>
          <w:szCs w:val="20"/>
        </w:rPr>
        <w:t xml:space="preserve">The timing of this work is significant: with the MASS project launching on March 1, 2026, Turkish distribution companies will begin receiving smart meter data at unprecedented scale. MASS-AI provides a ready framework that can be adapted to process this data as it becomes available, potentially contributing to the recovery of billions of TL in annual losses while supporting Turkey's transition to a modern, intelligent electricity distribution infrastructure.</w:t>
      </w:r>
    </w:p>
    <w:p>
      <w:pPr>
        <w:spacing w:after="120" w:before="240" w:line="276"/>
        <w:jc w:val="center"/>
      </w:pPr>
      <w:r>
        <w:rPr>
          <w:rFonts w:ascii="Times New Roman" w:cs="Times New Roman" w:eastAsia="Times New Roman" w:hAnsi="Times New Roman"/>
          <w:b/>
          <w:bCs/>
          <w:i w:val="false"/>
          <w:iCs w:val="false"/>
          <w:color w:val="000000"/>
          <w:sz w:val="20"/>
          <w:szCs w:val="20"/>
        </w:rPr>
        <w:t xml:space="preserve">REFERENCES</w:t>
      </w:r>
    </w:p>
    <w:p>
      <w:pPr>
        <w:spacing w:after="50" w:before="0" w:line="276"/>
        <w:jc w:val="both"/>
      </w:pPr>
      <w:r>
        <w:rPr>
          <w:rFonts w:ascii="Times New Roman" w:cs="Times New Roman" w:eastAsia="Times New Roman" w:hAnsi="Times New Roman"/>
          <w:b w:val="false"/>
          <w:bCs w:val="false"/>
          <w:i w:val="false"/>
          <w:iCs w:val="false"/>
          <w:color w:val="000000"/>
          <w:sz w:val="17"/>
          <w:szCs w:val="17"/>
        </w:rPr>
        <w:t xml:space="preserve">[1] EPDK, "Akıllı Ölçme Sistemleri Yönetmeliği," T.C. Enerji Piyasası Düzenleme Kurumu, Ankara, Turkey, Official Gazette No. 32473, 2026.</w:t>
      </w:r>
    </w:p>
    <w:p>
      <w:pPr>
        <w:spacing w:after="50" w:before="0" w:line="276"/>
        <w:jc w:val="both"/>
      </w:pPr>
      <w:r>
        <w:rPr>
          <w:rFonts w:ascii="Times New Roman" w:cs="Times New Roman" w:eastAsia="Times New Roman" w:hAnsi="Times New Roman"/>
          <w:b w:val="false"/>
          <w:bCs w:val="false"/>
          <w:i w:val="false"/>
          <w:iCs w:val="false"/>
          <w:color w:val="000000"/>
          <w:sz w:val="17"/>
          <w:szCs w:val="17"/>
        </w:rPr>
        <w:t xml:space="preserve">[2] T.C. Enerji ve Tabii Kaynaklar Bakanlığı, "2025 Yılı Bütçe Sunumu," Ankara, Turkey, 2024.</w:t>
      </w:r>
    </w:p>
    <w:p>
      <w:pPr>
        <w:spacing w:after="50" w:before="0" w:line="276"/>
        <w:jc w:val="both"/>
      </w:pPr>
      <w:r>
        <w:rPr>
          <w:rFonts w:ascii="Times New Roman" w:cs="Times New Roman" w:eastAsia="Times New Roman" w:hAnsi="Times New Roman"/>
          <w:b w:val="false"/>
          <w:bCs w:val="false"/>
          <w:i w:val="false"/>
          <w:iCs w:val="false"/>
          <w:color w:val="000000"/>
          <w:sz w:val="17"/>
          <w:szCs w:val="17"/>
        </w:rPr>
        <w:t xml:space="preserve">[3] U.S. Department of Commerce, International Trade Administration, "Turkey Smart Grid Market Report," Washington, DC, 2024.</w:t>
      </w:r>
    </w:p>
    <w:p>
      <w:pPr>
        <w:spacing w:after="50" w:before="0" w:line="276"/>
        <w:jc w:val="both"/>
      </w:pPr>
      <w:r>
        <w:rPr>
          <w:rFonts w:ascii="Times New Roman" w:cs="Times New Roman" w:eastAsia="Times New Roman" w:hAnsi="Times New Roman"/>
          <w:b w:val="false"/>
          <w:bCs w:val="false"/>
          <w:i w:val="false"/>
          <w:iCs w:val="false"/>
          <w:color w:val="000000"/>
          <w:sz w:val="17"/>
          <w:szCs w:val="17"/>
        </w:rPr>
        <w:t xml:space="preserve">[4] Z. Zheng, Y. Yang, X. Niu, H.-N. Dai, and Y. Zhou, "Wide and deep convolutional neural networks for electricity-theft detection to secure smart grids," IEEE Trans. Ind. Informat., vol. 14, no. 4, pp. 1606–1615, Apr. 2018.</w:t>
      </w:r>
    </w:p>
    <w:p>
      <w:pPr>
        <w:spacing w:after="50" w:before="0" w:line="276"/>
        <w:jc w:val="both"/>
      </w:pPr>
      <w:r>
        <w:rPr>
          <w:rFonts w:ascii="Times New Roman" w:cs="Times New Roman" w:eastAsia="Times New Roman" w:hAnsi="Times New Roman"/>
          <w:b w:val="false"/>
          <w:bCs w:val="false"/>
          <w:i w:val="false"/>
          <w:iCs w:val="false"/>
          <w:color w:val="000000"/>
          <w:sz w:val="17"/>
          <w:szCs w:val="17"/>
        </w:rPr>
        <w:t xml:space="preserve">[5] P. Jokar, N. Arianpoo, and V. C. M. Leung, "Electricity theft detection in AMI using customers' consumption patterns," IEEE Trans. Smart Grid, vol. 7, no. 1, pp. 216–226, Jan. 2016.</w:t>
      </w:r>
    </w:p>
    <w:p>
      <w:pPr>
        <w:spacing w:after="50" w:before="0" w:line="276"/>
        <w:jc w:val="both"/>
      </w:pPr>
      <w:r>
        <w:rPr>
          <w:rFonts w:ascii="Times New Roman" w:cs="Times New Roman" w:eastAsia="Times New Roman" w:hAnsi="Times New Roman"/>
          <w:b w:val="false"/>
          <w:bCs w:val="false"/>
          <w:i w:val="false"/>
          <w:iCs w:val="false"/>
          <w:color w:val="000000"/>
          <w:sz w:val="17"/>
          <w:szCs w:val="17"/>
        </w:rPr>
        <w:t xml:space="preserve">[6] S. Buzau, J. Tejedor-Aguilera, P. Cruz-Romero, and A. Gómez-Expósito, "Detection of non-technical losses using smart meter data and supervised learning," IEEE Trans. Smart Grid, vol. 10, no. 3, pp. 2661–2670, May 2019.</w:t>
      </w:r>
    </w:p>
    <w:p>
      <w:pPr>
        <w:spacing w:after="50" w:before="0" w:line="276"/>
        <w:jc w:val="both"/>
      </w:pPr>
      <w:r>
        <w:rPr>
          <w:rFonts w:ascii="Times New Roman" w:cs="Times New Roman" w:eastAsia="Times New Roman" w:hAnsi="Times New Roman"/>
          <w:b w:val="false"/>
          <w:bCs w:val="false"/>
          <w:i w:val="false"/>
          <w:iCs w:val="false"/>
          <w:color w:val="000000"/>
          <w:sz w:val="17"/>
          <w:szCs w:val="17"/>
        </w:rPr>
        <w:t xml:space="preserve">[7] C. F. Mbey, F. Bouka, and T. Nkemeni, "Electricity theft detection in a smart grid using hybrid deep learning-based data analysis technique," J. Electr. Comput. Eng., vol. 2024, Art. no. 6225510, 2024.</w:t>
      </w:r>
    </w:p>
    <w:p>
      <w:pPr>
        <w:spacing w:after="50" w:before="0" w:line="276"/>
        <w:jc w:val="both"/>
      </w:pPr>
      <w:r>
        <w:rPr>
          <w:rFonts w:ascii="Times New Roman" w:cs="Times New Roman" w:eastAsia="Times New Roman" w:hAnsi="Times New Roman"/>
          <w:b w:val="false"/>
          <w:bCs w:val="false"/>
          <w:i w:val="false"/>
          <w:iCs w:val="false"/>
          <w:color w:val="000000"/>
          <w:sz w:val="17"/>
          <w:szCs w:val="17"/>
        </w:rPr>
        <w:t xml:space="preserve">[8] H. Iftikhar et al., "Electricity theft detection in smart grid using machine learning," Front. Energy Res., vol. 12, Art. no. 1383090, 2024.</w:t>
      </w:r>
    </w:p>
    <w:p>
      <w:pPr>
        <w:spacing w:after="50" w:before="0" w:line="276"/>
        <w:jc w:val="both"/>
      </w:pPr>
      <w:r>
        <w:rPr>
          <w:rFonts w:ascii="Times New Roman" w:cs="Times New Roman" w:eastAsia="Times New Roman" w:hAnsi="Times New Roman"/>
          <w:b w:val="false"/>
          <w:bCs w:val="false"/>
          <w:i w:val="false"/>
          <w:iCs w:val="false"/>
          <w:color w:val="000000"/>
          <w:sz w:val="17"/>
          <w:szCs w:val="17"/>
        </w:rPr>
        <w:t xml:space="preserve">[9] M. N. Hasan, R. N. Toma, A.-A. Nahid, M. M. Islam, and J.-M. Kim, "Electricity theft detection in smart grid systems: A CNN-LSTM based approach," Energies, vol. 12, no. 17, Art. no. 3310, 2019.</w:t>
      </w:r>
    </w:p>
    <w:p>
      <w:pPr>
        <w:spacing w:after="50" w:before="0" w:line="276"/>
        <w:jc w:val="both"/>
      </w:pPr>
      <w:r>
        <w:rPr>
          <w:rFonts w:ascii="Times New Roman" w:cs="Times New Roman" w:eastAsia="Times New Roman" w:hAnsi="Times New Roman"/>
          <w:b w:val="false"/>
          <w:bCs w:val="false"/>
          <w:i w:val="false"/>
          <w:iCs w:val="false"/>
          <w:color w:val="000000"/>
          <w:sz w:val="17"/>
          <w:szCs w:val="17"/>
        </w:rPr>
        <w:t xml:space="preserve">[10] P. Malhotra, A. Ramakrishnan, G. Anand, L. Vig, P. Agarwal, and G. Shroff, "LSTM-based encoder-decoder for multi-sensor anomaly detection," in Proc. ICML Anomaly Detection Workshop, New York, NY, USA, 2016.</w:t>
      </w:r>
    </w:p>
    <w:p>
      <w:pPr>
        <w:spacing w:after="50" w:before="0" w:line="276"/>
        <w:jc w:val="both"/>
      </w:pPr>
      <w:r>
        <w:rPr>
          <w:rFonts w:ascii="Times New Roman" w:cs="Times New Roman" w:eastAsia="Times New Roman" w:hAnsi="Times New Roman"/>
          <w:b w:val="false"/>
          <w:bCs w:val="false"/>
          <w:i w:val="false"/>
          <w:iCs w:val="false"/>
          <w:color w:val="000000"/>
          <w:sz w:val="17"/>
          <w:szCs w:val="17"/>
        </w:rPr>
        <w:t xml:space="preserve">[11] A. T. El-Toukhy et al., "Electricity theft detection using deep reinforcement learning in smart power grids," IEEE Access, vol. 11, pp. 59558–59574, 2023.</w:t>
      </w:r>
    </w:p>
    <w:p>
      <w:pPr>
        <w:spacing w:after="50" w:before="0" w:line="276"/>
        <w:jc w:val="both"/>
      </w:pPr>
      <w:r>
        <w:rPr>
          <w:rFonts w:ascii="Times New Roman" w:cs="Times New Roman" w:eastAsia="Times New Roman" w:hAnsi="Times New Roman"/>
          <w:b w:val="false"/>
          <w:bCs w:val="false"/>
          <w:i w:val="false"/>
          <w:iCs w:val="false"/>
          <w:color w:val="000000"/>
          <w:sz w:val="17"/>
          <w:szCs w:val="17"/>
        </w:rPr>
        <w:t xml:space="preserve">[12] F. T. Liu, K. M. Ting, and Z.-H. Zhou, "Isolation forest," in Proc. IEEE ICDM, Pisa, Italy, 2008, pp. 413–422.</w:t>
      </w:r>
    </w:p>
    <w:p>
      <w:pPr>
        <w:spacing w:after="50" w:before="0" w:line="276"/>
        <w:jc w:val="both"/>
      </w:pPr>
      <w:r>
        <w:rPr>
          <w:rFonts w:ascii="Times New Roman" w:cs="Times New Roman" w:eastAsia="Times New Roman" w:hAnsi="Times New Roman"/>
          <w:b w:val="false"/>
          <w:bCs w:val="false"/>
          <w:i w:val="false"/>
          <w:iCs w:val="false"/>
          <w:color w:val="000000"/>
          <w:sz w:val="17"/>
          <w:szCs w:val="17"/>
        </w:rPr>
        <w:t xml:space="preserve">[13] T. Chen and C. Guestrin, "XGBoost: A scalable tree boosting system," in Proc. ACM KDD, San Francisco, CA, USA, 2016, pp. 785–794.</w:t>
      </w:r>
    </w:p>
    <w:p>
      <w:pPr>
        <w:spacing w:after="50" w:before="0" w:line="276"/>
        <w:jc w:val="both"/>
      </w:pPr>
      <w:r>
        <w:rPr>
          <w:rFonts w:ascii="Times New Roman" w:cs="Times New Roman" w:eastAsia="Times New Roman" w:hAnsi="Times New Roman"/>
          <w:b w:val="false"/>
          <w:bCs w:val="false"/>
          <w:i w:val="false"/>
          <w:iCs w:val="false"/>
          <w:color w:val="000000"/>
          <w:sz w:val="17"/>
          <w:szCs w:val="17"/>
        </w:rPr>
        <w:t xml:space="preserve">[14] L. Breiman, "Random forests," Mach. Learn., vol. 45, no. 1, pp. 5–32, 2001.</w:t>
      </w:r>
    </w:p>
    <w:p>
      <w:pPr>
        <w:spacing w:after="50" w:before="0" w:line="276"/>
        <w:jc w:val="both"/>
      </w:pPr>
      <w:r>
        <w:rPr>
          <w:rFonts w:ascii="Times New Roman" w:cs="Times New Roman" w:eastAsia="Times New Roman" w:hAnsi="Times New Roman"/>
          <w:b w:val="false"/>
          <w:bCs w:val="false"/>
          <w:i w:val="false"/>
          <w:iCs w:val="false"/>
          <w:color w:val="000000"/>
          <w:sz w:val="17"/>
          <w:szCs w:val="17"/>
        </w:rPr>
        <w:t xml:space="preserve">[15] D. H. Wolpert, "Stacked generalization," Neural Netw., vol. 5, no. 2, pp. 241–259, 1992.</w:t>
      </w:r>
    </w:p>
    <w:p>
      <w:pPr>
        <w:spacing w:after="50" w:before="0" w:line="276"/>
        <w:jc w:val="both"/>
      </w:pPr>
      <w:r>
        <w:rPr>
          <w:rFonts w:ascii="Times New Roman" w:cs="Times New Roman" w:eastAsia="Times New Roman" w:hAnsi="Times New Roman"/>
          <w:b w:val="false"/>
          <w:bCs w:val="false"/>
          <w:i w:val="false"/>
          <w:iCs w:val="false"/>
          <w:color w:val="000000"/>
          <w:sz w:val="17"/>
          <w:szCs w:val="17"/>
        </w:rPr>
        <w:t xml:space="preserve">[16] S. M. Lundberg and S.-I. Lee, "A unified approach to interpreting model predictions," in Proc. NeurIPS, Long Beach, CA, USA, 2017, pp. 4765–4774.</w:t>
      </w:r>
    </w:p>
    <w:sectPr>
      <w:footerReference w:type="default" r:id="rId7"/>
      <w:pgSz w:w="12240" w:h="15840" w:orient="portrait"/>
      <w:pgMar w:top="907" w:right="907" w:bottom="907"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2026-03-07T20:10:11.881Z</dcterms:created>
  <dcterms:modified xsi:type="dcterms:W3CDTF">2026-03-07T20:10:11.882Z</dcterms:modified>
</cp:coreProperties>
</file>

<file path=docProps/custom.xml><?xml version="1.0" encoding="utf-8"?>
<Properties xmlns="http://schemas.openxmlformats.org/officeDocument/2006/custom-properties" xmlns:vt="http://schemas.openxmlformats.org/officeDocument/2006/docPropsVTypes"/>
</file>