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Times New Roman" w:cs="Times New Roman" w:eastAsia="Times New Roman" w:hAnsi="Times New Roman"/>
          <w:b/>
          <w:bCs/>
          <w:i w:val="false"/>
          <w:iCs w:val="false"/>
          <w:color w:val="000000"/>
          <w:sz w:val="28"/>
          <w:szCs w:val="28"/>
        </w:rPr>
        <w:t xml:space="preserve">MASS-AI: AI-Based Anomaly Detection and Electricity Theft Classification System for Turkey's National Smart Meter Infrastructure</w:t>
      </w:r>
    </w:p>
    <w:p>
      <w:pPr>
        <w:spacing w:after="40" w:before="0"/>
        <w:jc w:val="center"/>
      </w:pPr>
      <w:r>
        <w:rPr>
          <w:rFonts w:ascii="Times New Roman" w:cs="Times New Roman" w:eastAsia="Times New Roman" w:hAnsi="Times New Roman"/>
          <w:b w:val="false"/>
          <w:bCs w:val="false"/>
          <w:i w:val="false"/>
          <w:iCs w:val="false"/>
          <w:color w:val="000000"/>
          <w:sz w:val="22"/>
          <w:szCs w:val="22"/>
        </w:rPr>
        <w:t xml:space="preserve">Ömer Burak Koçak</w:t>
      </w:r>
    </w:p>
    <w:p>
      <w:pPr>
        <w:spacing w:after="20" w:before="0"/>
        <w:jc w:val="center"/>
      </w:pPr>
      <w:r>
        <w:rPr>
          <w:rFonts w:ascii="Times New Roman" w:cs="Times New Roman" w:eastAsia="Times New Roman" w:hAnsi="Times New Roman"/>
          <w:b w:val="false"/>
          <w:bCs w:val="false"/>
          <w:i/>
          <w:iCs/>
          <w:color w:val="000000"/>
          <w:sz w:val="18"/>
          <w:szCs w:val="18"/>
        </w:rPr>
        <w:t xml:space="preserve">Department of Electrical-Electronics Engineering</w:t>
      </w:r>
    </w:p>
    <w:p>
      <w:pPr>
        <w:spacing w:after="200" w:before="0"/>
        <w:jc w:val="center"/>
      </w:pPr>
      <w:r>
        <w:rPr>
          <w:rFonts w:ascii="Times New Roman" w:cs="Times New Roman" w:eastAsia="Times New Roman" w:hAnsi="Times New Roman"/>
          <w:b w:val="false"/>
          <w:bCs w:val="false"/>
          <w:i/>
          <w:iCs/>
          <w:color w:val="000000"/>
          <w:sz w:val="18"/>
          <w:szCs w:val="18"/>
        </w:rPr>
        <w:t xml:space="preserve">Marmara University, Istanbul, Turkey</w:t>
      </w:r>
    </w:p>
    <w:p>
      <w:pPr>
        <w:spacing w:after="80" w:before="0"/>
        <w:jc w:val="both"/>
      </w:pPr>
      <w:r>
        <w:rPr>
          <w:rFonts w:ascii="Times New Roman" w:cs="Times New Roman" w:eastAsia="Times New Roman" w:hAnsi="Times New Roman"/>
          <w:b/>
          <w:bCs/>
          <w:i/>
          <w:iCs/>
          <w:color w:val="000000"/>
          <w:sz w:val="18"/>
          <w:szCs w:val="18"/>
        </w:rPr>
        <w:t xml:space="preserve">Abstract</w:t>
      </w:r>
      <w:r>
        <w:rPr>
          <w:rFonts w:ascii="Times New Roman" w:cs="Times New Roman" w:eastAsia="Times New Roman" w:hAnsi="Times New Roman"/>
          <w:b w:val="false"/>
          <w:bCs w:val="false"/>
          <w:i/>
          <w:iCs/>
          <w:color w:val="000000"/>
          <w:sz w:val="18"/>
          <w:szCs w:val="18"/>
        </w:rPr>
        <w:t xml:space="preserve">—Turkey launched the MASS (Milli Akıllı Sayaç Sistemleri) project on March 1, 2026, targeting the replacement of 50 million electricity meters with smart meters by 2028. While these meters generate consumption data at 15-minute intervals, no AI infrastructure currently exists to analyze this data for anomaly detection. This paper presents MASS-AI, an integrated system that employs four machine learning approaches—Isolation Forest, XGBoost, Random Forest, and LSTM Autoencoder—to detect electricity theft from smart meter consumption patterns. Using a synthetic dataset of 2,000 customers over 180 days with five realistic theft scenarios injected at a 12% rate (reflecting Turkey's actual loss rates), we extract 20+ statistical, temporal, and anomaly-indicator features per customer. Our supervised models achieve ROC-AUC scores of 0.947 (Random Forest) and 0.937 (XGBoost), while the unsupervised LSTM Autoencoder achieves 0.748 ROC-AUC at the customer level without requiring labeled data. A real-time Streamlit dashboard provides regional anomaly visualization, customer-level drill-down, and automated alerting. The system demonstrates the feasibility of AI-powered theft detection for Turkey's emerging smart grid infrastructure.</w:t>
      </w:r>
    </w:p>
    <w:p>
      <w:pPr>
        <w:spacing w:after="200" w:before="0"/>
        <w:jc w:val="both"/>
      </w:pPr>
      <w:r>
        <w:rPr>
          <w:rFonts w:ascii="Times New Roman" w:cs="Times New Roman" w:eastAsia="Times New Roman" w:hAnsi="Times New Roman"/>
          <w:b/>
          <w:bCs/>
          <w:i/>
          <w:iCs/>
          <w:color w:val="000000"/>
          <w:sz w:val="18"/>
          <w:szCs w:val="18"/>
        </w:rPr>
        <w:t xml:space="preserve">Keywords</w:t>
      </w:r>
      <w:r>
        <w:rPr>
          <w:rFonts w:ascii="Times New Roman" w:cs="Times New Roman" w:eastAsia="Times New Roman" w:hAnsi="Times New Roman"/>
          <w:b w:val="false"/>
          <w:bCs w:val="false"/>
          <w:i/>
          <w:iCs/>
          <w:color w:val="000000"/>
          <w:sz w:val="18"/>
          <w:szCs w:val="18"/>
        </w:rPr>
        <w:t xml:space="preserve">—smart meter, anomaly detection, electricity theft, LSTM autoencoder, machine learning, MASS, Turkey</w:t>
      </w:r>
    </w:p>
    <w:p>
      <w:pPr>
        <w:spacing w:after="120" w:before="240"/>
        <w:jc w:val="center"/>
      </w:pPr>
      <w:r>
        <w:rPr>
          <w:rFonts w:ascii="Times New Roman" w:cs="Times New Roman" w:eastAsia="Times New Roman" w:hAnsi="Times New Roman"/>
          <w:b/>
          <w:bCs/>
          <w:sz w:val="20"/>
          <w:szCs w:val="20"/>
        </w:rPr>
        <w:t xml:space="preserve">I. INTRODUCTION</w:t>
      </w:r>
    </w:p>
    <w:p>
      <w:pPr>
        <w:spacing w:after="120" w:before="0"/>
        <w:jc w:val="both"/>
      </w:pPr>
      <w:r>
        <w:rPr>
          <w:rFonts w:ascii="Times New Roman" w:cs="Times New Roman" w:eastAsia="Times New Roman" w:hAnsi="Times New Roman"/>
          <w:b w:val="false"/>
          <w:bCs w:val="false"/>
          <w:i w:val="false"/>
          <w:iCs w:val="false"/>
          <w:color w:val="000000"/>
          <w:sz w:val="20"/>
          <w:szCs w:val="20"/>
        </w:rPr>
        <w:t xml:space="preserve">Turkey's electricity distribution network faces significant challenges from non-technical losses, with theft and unauthorized usage accounting for up to 28% of total consumption in certain regions such as the Dicle EDAŞ distribution area. This results in billions of Turkish Lira in annual economic losses and undermines grid stability. To address these challenges, the Energy Market Regulatory Authority (EPDK) initiated the MASS (Milli Akıllı Sayaç Sistemleri—National Smart Meter Systems) project, which commenced on March 1, 2026, with the goal of replacing 50 million conventional meters with advanced metering infrastructure (AMI) by 2028.</w:t>
      </w:r>
    </w:p>
    <w:p>
      <w:pPr>
        <w:spacing w:after="120" w:before="0"/>
        <w:jc w:val="both"/>
      </w:pPr>
      <w:r>
        <w:rPr>
          <w:rFonts w:ascii="Times New Roman" w:cs="Times New Roman" w:eastAsia="Times New Roman" w:hAnsi="Times New Roman"/>
          <w:b w:val="false"/>
          <w:bCs w:val="false"/>
          <w:i w:val="false"/>
          <w:iCs w:val="false"/>
          <w:color w:val="000000"/>
          <w:sz w:val="20"/>
          <w:szCs w:val="20"/>
        </w:rPr>
        <w:t xml:space="preserve">Smart meters generate granular consumption data at 15-minute intervals, creating an unprecedented opportunity for data-driven analytics. However, the current infrastructure primarily uses this data for billing purposes, leaving a significant gap in intelligent analysis capabilities. Simultaneously, Turkey's ambitious renewable energy targets—aiming for 47.8% renewable generation by 2025—introduce additional grid complexity through bidirectional power flows and voltage fluctuations from distributed solar and wind installations.</w:t>
      </w:r>
    </w:p>
    <w:p>
      <w:pPr>
        <w:spacing w:after="120" w:before="0"/>
        <w:jc w:val="both"/>
      </w:pPr>
      <w:r>
        <w:rPr>
          <w:rFonts w:ascii="Times New Roman" w:cs="Times New Roman" w:eastAsia="Times New Roman" w:hAnsi="Times New Roman"/>
          <w:b w:val="false"/>
          <w:bCs w:val="false"/>
          <w:i w:val="false"/>
          <w:iCs w:val="false"/>
          <w:color w:val="000000"/>
          <w:sz w:val="20"/>
          <w:szCs w:val="20"/>
        </w:rPr>
        <w:t xml:space="preserve">This paper presents MASS-AI, a comprehensive AI-powered anomaly detection system designed specifically for Turkey's smart meter ecosystem. Our contributions include: (1) a synthetic data generation framework that models realistic consumption patterns and five distinct theft scenarios; (2) a comparative analysis of four machine learning approaches spanning unsupervised, supervised, and deep learning paradigms; (3) a feature engineering pipeline extracting 20+ discriminative features from raw consumption time series; and (4) an interactive real-time monitoring dashboard for operational deployment.</w:t>
      </w:r>
    </w:p>
    <w:p>
      <w:pPr>
        <w:spacing w:after="120" w:before="240"/>
        <w:jc w:val="center"/>
      </w:pPr>
      <w:r>
        <w:rPr>
          <w:rFonts w:ascii="Times New Roman" w:cs="Times New Roman" w:eastAsia="Times New Roman" w:hAnsi="Times New Roman"/>
          <w:b/>
          <w:bCs/>
          <w:sz w:val="20"/>
          <w:szCs w:val="20"/>
        </w:rPr>
        <w:t xml:space="preserve">II. RELATED WORK</w:t>
      </w:r>
    </w:p>
    <w:p>
      <w:pPr>
        <w:spacing w:after="120" w:before="0"/>
        <w:jc w:val="both"/>
      </w:pPr>
      <w:r>
        <w:rPr>
          <w:rFonts w:ascii="Times New Roman" w:cs="Times New Roman" w:eastAsia="Times New Roman" w:hAnsi="Times New Roman"/>
          <w:b w:val="false"/>
          <w:bCs w:val="false"/>
          <w:i w:val="false"/>
          <w:iCs w:val="false"/>
          <w:color w:val="000000"/>
          <w:sz w:val="20"/>
          <w:szCs w:val="20"/>
        </w:rPr>
        <w:t xml:space="preserve">Electricity theft detection has been extensively studied using various machine learning approaches. Zheng et al. proposed a Wide &amp; Deep Convolutional Neural Network for theft detection using smart meter data from the State Grid Corporation of China (SGCC), achieving significant improvements over traditional methods. Jokar et al. employed Support Vector Machines (SVM) with consumption pattern features, while Buzau et al. demonstrated the effectiveness of ensemble methods including XGBoost for imbalanced theft detection datasets.</w:t>
      </w:r>
    </w:p>
    <w:p>
      <w:pPr>
        <w:spacing w:after="120" w:before="0"/>
        <w:jc w:val="both"/>
      </w:pPr>
      <w:r>
        <w:rPr>
          <w:rFonts w:ascii="Times New Roman" w:cs="Times New Roman" w:eastAsia="Times New Roman" w:hAnsi="Times New Roman"/>
          <w:b w:val="false"/>
          <w:bCs w:val="false"/>
          <w:i w:val="false"/>
          <w:iCs w:val="false"/>
          <w:color w:val="000000"/>
          <w:sz w:val="20"/>
          <w:szCs w:val="20"/>
        </w:rPr>
        <w:t xml:space="preserve">Non-Intrusive Load Monitoring (NILM) techniques, pioneered by Hart, have been adapted for anomaly detection by disaggregating total consumption into individual appliance signatures. Recent work by Kelly and Knottenbelt applied deep neural networks to NILM, enabling more accurate baseline consumption modeling.</w:t>
      </w:r>
    </w:p>
    <w:p>
      <w:pPr>
        <w:spacing w:after="120" w:before="0"/>
        <w:jc w:val="both"/>
      </w:pPr>
      <w:r>
        <w:rPr>
          <w:rFonts w:ascii="Times New Roman" w:cs="Times New Roman" w:eastAsia="Times New Roman" w:hAnsi="Times New Roman"/>
          <w:b w:val="false"/>
          <w:bCs w:val="false"/>
          <w:i w:val="false"/>
          <w:iCs w:val="false"/>
          <w:color w:val="000000"/>
          <w:sz w:val="20"/>
          <w:szCs w:val="20"/>
        </w:rPr>
        <w:t xml:space="preserve">LSTM-based approaches have shown particular promise for time series anomaly detection. Malhotra et al. demonstrated that LSTM autoencoders can effectively learn normal temporal patterns and flag deviations through reconstruction error analysis. Our work extends these approaches by combining multiple detection paradigms and contextualizing them within Turkey's specific smart meter infrastructure requirements.</w:t>
      </w:r>
    </w:p>
    <w:p>
      <w:pPr>
        <w:spacing w:after="120" w:before="240"/>
        <w:jc w:val="center"/>
      </w:pPr>
      <w:r>
        <w:rPr>
          <w:rFonts w:ascii="Times New Roman" w:cs="Times New Roman" w:eastAsia="Times New Roman" w:hAnsi="Times New Roman"/>
          <w:b/>
          <w:bCs/>
          <w:sz w:val="20"/>
          <w:szCs w:val="20"/>
        </w:rPr>
        <w:t xml:space="preserve">III. METHODOLOGY</w:t>
      </w:r>
    </w:p>
    <w:p>
      <w:pPr>
        <w:spacing w:after="80" w:before="180"/>
        <w:jc w:val="left"/>
      </w:pPr>
      <w:r>
        <w:rPr>
          <w:rFonts w:ascii="Times New Roman" w:cs="Times New Roman" w:eastAsia="Times New Roman" w:hAnsi="Times New Roman"/>
          <w:b w:val="false"/>
          <w:bCs w:val="false"/>
          <w:i/>
          <w:iCs/>
          <w:sz w:val="20"/>
          <w:szCs w:val="20"/>
        </w:rPr>
        <w:t xml:space="preserve">A. Synthetic Data Generation</w:t>
      </w:r>
    </w:p>
    <w:p>
      <w:pPr>
        <w:spacing w:after="120" w:before="0"/>
        <w:jc w:val="both"/>
      </w:pPr>
      <w:r>
        <w:rPr>
          <w:rFonts w:ascii="Times New Roman" w:cs="Times New Roman" w:eastAsia="Times New Roman" w:hAnsi="Times New Roman"/>
          <w:b w:val="false"/>
          <w:bCs w:val="false"/>
          <w:i w:val="false"/>
          <w:iCs w:val="false"/>
          <w:color w:val="000000"/>
          <w:sz w:val="20"/>
          <w:szCs w:val="20"/>
        </w:rPr>
        <w:t xml:space="preserve">To prototype and validate our system prior to accessing real MASS data, we developed a synthetic data generator that models realistic Turkish consumption patterns. The dataset comprises 2,000 customers over 180 days (March–August 2026) with 15-minute measurement intervals, yielding 17,280 data points per customer. Three customer profiles are modeled with the following distribution: residential (70%), commercial (20%), and industrial (10%).</w:t>
      </w:r>
    </w:p>
    <w:p>
      <w:pPr>
        <w:spacing w:after="120" w:before="0"/>
        <w:jc w:val="both"/>
      </w:pPr>
      <w:r>
        <w:rPr>
          <w:rFonts w:ascii="Times New Roman" w:cs="Times New Roman" w:eastAsia="Times New Roman" w:hAnsi="Times New Roman"/>
          <w:b w:val="false"/>
          <w:bCs w:val="false"/>
          <w:i w:val="false"/>
          <w:iCs w:val="false"/>
          <w:color w:val="000000"/>
          <w:sz w:val="20"/>
          <w:szCs w:val="20"/>
        </w:rPr>
        <w:t xml:space="preserve">Each profile incorporates distinct temporal patterns. Residential customers exhibit morning (07:00–09:00) and evening (18:00–23:00) peak periods with minimal overnight consumption. Commercial profiles show business-hour peaks (09:00–18:00) with reduced weekend activity. Industrial profiles maintain relatively constant consumption reflecting multi-shift operations. Seasonal variations follow a sinusoidal pattern to model heating and cooling demands.</w:t>
      </w:r>
    </w:p>
    <w:p>
      <w:pPr>
        <w:spacing w:after="80" w:before="180"/>
        <w:jc w:val="left"/>
      </w:pPr>
      <w:r>
        <w:rPr>
          <w:rFonts w:ascii="Times New Roman" w:cs="Times New Roman" w:eastAsia="Times New Roman" w:hAnsi="Times New Roman"/>
          <w:b w:val="false"/>
          <w:bCs w:val="false"/>
          <w:i/>
          <w:iCs/>
          <w:sz w:val="20"/>
          <w:szCs w:val="20"/>
        </w:rPr>
        <w:t xml:space="preserve">B. Theft Scenario Injection</w:t>
      </w:r>
    </w:p>
    <w:p>
      <w:pPr>
        <w:spacing w:after="120" w:before="0"/>
        <w:jc w:val="both"/>
      </w:pPr>
      <w:r>
        <w:rPr>
          <w:rFonts w:ascii="Times New Roman" w:cs="Times New Roman" w:eastAsia="Times New Roman" w:hAnsi="Times New Roman"/>
          <w:b w:val="false"/>
          <w:bCs w:val="false"/>
          <w:i w:val="false"/>
          <w:iCs w:val="false"/>
          <w:color w:val="000000"/>
          <w:sz w:val="20"/>
          <w:szCs w:val="20"/>
        </w:rPr>
        <w:t xml:space="preserve">Five theft scenarios are injected at a 12% overall rate, reflecting Turkey's actual non-technical loss statistics:</w:t>
      </w:r>
    </w:p>
    <w:tbl>
      <w:tblPr>
        <w:tblW w:type="dxa" w:w="104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4026"/>
      </w:tblGrid>
      <w:tr>
        <w:tc>
          <w:tcPr>
            <w:tcW w:type="dxa" w:w="2200"/>
            <w:tcBorders>
              <w:top w:val="single" w:color="999999" w:sz="1"/>
              <w:left w:val="single" w:color="999999" w:sz="1"/>
              <w:bottom w:val="single" w:color="999999" w:sz="1"/>
              <w:right w:val="single" w:color="999999" w:sz="1"/>
            </w:tcBorders>
            <w:shd w:fill="D6EAF8" w:val="clear"/>
            <w:tcMar>
              <w:top w:type="dxa" w:w="60"/>
              <w:left w:type="dxa" w:w="80"/>
              <w:bottom w:type="dxa" w:w="60"/>
              <w:right w:type="dxa" w:w="80"/>
            </w:tcMar>
          </w:tcPr>
          <w:p>
            <w:pPr>
              <w:spacing w:after="0"/>
              <w:jc w:val="left"/>
            </w:pPr>
            <w:r>
              <w:rPr>
                <w:rFonts w:ascii="Times New Roman" w:cs="Times New Roman" w:eastAsia="Times New Roman" w:hAnsi="Times New Roman"/>
                <w:b/>
                <w:bCs/>
                <w:i w:val="false"/>
                <w:iCs w:val="false"/>
                <w:sz w:val="18"/>
                <w:szCs w:val="18"/>
              </w:rPr>
              <w:t xml:space="preserve">Theft Type</w:t>
            </w:r>
          </w:p>
        </w:tc>
        <w:tc>
          <w:tcPr>
            <w:tcW w:type="dxa" w:w="4200"/>
            <w:tcBorders>
              <w:top w:val="single" w:color="999999" w:sz="1"/>
              <w:left w:val="single" w:color="999999" w:sz="1"/>
              <w:bottom w:val="single" w:color="999999" w:sz="1"/>
              <w:right w:val="single" w:color="999999" w:sz="1"/>
            </w:tcBorders>
            <w:shd w:fill="D6EAF8" w:val="clear"/>
            <w:tcMar>
              <w:top w:type="dxa" w:w="60"/>
              <w:left w:type="dxa" w:w="80"/>
              <w:bottom w:type="dxa" w:w="60"/>
              <w:right w:type="dxa" w:w="80"/>
            </w:tcMar>
          </w:tcPr>
          <w:p>
            <w:pPr>
              <w:spacing w:after="0"/>
              <w:jc w:val="left"/>
            </w:pPr>
            <w:r>
              <w:rPr>
                <w:rFonts w:ascii="Times New Roman" w:cs="Times New Roman" w:eastAsia="Times New Roman" w:hAnsi="Times New Roman"/>
                <w:b/>
                <w:bCs/>
                <w:i w:val="false"/>
                <w:iCs w:val="false"/>
                <w:sz w:val="18"/>
                <w:szCs w:val="18"/>
              </w:rPr>
              <w:t xml:space="preserve">Description</w:t>
            </w:r>
          </w:p>
        </w:tc>
        <w:tc>
          <w:tcPr>
            <w:tcW w:type="dxa" w:w="4026"/>
            <w:tcBorders>
              <w:top w:val="single" w:color="999999" w:sz="1"/>
              <w:left w:val="single" w:color="999999" w:sz="1"/>
              <w:bottom w:val="single" w:color="999999" w:sz="1"/>
              <w:right w:val="single" w:color="999999" w:sz="1"/>
            </w:tcBorders>
            <w:shd w:fill="D6EAF8" w:val="clear"/>
            <w:tcMar>
              <w:top w:type="dxa" w:w="60"/>
              <w:left w:type="dxa" w:w="80"/>
              <w:bottom w:type="dxa" w:w="60"/>
              <w:right w:type="dxa" w:w="80"/>
            </w:tcMar>
          </w:tcPr>
          <w:p>
            <w:pPr>
              <w:spacing w:after="0"/>
              <w:jc w:val="left"/>
            </w:pPr>
            <w:r>
              <w:rPr>
                <w:rFonts w:ascii="Times New Roman" w:cs="Times New Roman" w:eastAsia="Times New Roman" w:hAnsi="Times New Roman"/>
                <w:b/>
                <w:bCs/>
                <w:i w:val="false"/>
                <w:iCs w:val="false"/>
                <w:sz w:val="18"/>
                <w:szCs w:val="18"/>
              </w:rPr>
              <w:t xml:space="preserve">Real-World Analog</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i w:val="false"/>
                <w:iCs w:val="false"/>
                <w:sz w:val="18"/>
                <w:szCs w:val="18"/>
              </w:rPr>
              <w:t xml:space="preserve">Constant Reduction</w:t>
            </w:r>
          </w:p>
        </w:tc>
        <w:tc>
          <w:tcPr>
            <w:tcW w:type="dxa" w:w="4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i w:val="false"/>
                <w:iCs w:val="false"/>
                <w:sz w:val="18"/>
                <w:szCs w:val="18"/>
              </w:rPr>
              <w:t xml:space="preserve">All consumption reduced by 30–70%</w:t>
            </w:r>
          </w:p>
        </w:tc>
        <w:tc>
          <w:tcPr>
            <w:tcW w:type="dxa" w:w="4026"/>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i w:val="false"/>
                <w:iCs w:val="false"/>
                <w:sz w:val="18"/>
                <w:szCs w:val="18"/>
              </w:rPr>
              <w:t xml:space="preserve">Meter calibration tampering</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i w:val="false"/>
                <w:iCs w:val="false"/>
                <w:sz w:val="18"/>
                <w:szCs w:val="18"/>
              </w:rPr>
              <w:t xml:space="preserve">Night Zeroing</w:t>
            </w:r>
          </w:p>
        </w:tc>
        <w:tc>
          <w:tcPr>
            <w:tcW w:type="dxa" w:w="4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i w:val="false"/>
                <w:iCs w:val="false"/>
                <w:sz w:val="18"/>
                <w:szCs w:val="18"/>
              </w:rPr>
              <w:t xml:space="preserve">00:00–06:00 consumption set to zero</w:t>
            </w:r>
          </w:p>
        </w:tc>
        <w:tc>
          <w:tcPr>
            <w:tcW w:type="dxa" w:w="4026"/>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i w:val="false"/>
                <w:iCs w:val="false"/>
                <w:sz w:val="18"/>
                <w:szCs w:val="18"/>
              </w:rPr>
              <w:t xml:space="preserve">Nighttime cable bypass</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i w:val="false"/>
                <w:iCs w:val="false"/>
                <w:sz w:val="18"/>
                <w:szCs w:val="18"/>
              </w:rPr>
              <w:t xml:space="preserve">Random Zeros</w:t>
            </w:r>
          </w:p>
        </w:tc>
        <w:tc>
          <w:tcPr>
            <w:tcW w:type="dxa" w:w="4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i w:val="false"/>
                <w:iCs w:val="false"/>
                <w:sz w:val="18"/>
                <w:szCs w:val="18"/>
              </w:rPr>
              <w:t xml:space="preserve">30% of days show zero consumption</w:t>
            </w:r>
          </w:p>
        </w:tc>
        <w:tc>
          <w:tcPr>
            <w:tcW w:type="dxa" w:w="4026"/>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i w:val="false"/>
                <w:iCs w:val="false"/>
                <w:sz w:val="18"/>
                <w:szCs w:val="18"/>
              </w:rPr>
              <w:t xml:space="preserve">Periodic meter stopping</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i w:val="false"/>
                <w:iCs w:val="false"/>
                <w:sz w:val="18"/>
                <w:szCs w:val="18"/>
              </w:rPr>
              <w:t xml:space="preserve">Gradual Decrease</w:t>
            </w:r>
          </w:p>
        </w:tc>
        <w:tc>
          <w:tcPr>
            <w:tcW w:type="dxa" w:w="4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i w:val="false"/>
                <w:iCs w:val="false"/>
                <w:sz w:val="18"/>
                <w:szCs w:val="18"/>
              </w:rPr>
              <w:t xml:space="preserve">Monthly 5–10% consumption decline</w:t>
            </w:r>
          </w:p>
        </w:tc>
        <w:tc>
          <w:tcPr>
            <w:tcW w:type="dxa" w:w="4026"/>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i w:val="false"/>
                <w:iCs w:val="false"/>
                <w:sz w:val="18"/>
                <w:szCs w:val="18"/>
              </w:rPr>
              <w:t xml:space="preserve">Progressive theft escalation</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i w:val="false"/>
                <w:iCs w:val="false"/>
                <w:sz w:val="18"/>
                <w:szCs w:val="18"/>
              </w:rPr>
              <w:t xml:space="preserve">Peak Clipping</w:t>
            </w:r>
          </w:p>
        </w:tc>
        <w:tc>
          <w:tcPr>
            <w:tcW w:type="dxa" w:w="42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i w:val="false"/>
                <w:iCs w:val="false"/>
                <w:sz w:val="18"/>
                <w:szCs w:val="18"/>
              </w:rPr>
              <w:t xml:space="preserve">Consumption capped at 60th percentile</w:t>
            </w:r>
          </w:p>
        </w:tc>
        <w:tc>
          <w:tcPr>
            <w:tcW w:type="dxa" w:w="4026"/>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i w:val="false"/>
                <w:iCs w:val="false"/>
                <w:sz w:val="18"/>
                <w:szCs w:val="18"/>
              </w:rPr>
              <w:t xml:space="preserve">Current limiter installation</w:t>
            </w:r>
          </w:p>
        </w:tc>
      </w:tr>
    </w:tbl>
    <w:p>
      <w:pPr>
        <w:spacing w:after="200" w:before="0"/>
        <w:jc w:val="center"/>
      </w:pPr>
      <w:r>
        <w:rPr>
          <w:rFonts w:ascii="Times New Roman" w:cs="Times New Roman" w:eastAsia="Times New Roman" w:hAnsi="Times New Roman"/>
          <w:b w:val="false"/>
          <w:bCs w:val="false"/>
          <w:i/>
          <w:iCs/>
          <w:color w:val="000000"/>
          <w:sz w:val="18"/>
          <w:szCs w:val="18"/>
        </w:rPr>
        <w:t xml:space="preserve">TABLE I: Theft scenarios and their real-world analogs.</w:t>
      </w:r>
    </w:p>
    <w:p>
      <w:pPr>
        <w:spacing w:after="80" w:before="180"/>
        <w:jc w:val="left"/>
      </w:pPr>
      <w:r>
        <w:rPr>
          <w:rFonts w:ascii="Times New Roman" w:cs="Times New Roman" w:eastAsia="Times New Roman" w:hAnsi="Times New Roman"/>
          <w:b w:val="false"/>
          <w:bCs w:val="false"/>
          <w:i/>
          <w:iCs/>
          <w:sz w:val="20"/>
          <w:szCs w:val="20"/>
        </w:rPr>
        <w:t xml:space="preserve">C. Feature Engineering</w:t>
      </w:r>
    </w:p>
    <w:p>
      <w:pPr>
        <w:spacing w:after="120" w:before="0"/>
        <w:jc w:val="both"/>
      </w:pPr>
      <w:r>
        <w:rPr>
          <w:rFonts w:ascii="Times New Roman" w:cs="Times New Roman" w:eastAsia="Times New Roman" w:hAnsi="Times New Roman"/>
          <w:b w:val="false"/>
          <w:bCs w:val="false"/>
          <w:i w:val="false"/>
          <w:iCs w:val="false"/>
          <w:color w:val="000000"/>
          <w:sz w:val="20"/>
          <w:szCs w:val="20"/>
        </w:rPr>
        <w:t xml:space="preserve">From the raw 15-minute consumption time series, we extract 20+ features organized into three categories. Statistical features include mean, standard deviation, minimum, maximum, median, skewness, and kurtosis of consumption values. Temporal features capture the night-to-day consumption ratio (00:00–06:00 vs. 06:00–24:00), weekend-to-weekday ratio, peak consumption hour, and coefficient of variation of daily totals. Anomaly indicator features include zero measurement percentage, zero day percentage, sudden change ratio (consecutive differences exceeding 3 standard deviations), and the linear trend slope of daily consumption totals.</w:t>
      </w:r>
    </w:p>
    <w:p>
      <w:pPr>
        <w:spacing w:after="80" w:before="180"/>
        <w:jc w:val="left"/>
      </w:pPr>
      <w:r>
        <w:rPr>
          <w:rFonts w:ascii="Times New Roman" w:cs="Times New Roman" w:eastAsia="Times New Roman" w:hAnsi="Times New Roman"/>
          <w:b w:val="false"/>
          <w:bCs w:val="false"/>
          <w:i/>
          <w:iCs/>
          <w:sz w:val="20"/>
          <w:szCs w:val="20"/>
        </w:rPr>
        <w:t xml:space="preserve">D. Model Architectures</w:t>
      </w:r>
    </w:p>
    <w:p>
      <w:pPr>
        <w:spacing w:after="120" w:before="0"/>
        <w:jc w:val="both"/>
      </w:pPr>
      <w:r>
        <w:rPr>
          <w:rFonts w:ascii="Times New Roman" w:cs="Times New Roman" w:eastAsia="Times New Roman" w:hAnsi="Times New Roman"/>
          <w:b w:val="false"/>
          <w:bCs w:val="false"/>
          <w:i w:val="false"/>
          <w:iCs w:val="false"/>
          <w:color w:val="000000"/>
          <w:sz w:val="20"/>
          <w:szCs w:val="20"/>
        </w:rPr>
        <w:t xml:space="preserve">We evaluate four complementary approaches. The Isolation Forest with 200 estimators and contamination parameter set to 0.12 provides unsupervised anomaly detection by isolating observations through random feature splitting. XGBoost (300 estimators, max depth 6, learning rate 0.05) and Random Forest (200 estimators, max depth 8, balanced class weights) provide supervised classification with built-in handling of class imbalance through scale_pos_weight and class_weight parameters, respectively.</w:t>
      </w:r>
    </w:p>
    <w:p>
      <w:pPr>
        <w:spacing w:after="120" w:before="0"/>
        <w:jc w:val="both"/>
      </w:pPr>
      <w:r>
        <w:rPr>
          <w:rFonts w:ascii="Times New Roman" w:cs="Times New Roman" w:eastAsia="Times New Roman" w:hAnsi="Times New Roman"/>
          <w:b w:val="false"/>
          <w:bCs w:val="false"/>
          <w:i w:val="false"/>
          <w:iCs w:val="false"/>
          <w:color w:val="000000"/>
          <w:sz w:val="20"/>
          <w:szCs w:val="20"/>
        </w:rPr>
        <w:t xml:space="preserve">The LSTM Autoencoder employs an encoder-decoder architecture. The encoder consists of LSTM(64) and LSTM(32) layers followed by a Dense(32) bottleneck. The decoder mirrors this structure with RepeatVector, LSTM(32), and LSTM(64) layers, terminating in a TimeDistributed Dense(1) output. The model is trained exclusively on normal consumption sequences using MSE loss, with the reconstruction error serving as the anomaly score. Input sequences are 96-timestep windows (24 hours) with 48-timestep stride.</w:t>
      </w:r>
    </w:p>
    <w:p>
      <w:pPr>
        <w:spacing w:after="120" w:before="240"/>
        <w:jc w:val="center"/>
      </w:pPr>
      <w:r>
        <w:rPr>
          <w:rFonts w:ascii="Times New Roman" w:cs="Times New Roman" w:eastAsia="Times New Roman" w:hAnsi="Times New Roman"/>
          <w:b/>
          <w:bCs/>
          <w:sz w:val="20"/>
          <w:szCs w:val="20"/>
        </w:rPr>
        <w:t xml:space="preserve">IV. EXPERIMENTAL RESULTS</w:t>
      </w:r>
    </w:p>
    <w:p>
      <w:pPr>
        <w:spacing w:after="80" w:before="180"/>
        <w:jc w:val="left"/>
      </w:pPr>
      <w:r>
        <w:rPr>
          <w:rFonts w:ascii="Times New Roman" w:cs="Times New Roman" w:eastAsia="Times New Roman" w:hAnsi="Times New Roman"/>
          <w:b w:val="false"/>
          <w:bCs w:val="false"/>
          <w:i/>
          <w:iCs/>
          <w:sz w:val="20"/>
          <w:szCs w:val="20"/>
        </w:rPr>
        <w:t xml:space="preserve">A. Experimental Setup</w:t>
      </w:r>
    </w:p>
    <w:p>
      <w:pPr>
        <w:spacing w:after="120" w:before="0"/>
        <w:jc w:val="both"/>
      </w:pPr>
      <w:r>
        <w:rPr>
          <w:rFonts w:ascii="Times New Roman" w:cs="Times New Roman" w:eastAsia="Times New Roman" w:hAnsi="Times New Roman"/>
          <w:b w:val="false"/>
          <w:bCs w:val="false"/>
          <w:i w:val="false"/>
          <w:iCs w:val="false"/>
          <w:color w:val="000000"/>
          <w:sz w:val="20"/>
          <w:szCs w:val="20"/>
        </w:rPr>
        <w:t xml:space="preserve">The dataset is split 75/25 for training and testing with stratified sampling. All features are standardized using z-score normalization. For the LSTM Autoencoder, only normal training samples are used for model fitting, with early stopping (patience=5) and learning rate reduction on plateau. The anomaly threshold is determined by maximizing the F1 score on the precision-recall curve.</w:t>
      </w:r>
    </w:p>
    <w:p>
      <w:pPr>
        <w:spacing w:after="80" w:before="180"/>
        <w:jc w:val="left"/>
      </w:pPr>
      <w:r>
        <w:rPr>
          <w:rFonts w:ascii="Times New Roman" w:cs="Times New Roman" w:eastAsia="Times New Roman" w:hAnsi="Times New Roman"/>
          <w:b w:val="false"/>
          <w:bCs w:val="false"/>
          <w:i/>
          <w:iCs/>
          <w:sz w:val="20"/>
          <w:szCs w:val="20"/>
        </w:rPr>
        <w:t xml:space="preserve">B. Model Comparison</w:t>
      </w:r>
    </w:p>
    <w:tbl>
      <w:tblPr>
        <w:tblW w:type="dxa" w:w="104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26"/>
      </w:tblGrid>
      <w:tr>
        <w:tc>
          <w:tcPr>
            <w:tcW w:type="dxa" w:w="2600"/>
            <w:tcBorders>
              <w:top w:val="single" w:color="999999" w:sz="1"/>
              <w:left w:val="single" w:color="999999" w:sz="1"/>
              <w:bottom w:val="single" w:color="999999" w:sz="1"/>
              <w:right w:val="single" w:color="999999" w:sz="1"/>
            </w:tcBorders>
            <w:shd w:fill="D6EAF8" w:val="clear"/>
            <w:tcMar>
              <w:top w:type="dxa" w:w="60"/>
              <w:left w:type="dxa" w:w="80"/>
              <w:bottom w:type="dxa" w:w="60"/>
              <w:right w:type="dxa" w:w="80"/>
            </w:tcMar>
          </w:tcPr>
          <w:p>
            <w:pPr>
              <w:spacing w:after="0"/>
              <w:jc w:val="left"/>
            </w:pPr>
            <w:r>
              <w:rPr>
                <w:rFonts w:ascii="Times New Roman" w:cs="Times New Roman" w:eastAsia="Times New Roman" w:hAnsi="Times New Roman"/>
                <w:b/>
                <w:bCs/>
                <w:i w:val="false"/>
                <w:iCs w:val="false"/>
                <w:sz w:val="18"/>
                <w:szCs w:val="18"/>
              </w:rPr>
              <w:t xml:space="preserve">Model</w:t>
            </w:r>
          </w:p>
        </w:tc>
        <w:tc>
          <w:tcPr>
            <w:tcW w:type="dxa" w:w="2600"/>
            <w:tcBorders>
              <w:top w:val="single" w:color="999999" w:sz="1"/>
              <w:left w:val="single" w:color="999999" w:sz="1"/>
              <w:bottom w:val="single" w:color="999999" w:sz="1"/>
              <w:right w:val="single" w:color="999999" w:sz="1"/>
            </w:tcBorders>
            <w:shd w:fill="D6EAF8" w:val="clear"/>
            <w:tcMar>
              <w:top w:type="dxa" w:w="60"/>
              <w:left w:type="dxa" w:w="80"/>
              <w:bottom w:type="dxa" w:w="60"/>
              <w:right w:type="dxa" w:w="80"/>
            </w:tcMar>
          </w:tcPr>
          <w:p>
            <w:pPr>
              <w:spacing w:after="0"/>
              <w:jc w:val="center"/>
            </w:pPr>
            <w:r>
              <w:rPr>
                <w:rFonts w:ascii="Times New Roman" w:cs="Times New Roman" w:eastAsia="Times New Roman" w:hAnsi="Times New Roman"/>
                <w:b/>
                <w:bCs/>
                <w:i w:val="false"/>
                <w:iCs w:val="false"/>
                <w:sz w:val="18"/>
                <w:szCs w:val="18"/>
              </w:rPr>
              <w:t xml:space="preserve">ROC-AUC</w:t>
            </w:r>
          </w:p>
        </w:tc>
        <w:tc>
          <w:tcPr>
            <w:tcW w:type="dxa" w:w="2600"/>
            <w:tcBorders>
              <w:top w:val="single" w:color="999999" w:sz="1"/>
              <w:left w:val="single" w:color="999999" w:sz="1"/>
              <w:bottom w:val="single" w:color="999999" w:sz="1"/>
              <w:right w:val="single" w:color="999999" w:sz="1"/>
            </w:tcBorders>
            <w:shd w:fill="D6EAF8" w:val="clear"/>
            <w:tcMar>
              <w:top w:type="dxa" w:w="60"/>
              <w:left w:type="dxa" w:w="80"/>
              <w:bottom w:type="dxa" w:w="60"/>
              <w:right w:type="dxa" w:w="80"/>
            </w:tcMar>
          </w:tcPr>
          <w:p>
            <w:pPr>
              <w:spacing w:after="0"/>
              <w:jc w:val="center"/>
            </w:pPr>
            <w:r>
              <w:rPr>
                <w:rFonts w:ascii="Times New Roman" w:cs="Times New Roman" w:eastAsia="Times New Roman" w:hAnsi="Times New Roman"/>
                <w:b/>
                <w:bCs/>
                <w:i w:val="false"/>
                <w:iCs w:val="false"/>
                <w:sz w:val="18"/>
                <w:szCs w:val="18"/>
              </w:rPr>
              <w:t xml:space="preserve">F1 Score</w:t>
            </w:r>
          </w:p>
        </w:tc>
        <w:tc>
          <w:tcPr>
            <w:tcW w:type="dxa" w:w="2626"/>
            <w:tcBorders>
              <w:top w:val="single" w:color="999999" w:sz="1"/>
              <w:left w:val="single" w:color="999999" w:sz="1"/>
              <w:bottom w:val="single" w:color="999999" w:sz="1"/>
              <w:right w:val="single" w:color="999999" w:sz="1"/>
            </w:tcBorders>
            <w:shd w:fill="D6EAF8" w:val="clear"/>
            <w:tcMar>
              <w:top w:type="dxa" w:w="60"/>
              <w:left w:type="dxa" w:w="80"/>
              <w:bottom w:type="dxa" w:w="60"/>
              <w:right w:type="dxa" w:w="80"/>
            </w:tcMar>
          </w:tcPr>
          <w:p>
            <w:pPr>
              <w:spacing w:after="0"/>
              <w:jc w:val="center"/>
            </w:pPr>
            <w:r>
              <w:rPr>
                <w:rFonts w:ascii="Times New Roman" w:cs="Times New Roman" w:eastAsia="Times New Roman" w:hAnsi="Times New Roman"/>
                <w:b/>
                <w:bCs/>
                <w:i w:val="false"/>
                <w:iCs w:val="false"/>
                <w:sz w:val="18"/>
                <w:szCs w:val="18"/>
              </w:rPr>
              <w:t xml:space="preserve">Type</w:t>
            </w:r>
          </w:p>
        </w:tc>
      </w:tr>
      <w:tr>
        <w:tc>
          <w:tcPr>
            <w:tcW w:type="dxa" w:w="2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i w:val="false"/>
                <w:iCs w:val="false"/>
                <w:sz w:val="18"/>
                <w:szCs w:val="18"/>
              </w:rPr>
              <w:t xml:space="preserve">Isolation Forest</w:t>
            </w:r>
          </w:p>
        </w:tc>
        <w:tc>
          <w:tcPr>
            <w:tcW w:type="dxa" w:w="2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i w:val="false"/>
                <w:iCs w:val="false"/>
                <w:sz w:val="18"/>
                <w:szCs w:val="18"/>
              </w:rPr>
              <w:t xml:space="preserve">0.8208</w:t>
            </w:r>
          </w:p>
        </w:tc>
        <w:tc>
          <w:tcPr>
            <w:tcW w:type="dxa" w:w="2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i w:val="false"/>
                <w:iCs w:val="false"/>
                <w:sz w:val="18"/>
                <w:szCs w:val="18"/>
              </w:rPr>
              <w:t xml:space="preserve">0.2609</w:t>
            </w:r>
          </w:p>
        </w:tc>
        <w:tc>
          <w:tcPr>
            <w:tcW w:type="dxa" w:w="2626"/>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i w:val="false"/>
                <w:iCs w:val="false"/>
                <w:sz w:val="18"/>
                <w:szCs w:val="18"/>
              </w:rPr>
              <w:t xml:space="preserve">Unsupervised</w:t>
            </w:r>
          </w:p>
        </w:tc>
      </w:tr>
      <w:tr>
        <w:tc>
          <w:tcPr>
            <w:tcW w:type="dxa" w:w="2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i w:val="false"/>
                <w:iCs w:val="false"/>
                <w:sz w:val="18"/>
                <w:szCs w:val="18"/>
              </w:rPr>
              <w:t xml:space="preserve">XGBoost</w:t>
            </w:r>
          </w:p>
        </w:tc>
        <w:tc>
          <w:tcPr>
            <w:tcW w:type="dxa" w:w="2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i w:val="false"/>
                <w:iCs w:val="false"/>
                <w:sz w:val="18"/>
                <w:szCs w:val="18"/>
              </w:rPr>
              <w:t xml:space="preserve">0.9373</w:t>
            </w:r>
          </w:p>
        </w:tc>
        <w:tc>
          <w:tcPr>
            <w:tcW w:type="dxa" w:w="2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i w:val="false"/>
                <w:iCs w:val="false"/>
                <w:sz w:val="18"/>
                <w:szCs w:val="18"/>
              </w:rPr>
              <w:t xml:space="preserve">0.8468</w:t>
            </w:r>
          </w:p>
        </w:tc>
        <w:tc>
          <w:tcPr>
            <w:tcW w:type="dxa" w:w="2626"/>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i w:val="false"/>
                <w:iCs w:val="false"/>
                <w:sz w:val="18"/>
                <w:szCs w:val="18"/>
              </w:rPr>
              <w:t xml:space="preserve">Supervised</w:t>
            </w:r>
          </w:p>
        </w:tc>
      </w:tr>
      <w:tr>
        <w:tc>
          <w:tcPr>
            <w:tcW w:type="dxa" w:w="2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after="0"/>
              <w:jc w:val="left"/>
            </w:pPr>
            <w:r>
              <w:rPr>
                <w:rFonts w:ascii="Times New Roman" w:cs="Times New Roman" w:eastAsia="Times New Roman" w:hAnsi="Times New Roman"/>
                <w:b/>
                <w:bCs/>
                <w:i w:val="false"/>
                <w:iCs w:val="false"/>
                <w:sz w:val="18"/>
                <w:szCs w:val="18"/>
              </w:rPr>
              <w:t xml:space="preserve">Random Forest</w:t>
            </w:r>
          </w:p>
        </w:tc>
        <w:tc>
          <w:tcPr>
            <w:tcW w:type="dxa" w:w="2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after="0"/>
              <w:jc w:val="center"/>
            </w:pPr>
            <w:r>
              <w:rPr>
                <w:rFonts w:ascii="Times New Roman" w:cs="Times New Roman" w:eastAsia="Times New Roman" w:hAnsi="Times New Roman"/>
                <w:b/>
                <w:bCs/>
                <w:i w:val="false"/>
                <w:iCs w:val="false"/>
                <w:sz w:val="18"/>
                <w:szCs w:val="18"/>
              </w:rPr>
              <w:t xml:space="preserve">0.9471</w:t>
            </w:r>
          </w:p>
        </w:tc>
        <w:tc>
          <w:tcPr>
            <w:tcW w:type="dxa" w:w="2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after="0"/>
              <w:jc w:val="center"/>
            </w:pPr>
            <w:r>
              <w:rPr>
                <w:rFonts w:ascii="Times New Roman" w:cs="Times New Roman" w:eastAsia="Times New Roman" w:hAnsi="Times New Roman"/>
                <w:b/>
                <w:bCs/>
                <w:i w:val="false"/>
                <w:iCs w:val="false"/>
                <w:sz w:val="18"/>
                <w:szCs w:val="18"/>
              </w:rPr>
              <w:t xml:space="preserve">0.8704</w:t>
            </w:r>
          </w:p>
        </w:tc>
        <w:tc>
          <w:tcPr>
            <w:tcW w:type="dxa" w:w="2626"/>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i w:val="false"/>
                <w:iCs w:val="false"/>
                <w:sz w:val="18"/>
                <w:szCs w:val="18"/>
              </w:rPr>
              <w:t xml:space="preserve">Supervised</w:t>
            </w:r>
          </w:p>
        </w:tc>
      </w:tr>
      <w:tr>
        <w:tc>
          <w:tcPr>
            <w:tcW w:type="dxa" w:w="2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after="0"/>
              <w:jc w:val="left"/>
            </w:pPr>
            <w:r>
              <w:rPr>
                <w:rFonts w:ascii="Times New Roman" w:cs="Times New Roman" w:eastAsia="Times New Roman" w:hAnsi="Times New Roman"/>
                <w:b w:val="false"/>
                <w:bCs w:val="false"/>
                <w:i w:val="false"/>
                <w:iCs w:val="false"/>
                <w:sz w:val="18"/>
                <w:szCs w:val="18"/>
              </w:rPr>
              <w:t xml:space="preserve">LSTM Autoencoder</w:t>
            </w:r>
          </w:p>
        </w:tc>
        <w:tc>
          <w:tcPr>
            <w:tcW w:type="dxa" w:w="2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i w:val="false"/>
                <w:iCs w:val="false"/>
                <w:sz w:val="18"/>
                <w:szCs w:val="18"/>
              </w:rPr>
              <w:t xml:space="preserve">0.7482*</w:t>
            </w:r>
          </w:p>
        </w:tc>
        <w:tc>
          <w:tcPr>
            <w:tcW w:type="dxa" w:w="2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i w:val="false"/>
                <w:iCs w:val="false"/>
                <w:sz w:val="18"/>
                <w:szCs w:val="18"/>
              </w:rPr>
              <w:t xml:space="preserve">0.5600*</w:t>
            </w:r>
          </w:p>
        </w:tc>
        <w:tc>
          <w:tcPr>
            <w:tcW w:type="dxa" w:w="2626"/>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i w:val="false"/>
                <w:iCs w:val="false"/>
                <w:sz w:val="18"/>
                <w:szCs w:val="18"/>
              </w:rPr>
              <w:t xml:space="preserve">Deep Learning</w:t>
            </w:r>
          </w:p>
        </w:tc>
      </w:tr>
    </w:tbl>
    <w:p>
      <w:pPr>
        <w:spacing w:after="200" w:before="0"/>
        <w:jc w:val="center"/>
      </w:pPr>
      <w:r>
        <w:rPr>
          <w:rFonts w:ascii="Times New Roman" w:cs="Times New Roman" w:eastAsia="Times New Roman" w:hAnsi="Times New Roman"/>
          <w:b w:val="false"/>
          <w:bCs w:val="false"/>
          <w:i/>
          <w:iCs/>
          <w:color w:val="000000"/>
          <w:sz w:val="18"/>
          <w:szCs w:val="18"/>
        </w:rPr>
        <w:t xml:space="preserve">TABLE II: Model performance comparison. *Customer-level evaluation.</w:t>
      </w:r>
    </w:p>
    <w:p>
      <w:pPr>
        <w:spacing w:after="120" w:before="0"/>
        <w:jc w:val="both"/>
      </w:pPr>
      <w:r>
        <w:rPr>
          <w:rFonts w:ascii="Times New Roman" w:cs="Times New Roman" w:eastAsia="Times New Roman" w:hAnsi="Times New Roman"/>
          <w:b w:val="false"/>
          <w:bCs w:val="false"/>
          <w:i w:val="false"/>
          <w:iCs w:val="false"/>
          <w:color w:val="000000"/>
          <w:sz w:val="20"/>
          <w:szCs w:val="20"/>
        </w:rPr>
        <w:t xml:space="preserve">The supervised models demonstrate strong performance, with Random Forest achieving the highest ROC-AUC of 0.9471 and F1 score of 0.8704. XGBoost performs comparably with 5-fold cross-validation F1 of 0.9067 (±0.0134), confirming model stability. Feature importance analysis reveals that the sudden_change_ratio (0.240), mean_daily_total (0.115), and kurtosis (0.093) are the most discriminative features, aligning with the expected signatures of the injected theft patterns.</w:t>
      </w:r>
    </w:p>
    <w:p>
      <w:pPr>
        <w:spacing w:after="120" w:before="0"/>
        <w:jc w:val="both"/>
      </w:pPr>
      <w:r>
        <w:rPr>
          <w:rFonts w:ascii="Times New Roman" w:cs="Times New Roman" w:eastAsia="Times New Roman" w:hAnsi="Times New Roman"/>
          <w:b w:val="false"/>
          <w:bCs w:val="false"/>
          <w:i w:val="false"/>
          <w:iCs w:val="false"/>
          <w:color w:val="000000"/>
          <w:sz w:val="20"/>
          <w:szCs w:val="20"/>
        </w:rPr>
        <w:t xml:space="preserve">The Isolation Forest achieves a ROC-AUC of 0.8208 but a low F1 of 0.2609, reflecting the inherent difficulty of unsupervised anomaly detection without labeled guidance. The LSTM Autoencoder achieves customer-level ROC-AUC of 0.7482 and F1 of 0.5600. While these metrics are lower than supervised approaches, the autoencoder's key advantage is its ability to operate without any labeled theft data—a critical capability for real-world deployment where labeled examples are scarce.</w:t>
      </w:r>
    </w:p>
    <w:p>
      <w:pPr>
        <w:spacing w:after="80" w:before="180"/>
        <w:jc w:val="left"/>
      </w:pPr>
      <w:r>
        <w:rPr>
          <w:rFonts w:ascii="Times New Roman" w:cs="Times New Roman" w:eastAsia="Times New Roman" w:hAnsi="Times New Roman"/>
          <w:b w:val="false"/>
          <w:bCs w:val="false"/>
          <w:i/>
          <w:iCs/>
          <w:sz w:val="20"/>
          <w:szCs w:val="20"/>
        </w:rPr>
        <w:t xml:space="preserve">C. Theft Type Detection Analysis</w:t>
      </w:r>
    </w:p>
    <w:p>
      <w:pPr>
        <w:spacing w:after="120" w:before="0"/>
        <w:jc w:val="both"/>
      </w:pPr>
      <w:r>
        <w:rPr>
          <w:rFonts w:ascii="Times New Roman" w:cs="Times New Roman" w:eastAsia="Times New Roman" w:hAnsi="Times New Roman"/>
          <w:b w:val="false"/>
          <w:bCs w:val="false"/>
          <w:i w:val="false"/>
          <w:iCs w:val="false"/>
          <w:color w:val="000000"/>
          <w:sz w:val="20"/>
          <w:szCs w:val="20"/>
        </w:rPr>
        <w:t xml:space="preserve">Detection rates vary significantly across theft types. Constant reduction and random zeros patterns are detected with the highest accuracy, as they produce clear statistical anomalies in mean consumption and zero measurement percentage features. Gradual decrease is the most challenging pattern to detect, as the slow drift in consumption closely mimics natural behavioral changes. Peak clipping shows moderate detection rates, with the kurtosis and IQR features proving most discriminative for this pattern.</w:t>
      </w:r>
    </w:p>
    <w:p>
      <w:pPr>
        <w:spacing w:after="120" w:before="240"/>
        <w:jc w:val="center"/>
      </w:pPr>
      <w:r>
        <w:rPr>
          <w:rFonts w:ascii="Times New Roman" w:cs="Times New Roman" w:eastAsia="Times New Roman" w:hAnsi="Times New Roman"/>
          <w:b/>
          <w:bCs/>
          <w:sz w:val="20"/>
          <w:szCs w:val="20"/>
        </w:rPr>
        <w:t xml:space="preserve">V. SYSTEM ARCHITECTURE AND DASHBOARD</w:t>
      </w:r>
    </w:p>
    <w:p>
      <w:pPr>
        <w:spacing w:after="120" w:before="0"/>
        <w:jc w:val="both"/>
      </w:pPr>
      <w:r>
        <w:rPr>
          <w:rFonts w:ascii="Times New Roman" w:cs="Times New Roman" w:eastAsia="Times New Roman" w:hAnsi="Times New Roman"/>
          <w:b w:val="false"/>
          <w:bCs w:val="false"/>
          <w:i w:val="false"/>
          <w:iCs w:val="false"/>
          <w:color w:val="000000"/>
          <w:sz w:val="20"/>
          <w:szCs w:val="20"/>
        </w:rPr>
        <w:t xml:space="preserve">MASS-AI includes a real-time monitoring dashboard built with Streamlit and Plotly, providing four key capabilities. First, a regional anomaly map visualizes theft probability across Turkey's distribution regions on an interactive Mapbox-based interface. Second, risk distribution analytics display customer segmentation into four risk levels (low, medium, high, critical) with profile-specific histograms. Third, a customer drill-down module enables detailed inspection of individual consumption time series with anomaly highlighting. Fourth, an automated alert table flags high-risk customers exceeding configurable probability thresholds, with sortable columns for prioritized field investigation.</w:t>
      </w:r>
    </w:p>
    <w:p>
      <w:pPr>
        <w:spacing w:after="120" w:before="240"/>
        <w:jc w:val="center"/>
      </w:pPr>
      <w:r>
        <w:rPr>
          <w:rFonts w:ascii="Times New Roman" w:cs="Times New Roman" w:eastAsia="Times New Roman" w:hAnsi="Times New Roman"/>
          <w:b/>
          <w:bCs/>
          <w:sz w:val="20"/>
          <w:szCs w:val="20"/>
        </w:rPr>
        <w:t xml:space="preserve">VI. DISCUSSION</w:t>
      </w:r>
    </w:p>
    <w:p>
      <w:pPr>
        <w:spacing w:after="120" w:before="0"/>
        <w:jc w:val="both"/>
      </w:pPr>
      <w:r>
        <w:rPr>
          <w:rFonts w:ascii="Times New Roman" w:cs="Times New Roman" w:eastAsia="Times New Roman" w:hAnsi="Times New Roman"/>
          <w:b w:val="false"/>
          <w:bCs w:val="false"/>
          <w:i w:val="false"/>
          <w:iCs w:val="false"/>
          <w:color w:val="000000"/>
          <w:sz w:val="20"/>
          <w:szCs w:val="20"/>
        </w:rPr>
        <w:t xml:space="preserve">Our results demonstrate the feasibility of AI-powered electricity theft detection for Turkey's MASS infrastructure. The high performance of supervised models (ROC-AUC &gt; 0.93) suggests that with even modest labeled datasets, distribution companies can achieve reliable automated detection. The LSTM Autoencoder's unsupervised capability, while lower-performing, provides a valuable complement for initial deployment when labeled data is unavailable.</w:t>
      </w:r>
    </w:p>
    <w:p>
      <w:pPr>
        <w:spacing w:after="120" w:before="0"/>
        <w:jc w:val="both"/>
      </w:pPr>
      <w:r>
        <w:rPr>
          <w:rFonts w:ascii="Times New Roman" w:cs="Times New Roman" w:eastAsia="Times New Roman" w:hAnsi="Times New Roman"/>
          <w:b w:val="false"/>
          <w:bCs w:val="false"/>
          <w:i w:val="false"/>
          <w:iCs w:val="false"/>
          <w:color w:val="000000"/>
          <w:sz w:val="20"/>
          <w:szCs w:val="20"/>
        </w:rPr>
        <w:t xml:space="preserve">Several limitations warrant discussion. The current evaluation uses synthetic data; validation on real MASS meter data is essential before operational deployment. The synthetic theft patterns, while modeled on documented real-world techniques, may not capture the full diversity of actual theft methods. Additionally, the feature engineering pipeline assumes regular 15-minute intervals; handling missing data and communication gaps in real AMI deployments requires further development.</w:t>
      </w:r>
    </w:p>
    <w:p>
      <w:pPr>
        <w:spacing w:after="120" w:before="0"/>
        <w:jc w:val="both"/>
      </w:pPr>
      <w:r>
        <w:rPr>
          <w:rFonts w:ascii="Times New Roman" w:cs="Times New Roman" w:eastAsia="Times New Roman" w:hAnsi="Times New Roman"/>
          <w:b w:val="false"/>
          <w:bCs w:val="false"/>
          <w:i w:val="false"/>
          <w:iCs w:val="false"/>
          <w:color w:val="000000"/>
          <w:sz w:val="20"/>
          <w:szCs w:val="20"/>
        </w:rPr>
        <w:t xml:space="preserve">The timing of this work is significant. With the MASS project launching on March 1, 2026, the distribution companies will begin receiving smart meter data at scale. MASS-AI provides a ready framework that can be adapted to process this data as it becomes available, potentially preventing billions of TL in annual losses.</w:t>
      </w:r>
    </w:p>
    <w:p>
      <w:pPr>
        <w:spacing w:after="120" w:before="240"/>
        <w:jc w:val="center"/>
      </w:pPr>
      <w:r>
        <w:rPr>
          <w:rFonts w:ascii="Times New Roman" w:cs="Times New Roman" w:eastAsia="Times New Roman" w:hAnsi="Times New Roman"/>
          <w:b/>
          <w:bCs/>
          <w:sz w:val="20"/>
          <w:szCs w:val="20"/>
        </w:rPr>
        <w:t xml:space="preserve">VII. CONCLUSION AND FUTURE WORK</w:t>
      </w:r>
    </w:p>
    <w:p>
      <w:pPr>
        <w:spacing w:after="120" w:before="0"/>
        <w:jc w:val="both"/>
      </w:pPr>
      <w:r>
        <w:rPr>
          <w:rFonts w:ascii="Times New Roman" w:cs="Times New Roman" w:eastAsia="Times New Roman" w:hAnsi="Times New Roman"/>
          <w:b w:val="false"/>
          <w:bCs w:val="false"/>
          <w:i w:val="false"/>
          <w:iCs w:val="false"/>
          <w:color w:val="000000"/>
          <w:sz w:val="20"/>
          <w:szCs w:val="20"/>
        </w:rPr>
        <w:t xml:space="preserve">This paper presents MASS-AI, a multi-model anomaly detection system for electricity theft classification in Turkey's national smart meter infrastructure. Our comparative evaluation of four ML approaches demonstrates that supervised ensemble methods achieve ROC-AUC scores exceeding 0.94, while the LSTM Autoencoder provides unsupervised detection capability with customer-level ROC-AUC of 0.748. The integrated Streamlit dashboard enables real-time operational monitoring with regional visualization and automated alerting.</w:t>
      </w:r>
    </w:p>
    <w:p>
      <w:pPr>
        <w:spacing w:after="120" w:before="0"/>
        <w:jc w:val="both"/>
      </w:pPr>
      <w:r>
        <w:rPr>
          <w:rFonts w:ascii="Times New Roman" w:cs="Times New Roman" w:eastAsia="Times New Roman" w:hAnsi="Times New Roman"/>
          <w:b w:val="false"/>
          <w:bCs w:val="false"/>
          <w:i w:val="false"/>
          <w:iCs w:val="false"/>
          <w:color w:val="000000"/>
          <w:sz w:val="20"/>
          <w:szCs w:val="20"/>
        </w:rPr>
        <w:t xml:space="preserve">Future work includes: (1) validation on real MASS meter data from pilot deployment regions; (2) integration of the SGCC and London Smart Meter datasets for transfer learning evaluation; (3) development of a 1D-CNN model for voltage anomaly classification from waveform data; (4) implementation of an ESP32-based hardware prototype with CT current sensors for real-time edge computing demonstration; and (5) preparation for deployment in collaboration with Turkish distribution companies.</w:t>
      </w:r>
    </w:p>
    <w:p>
      <w:pPr>
        <w:spacing w:after="120" w:before="240"/>
        <w:jc w:val="center"/>
      </w:pPr>
      <w:r>
        <w:rPr>
          <w:rFonts w:ascii="Times New Roman" w:cs="Times New Roman" w:eastAsia="Times New Roman" w:hAnsi="Times New Roman"/>
          <w:b/>
          <w:bCs/>
          <w:sz w:val="20"/>
          <w:szCs w:val="20"/>
        </w:rPr>
        <w:t xml:space="preserve">. REFERENCES</w:t>
      </w:r>
    </w:p>
    <w:p>
      <w:pPr>
        <w:spacing w:after="60" w:before="0"/>
        <w:jc w:val="both"/>
      </w:pPr>
      <w:r>
        <w:rPr>
          <w:rFonts w:ascii="Times New Roman" w:cs="Times New Roman" w:eastAsia="Times New Roman" w:hAnsi="Times New Roman"/>
          <w:b w:val="false"/>
          <w:bCs w:val="false"/>
          <w:i w:val="false"/>
          <w:iCs w:val="false"/>
          <w:color w:val="000000"/>
          <w:sz w:val="18"/>
          <w:szCs w:val="18"/>
        </w:rPr>
        <w:t xml:space="preserve">[1] EPDK, "Akıllı Sayaç Sistemleri Yönetmeliği," T.C. Enerji Piyasası Düzenleme Kurumu, Ankara, Turkey, 2026.</w:t>
      </w:r>
    </w:p>
    <w:p>
      <w:pPr>
        <w:spacing w:after="60" w:before="0"/>
        <w:jc w:val="both"/>
      </w:pPr>
      <w:r>
        <w:rPr>
          <w:rFonts w:ascii="Times New Roman" w:cs="Times New Roman" w:eastAsia="Times New Roman" w:hAnsi="Times New Roman"/>
          <w:b w:val="false"/>
          <w:bCs w:val="false"/>
          <w:i w:val="false"/>
          <w:iCs w:val="false"/>
          <w:color w:val="000000"/>
          <w:sz w:val="18"/>
          <w:szCs w:val="18"/>
        </w:rPr>
        <w:t xml:space="preserve">[2] T.C. Enerji ve Tabii Kaynaklar Bakanlığı, "2025 Yılı Bütçe Sunumu," Ankara, Turkey, 2024.</w:t>
      </w:r>
    </w:p>
    <w:p>
      <w:pPr>
        <w:spacing w:after="60" w:before="0"/>
        <w:jc w:val="both"/>
      </w:pPr>
      <w:r>
        <w:rPr>
          <w:rFonts w:ascii="Times New Roman" w:cs="Times New Roman" w:eastAsia="Times New Roman" w:hAnsi="Times New Roman"/>
          <w:b w:val="false"/>
          <w:bCs w:val="false"/>
          <w:i w:val="false"/>
          <w:iCs w:val="false"/>
          <w:color w:val="000000"/>
          <w:sz w:val="18"/>
          <w:szCs w:val="18"/>
        </w:rPr>
        <w:t xml:space="preserve">[3] U.S. Department of Commerce, International Trade Administration, "Turkey Smart Grid Market Report," 2024.</w:t>
      </w:r>
    </w:p>
    <w:p>
      <w:pPr>
        <w:spacing w:after="60" w:before="0"/>
        <w:jc w:val="both"/>
      </w:pPr>
      <w:r>
        <w:rPr>
          <w:rFonts w:ascii="Times New Roman" w:cs="Times New Roman" w:eastAsia="Times New Roman" w:hAnsi="Times New Roman"/>
          <w:b w:val="false"/>
          <w:bCs w:val="false"/>
          <w:i w:val="false"/>
          <w:iCs w:val="false"/>
          <w:color w:val="000000"/>
          <w:sz w:val="18"/>
          <w:szCs w:val="18"/>
        </w:rPr>
        <w:t xml:space="preserve">[4] Pacific Northwest National Laboratory, "Artificial Intelligence Use Cases for Electric Utilities," PNNL-38003, 2024.</w:t>
      </w:r>
    </w:p>
    <w:p>
      <w:pPr>
        <w:spacing w:after="60" w:before="0"/>
        <w:jc w:val="both"/>
      </w:pPr>
      <w:r>
        <w:rPr>
          <w:rFonts w:ascii="Times New Roman" w:cs="Times New Roman" w:eastAsia="Times New Roman" w:hAnsi="Times New Roman"/>
          <w:b w:val="false"/>
          <w:bCs w:val="false"/>
          <w:i w:val="false"/>
          <w:iCs w:val="false"/>
          <w:color w:val="000000"/>
          <w:sz w:val="18"/>
          <w:szCs w:val="18"/>
        </w:rPr>
        <w:t xml:space="preserve">[5] Z. Zheng, Y. Yang, X. Niu, H. Dai, and Y. Zhou, "Wide and Deep Convolutional Neural Networks for Electricity-Theft Detection to Secure Smart Grids," IEEE Trans. Ind. Informat., vol. 14, no. 4, pp. 1606–1615, Apr. 2018.</w:t>
      </w:r>
    </w:p>
    <w:p>
      <w:pPr>
        <w:spacing w:after="60" w:before="0"/>
        <w:jc w:val="both"/>
      </w:pPr>
      <w:r>
        <w:rPr>
          <w:rFonts w:ascii="Times New Roman" w:cs="Times New Roman" w:eastAsia="Times New Roman" w:hAnsi="Times New Roman"/>
          <w:b w:val="false"/>
          <w:bCs w:val="false"/>
          <w:i w:val="false"/>
          <w:iCs w:val="false"/>
          <w:color w:val="000000"/>
          <w:sz w:val="18"/>
          <w:szCs w:val="18"/>
        </w:rPr>
        <w:t xml:space="preserve">[6] P. Jokar, N. Arianpoo, and V. C. M. Leung, "Electricity Theft Detection in AMI Using Customers' Consumption Patterns," IEEE Trans. Smart Grid, vol. 7, no. 1, pp. 216–226, Jan. 2016.</w:t>
      </w:r>
    </w:p>
    <w:p>
      <w:pPr>
        <w:spacing w:after="60" w:before="0"/>
        <w:jc w:val="both"/>
      </w:pPr>
      <w:r>
        <w:rPr>
          <w:rFonts w:ascii="Times New Roman" w:cs="Times New Roman" w:eastAsia="Times New Roman" w:hAnsi="Times New Roman"/>
          <w:b w:val="false"/>
          <w:bCs w:val="false"/>
          <w:i w:val="false"/>
          <w:iCs w:val="false"/>
          <w:color w:val="000000"/>
          <w:sz w:val="18"/>
          <w:szCs w:val="18"/>
        </w:rPr>
        <w:t xml:space="preserve">[7] S. Buzau, J. Tejedor-Aguilera, P. Cruz-Romero, and A. Gómez-Expósito, "Detection of Non-Technical Losses Using Smart Meter Data and Supervised Learning," IEEE Trans. Smart Grid, vol. 10, no. 3, pp. 2661–2670, May 2019.</w:t>
      </w:r>
    </w:p>
    <w:p>
      <w:pPr>
        <w:spacing w:after="60" w:before="0"/>
        <w:jc w:val="both"/>
      </w:pPr>
      <w:r>
        <w:rPr>
          <w:rFonts w:ascii="Times New Roman" w:cs="Times New Roman" w:eastAsia="Times New Roman" w:hAnsi="Times New Roman"/>
          <w:b w:val="false"/>
          <w:bCs w:val="false"/>
          <w:i w:val="false"/>
          <w:iCs w:val="false"/>
          <w:color w:val="000000"/>
          <w:sz w:val="18"/>
          <w:szCs w:val="18"/>
        </w:rPr>
        <w:t xml:space="preserve">[8] G. W. Hart, "Nonintrusive Appliance Load Monitoring," Proc. IEEE, vol. 80, no. 12, pp. 1870–1891, Dec. 1992.</w:t>
      </w:r>
    </w:p>
    <w:p>
      <w:pPr>
        <w:spacing w:after="60" w:before="0"/>
        <w:jc w:val="both"/>
      </w:pPr>
      <w:r>
        <w:rPr>
          <w:rFonts w:ascii="Times New Roman" w:cs="Times New Roman" w:eastAsia="Times New Roman" w:hAnsi="Times New Roman"/>
          <w:b w:val="false"/>
          <w:bCs w:val="false"/>
          <w:i w:val="false"/>
          <w:iCs w:val="false"/>
          <w:color w:val="000000"/>
          <w:sz w:val="18"/>
          <w:szCs w:val="18"/>
        </w:rPr>
        <w:t xml:space="preserve">[9] J. Kelly and W. Knottenbelt, "Neural NILM: Deep Neural Networks Applied to Energy Disaggregation," in Proc. ACM BuildSys, Seoul, South Korea, 2015, pp. 55–64.</w:t>
      </w:r>
    </w:p>
    <w:p>
      <w:pPr>
        <w:spacing w:after="60" w:before="0"/>
        <w:jc w:val="both"/>
      </w:pPr>
      <w:r>
        <w:rPr>
          <w:rFonts w:ascii="Times New Roman" w:cs="Times New Roman" w:eastAsia="Times New Roman" w:hAnsi="Times New Roman"/>
          <w:b w:val="false"/>
          <w:bCs w:val="false"/>
          <w:i w:val="false"/>
          <w:iCs w:val="false"/>
          <w:color w:val="000000"/>
          <w:sz w:val="18"/>
          <w:szCs w:val="18"/>
        </w:rPr>
        <w:t xml:space="preserve">[10] P. Malhotra, A. Ramakrishnan, G. Anand, L. Vig, P. Agarwal, and G. Shroff, "LSTM-based Encoder-Decoder for Multi-sensor Anomaly Detection," in Proc. ICML Anomaly Detection Workshop, 2016.</w:t>
      </w:r>
    </w:p>
    <w:sectPr>
      <w:pgSz w:w="12240" w:h="15840" w:orient="portrait"/>
      <w:pgMar w:top="1152" w:right="907" w:bottom="1152"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2026-03-07T11:38:25.664Z</dcterms:created>
  <dcterms:modified xsi:type="dcterms:W3CDTF">2026-03-07T11:38:25.665Z</dcterms:modified>
</cp:coreProperties>
</file>

<file path=docProps/custom.xml><?xml version="1.0" encoding="utf-8"?>
<Properties xmlns="http://schemas.openxmlformats.org/officeDocument/2006/custom-properties" xmlns:vt="http://schemas.openxmlformats.org/officeDocument/2006/docPropsVTypes"/>
</file>