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DataBridge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4"/>
              </w:numPr>
              <w:spacing w:after="0" w:afterAutospacing="0"/>
              <w:ind w:left="720" w:hanging="360"/>
              <w:rPr>
                <w:i w:val="1"/>
                <w:iCs w:val="1"/>
                <w:color w:val="0070c0"/>
                <w:sz w:val="20"/>
                <w:szCs w:val="20"/>
              </w:rPr>
            </w:pPr>
            <w:r w:rsidDel="00000000" w:rsidR="00000000" w:rsidRPr="00000000">
              <w:rPr>
                <w:i w:val="1"/>
                <w:iCs w:val="1"/>
                <w:color w:val="0070c0"/>
                <w:sz w:val="20"/>
                <w:szCs w:val="20"/>
                <w:rtl w:val="0"/>
              </w:rPr>
              <w:t xml:space="preserve">Flavio Henriquez </w:t>
              <w:tab/>
              <w:t xml:space="preserve">/ Product Owner - Líder de proyecto</w:t>
            </w:r>
          </w:p>
          <w:p w:rsidR="00000000" w:rsidDel="00000000" w:rsidP="00000000" w:rsidRDefault="00000000" w:rsidRPr="00000000" w14:paraId="00000012">
            <w:pPr>
              <w:numPr>
                <w:ilvl w:val="0"/>
                <w:numId w:val="4"/>
              </w:numPr>
              <w:spacing w:after="0" w:afterAutospacing="0"/>
              <w:ind w:left="720" w:hanging="360"/>
              <w:rPr>
                <w:i w:val="1"/>
                <w:iCs w:val="1"/>
                <w:color w:val="0070c0"/>
                <w:sz w:val="20"/>
                <w:szCs w:val="20"/>
              </w:rPr>
            </w:pPr>
            <w:r w:rsidDel="00000000" w:rsidR="00000000" w:rsidRPr="00000000">
              <w:rPr>
                <w:i w:val="1"/>
                <w:iCs w:val="1"/>
                <w:color w:val="0070c0"/>
                <w:sz w:val="20"/>
                <w:szCs w:val="20"/>
                <w:rtl w:val="0"/>
              </w:rPr>
              <w:t xml:space="preserve">Martin Gutierrez </w:t>
              <w:tab/>
              <w:t xml:space="preserve">/ Scrum Master - Desarrollador Fullstack</w:t>
            </w:r>
          </w:p>
          <w:p w:rsidR="00000000" w:rsidDel="00000000" w:rsidP="00000000" w:rsidRDefault="00000000" w:rsidRPr="00000000" w14:paraId="00000013">
            <w:pPr>
              <w:numPr>
                <w:ilvl w:val="0"/>
                <w:numId w:val="4"/>
              </w:numPr>
              <w:spacing w:after="0" w:afterAutospacing="0"/>
              <w:ind w:left="720" w:hanging="360"/>
              <w:rPr>
                <w:i w:val="1"/>
                <w:iCs w:val="1"/>
                <w:color w:val="0070c0"/>
                <w:sz w:val="20"/>
                <w:szCs w:val="20"/>
              </w:rPr>
            </w:pPr>
            <w:r w:rsidDel="00000000" w:rsidR="00000000" w:rsidRPr="00000000">
              <w:rPr>
                <w:i w:val="1"/>
                <w:iCs w:val="1"/>
                <w:color w:val="0070c0"/>
                <w:sz w:val="20"/>
                <w:szCs w:val="20"/>
                <w:rtl w:val="0"/>
              </w:rPr>
              <w:t xml:space="preserve">Pedro Campos    </w:t>
              <w:tab/>
              <w:t xml:space="preserve">/ Desarrollador Backend</w:t>
            </w:r>
          </w:p>
          <w:p w:rsidR="00000000" w:rsidDel="00000000" w:rsidP="00000000" w:rsidRDefault="00000000" w:rsidRPr="00000000" w14:paraId="00000014">
            <w:pPr>
              <w:numPr>
                <w:ilvl w:val="0"/>
                <w:numId w:val="4"/>
              </w:numPr>
              <w:ind w:left="720" w:hanging="360"/>
              <w:rPr>
                <w:i w:val="1"/>
                <w:iCs w:val="1"/>
                <w:color w:val="0070c0"/>
                <w:sz w:val="20"/>
                <w:szCs w:val="20"/>
              </w:rPr>
            </w:pPr>
            <w:r w:rsidDel="00000000" w:rsidR="00000000" w:rsidRPr="00000000">
              <w:rPr>
                <w:i w:val="1"/>
                <w:iCs w:val="1"/>
                <w:color w:val="0070c0"/>
                <w:sz w:val="20"/>
                <w:szCs w:val="20"/>
                <w:rtl w:val="0"/>
              </w:rPr>
              <w:t xml:space="preserve">Esteban Maino </w:t>
              <w:tab/>
              <w:t xml:space="preserve">/ Desarrollador Frontend</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rPr>
                <w:b w:val="1"/>
                <w:bCs w:val="1"/>
                <w:i w:val="1"/>
                <w:iCs w:val="1"/>
                <w:color w:val="0070c0"/>
                <w:sz w:val="20"/>
                <w:szCs w:val="20"/>
              </w:rPr>
            </w:pPr>
            <w:r w:rsidDel="00000000" w:rsidR="00000000" w:rsidRPr="00000000">
              <w:rPr>
                <w:b w:val="1"/>
                <w:bCs w:val="1"/>
                <w:i w:val="1"/>
                <w:iCs w:val="1"/>
                <w:color w:val="0070c0"/>
                <w:sz w:val="20"/>
                <w:szCs w:val="20"/>
                <w:rtl w:val="0"/>
              </w:rPr>
              <w:t xml:space="preserve">Competencias del Plan de Estudio Abordadas</w:t>
            </w:r>
          </w:p>
          <w:p w:rsidR="00000000" w:rsidDel="00000000" w:rsidP="00000000" w:rsidRDefault="00000000" w:rsidRPr="00000000" w14:paraId="00000018">
            <w:pPr>
              <w:numPr>
                <w:ilvl w:val="0"/>
                <w:numId w:val="3"/>
              </w:numPr>
              <w:spacing w:after="0" w:afterAutospacing="0"/>
              <w:ind w:left="720" w:hanging="360"/>
              <w:rPr>
                <w:i w:val="1"/>
                <w:iCs w:val="1"/>
                <w:color w:val="0070c0"/>
                <w:sz w:val="20"/>
                <w:szCs w:val="20"/>
              </w:rPr>
            </w:pPr>
            <w:r w:rsidDel="00000000" w:rsidR="00000000" w:rsidRPr="00000000">
              <w:rPr>
                <w:i w:val="1"/>
                <w:iCs w:val="1"/>
                <w:color w:val="0070c0"/>
                <w:sz w:val="20"/>
                <w:szCs w:val="20"/>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19">
            <w:pPr>
              <w:numPr>
                <w:ilvl w:val="0"/>
                <w:numId w:val="3"/>
              </w:numPr>
              <w:spacing w:after="0" w:afterAutospacing="0"/>
              <w:ind w:left="720" w:hanging="360"/>
              <w:rPr>
                <w:i w:val="1"/>
                <w:iCs w:val="1"/>
                <w:color w:val="0070c0"/>
                <w:sz w:val="20"/>
                <w:szCs w:val="20"/>
              </w:rPr>
            </w:pPr>
            <w:r w:rsidDel="00000000" w:rsidR="00000000" w:rsidRPr="00000000">
              <w:rPr>
                <w:i w:val="1"/>
                <w:iCs w:val="1"/>
                <w:color w:val="0070c0"/>
                <w:sz w:val="20"/>
                <w:szCs w:val="20"/>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1A">
            <w:pPr>
              <w:numPr>
                <w:ilvl w:val="0"/>
                <w:numId w:val="3"/>
              </w:numPr>
              <w:spacing w:after="0" w:afterAutospacing="0"/>
              <w:ind w:left="720" w:hanging="360"/>
              <w:rPr>
                <w:i w:val="1"/>
                <w:iCs w:val="1"/>
                <w:color w:val="0070c0"/>
                <w:sz w:val="20"/>
                <w:szCs w:val="20"/>
              </w:rPr>
            </w:pPr>
            <w:r w:rsidDel="00000000" w:rsidR="00000000" w:rsidRPr="00000000">
              <w:rPr>
                <w:i w:val="1"/>
                <w:iCs w:val="1"/>
                <w:color w:val="0070c0"/>
                <w:sz w:val="20"/>
                <w:szCs w:val="20"/>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1B">
            <w:pPr>
              <w:numPr>
                <w:ilvl w:val="0"/>
                <w:numId w:val="3"/>
              </w:numPr>
              <w:spacing w:after="0" w:afterAutospacing="0"/>
              <w:ind w:left="720" w:hanging="360"/>
              <w:rPr>
                <w:i w:val="1"/>
                <w:iCs w:val="1"/>
                <w:color w:val="0070c0"/>
                <w:sz w:val="20"/>
                <w:szCs w:val="20"/>
              </w:rPr>
            </w:pPr>
            <w:r w:rsidDel="00000000" w:rsidR="00000000" w:rsidRPr="00000000">
              <w:rPr>
                <w:i w:val="1"/>
                <w:iCs w:val="1"/>
                <w:color w:val="0070c0"/>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1C">
            <w:pPr>
              <w:numPr>
                <w:ilvl w:val="0"/>
                <w:numId w:val="3"/>
              </w:numPr>
              <w:spacing w:after="0" w:afterAutospacing="0"/>
              <w:ind w:left="720" w:hanging="360"/>
              <w:rPr>
                <w:i w:val="1"/>
                <w:iCs w:val="1"/>
                <w:color w:val="0070c0"/>
                <w:sz w:val="20"/>
                <w:szCs w:val="20"/>
              </w:rPr>
            </w:pPr>
            <w:r w:rsidDel="00000000" w:rsidR="00000000" w:rsidRPr="00000000">
              <w:rPr>
                <w:i w:val="1"/>
                <w:iCs w:val="1"/>
                <w:color w:val="0070c0"/>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1D">
            <w:pPr>
              <w:numPr>
                <w:ilvl w:val="0"/>
                <w:numId w:val="3"/>
              </w:numPr>
              <w:ind w:left="720" w:hanging="360"/>
              <w:rPr>
                <w:i w:val="1"/>
                <w:iCs w:val="1"/>
                <w:color w:val="0070c0"/>
                <w:sz w:val="20"/>
                <w:szCs w:val="20"/>
              </w:rPr>
            </w:pPr>
            <w:r w:rsidDel="00000000" w:rsidR="00000000" w:rsidRPr="00000000">
              <w:rPr>
                <w:i w:val="1"/>
                <w:iCs w:val="1"/>
                <w:color w:val="0070c0"/>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1E">
            <w:pPr>
              <w:rPr>
                <w:b w:val="1"/>
                <w:bCs w:val="1"/>
                <w:i w:val="1"/>
                <w:iCs w:val="1"/>
                <w:color w:val="0070c0"/>
                <w:sz w:val="20"/>
                <w:szCs w:val="20"/>
              </w:rPr>
            </w:pPr>
            <w:r w:rsidDel="00000000" w:rsidR="00000000" w:rsidRPr="00000000">
              <w:rPr>
                <w:b w:val="1"/>
                <w:bCs w:val="1"/>
                <w:i w:val="1"/>
                <w:iCs w:val="1"/>
                <w:color w:val="0070c0"/>
                <w:sz w:val="20"/>
                <w:szCs w:val="20"/>
                <w:rtl w:val="0"/>
              </w:rPr>
              <w:t xml:space="preserve">Habilidades Transversales Abordadas</w:t>
            </w:r>
          </w:p>
          <w:p w:rsidR="00000000" w:rsidDel="00000000" w:rsidP="00000000" w:rsidRDefault="00000000" w:rsidRPr="00000000" w14:paraId="0000001F">
            <w:pPr>
              <w:numPr>
                <w:ilvl w:val="0"/>
                <w:numId w:val="1"/>
              </w:numPr>
              <w:spacing w:after="0" w:afterAutospacing="0"/>
              <w:ind w:left="720" w:hanging="360"/>
              <w:rPr>
                <w:b w:val="1"/>
                <w:bCs w:val="1"/>
                <w:i w:val="1"/>
                <w:iCs w:val="1"/>
                <w:color w:val="0070c0"/>
                <w:sz w:val="20"/>
                <w:szCs w:val="20"/>
              </w:rPr>
            </w:pPr>
            <w:r w:rsidDel="00000000" w:rsidR="00000000" w:rsidRPr="00000000">
              <w:rPr>
                <w:b w:val="1"/>
                <w:bCs w:val="1"/>
                <w:i w:val="1"/>
                <w:iCs w:val="1"/>
                <w:color w:val="0070c0"/>
                <w:sz w:val="20"/>
                <w:szCs w:val="20"/>
                <w:rtl w:val="0"/>
              </w:rPr>
              <w:t xml:space="preserve">Adaptabilidad frente a cambios en los requerimientos y desafíos técnicos.</w:t>
            </w:r>
          </w:p>
          <w:p w:rsidR="00000000" w:rsidDel="00000000" w:rsidP="00000000" w:rsidRDefault="00000000" w:rsidRPr="00000000" w14:paraId="00000020">
            <w:pPr>
              <w:numPr>
                <w:ilvl w:val="0"/>
                <w:numId w:val="1"/>
              </w:numPr>
              <w:spacing w:after="0" w:afterAutospacing="0"/>
              <w:ind w:left="720" w:hanging="360"/>
              <w:rPr>
                <w:b w:val="1"/>
                <w:bCs w:val="1"/>
                <w:i w:val="1"/>
                <w:iCs w:val="1"/>
                <w:color w:val="0070c0"/>
                <w:sz w:val="20"/>
                <w:szCs w:val="20"/>
              </w:rPr>
            </w:pPr>
            <w:r w:rsidDel="00000000" w:rsidR="00000000" w:rsidRPr="00000000">
              <w:rPr>
                <w:b w:val="1"/>
                <w:bCs w:val="1"/>
                <w:i w:val="1"/>
                <w:iCs w:val="1"/>
                <w:color w:val="0070c0"/>
                <w:sz w:val="20"/>
                <w:szCs w:val="20"/>
                <w:rtl w:val="0"/>
              </w:rPr>
              <w:t xml:space="preserve">Trabajo colaborativo y coordinación entre integrantes del equipo.</w:t>
            </w:r>
          </w:p>
          <w:p w:rsidR="00000000" w:rsidDel="00000000" w:rsidP="00000000" w:rsidRDefault="00000000" w:rsidRPr="00000000" w14:paraId="00000021">
            <w:pPr>
              <w:numPr>
                <w:ilvl w:val="0"/>
                <w:numId w:val="1"/>
              </w:numPr>
              <w:spacing w:after="0" w:afterAutospacing="0"/>
              <w:ind w:left="720" w:hanging="360"/>
              <w:rPr>
                <w:b w:val="1"/>
                <w:bCs w:val="1"/>
                <w:i w:val="1"/>
                <w:iCs w:val="1"/>
                <w:color w:val="0070c0"/>
                <w:sz w:val="20"/>
                <w:szCs w:val="20"/>
              </w:rPr>
            </w:pPr>
            <w:r w:rsidDel="00000000" w:rsidR="00000000" w:rsidRPr="00000000">
              <w:rPr>
                <w:b w:val="1"/>
                <w:bCs w:val="1"/>
                <w:i w:val="1"/>
                <w:iCs w:val="1"/>
                <w:color w:val="0070c0"/>
                <w:sz w:val="20"/>
                <w:szCs w:val="20"/>
                <w:rtl w:val="0"/>
              </w:rPr>
              <w:t xml:space="preserve">Comunicación efectiva de necesidades, decisiones y resultados.</w:t>
            </w:r>
          </w:p>
          <w:p w:rsidR="00000000" w:rsidDel="00000000" w:rsidP="00000000" w:rsidRDefault="00000000" w:rsidRPr="00000000" w14:paraId="00000022">
            <w:pPr>
              <w:numPr>
                <w:ilvl w:val="0"/>
                <w:numId w:val="1"/>
              </w:numPr>
              <w:spacing w:after="0" w:afterAutospacing="0"/>
              <w:ind w:left="720" w:hanging="360"/>
              <w:rPr>
                <w:b w:val="1"/>
                <w:bCs w:val="1"/>
                <w:i w:val="1"/>
                <w:iCs w:val="1"/>
                <w:color w:val="0070c0"/>
                <w:sz w:val="20"/>
                <w:szCs w:val="20"/>
              </w:rPr>
            </w:pPr>
            <w:r w:rsidDel="00000000" w:rsidR="00000000" w:rsidRPr="00000000">
              <w:rPr>
                <w:b w:val="1"/>
                <w:bCs w:val="1"/>
                <w:i w:val="1"/>
                <w:iCs w:val="1"/>
                <w:color w:val="0070c0"/>
                <w:sz w:val="20"/>
                <w:szCs w:val="20"/>
                <w:rtl w:val="0"/>
              </w:rPr>
              <w:t xml:space="preserve">Pensamiento crítico para evaluar alternativas y justificar decisiones.</w:t>
            </w:r>
          </w:p>
          <w:p w:rsidR="00000000" w:rsidDel="00000000" w:rsidP="00000000" w:rsidRDefault="00000000" w:rsidRPr="00000000" w14:paraId="00000023">
            <w:pPr>
              <w:numPr>
                <w:ilvl w:val="0"/>
                <w:numId w:val="1"/>
              </w:numPr>
              <w:spacing w:after="0" w:afterAutospacing="0"/>
              <w:ind w:left="720" w:hanging="360"/>
              <w:rPr>
                <w:b w:val="1"/>
                <w:bCs w:val="1"/>
                <w:i w:val="1"/>
                <w:iCs w:val="1"/>
                <w:color w:val="0070c0"/>
                <w:sz w:val="20"/>
                <w:szCs w:val="20"/>
              </w:rPr>
            </w:pPr>
            <w:r w:rsidDel="00000000" w:rsidR="00000000" w:rsidRPr="00000000">
              <w:rPr>
                <w:b w:val="1"/>
                <w:bCs w:val="1"/>
                <w:i w:val="1"/>
                <w:iCs w:val="1"/>
                <w:color w:val="0070c0"/>
                <w:sz w:val="20"/>
                <w:szCs w:val="20"/>
                <w:rtl w:val="0"/>
              </w:rPr>
              <w:t xml:space="preserve">Resolución de problemas técnicos y de integración.</w:t>
            </w:r>
          </w:p>
          <w:p w:rsidR="00000000" w:rsidDel="00000000" w:rsidP="00000000" w:rsidRDefault="00000000" w:rsidRPr="00000000" w14:paraId="00000024">
            <w:pPr>
              <w:numPr>
                <w:ilvl w:val="0"/>
                <w:numId w:val="1"/>
              </w:numPr>
              <w:spacing w:after="0" w:afterAutospacing="0"/>
              <w:ind w:left="720" w:hanging="360"/>
              <w:rPr>
                <w:b w:val="1"/>
                <w:bCs w:val="1"/>
                <w:i w:val="1"/>
                <w:iCs w:val="1"/>
                <w:color w:val="0070c0"/>
                <w:sz w:val="20"/>
                <w:szCs w:val="20"/>
              </w:rPr>
            </w:pPr>
            <w:r w:rsidDel="00000000" w:rsidR="00000000" w:rsidRPr="00000000">
              <w:rPr>
                <w:b w:val="1"/>
                <w:bCs w:val="1"/>
                <w:i w:val="1"/>
                <w:iCs w:val="1"/>
                <w:color w:val="0070c0"/>
                <w:sz w:val="20"/>
                <w:szCs w:val="20"/>
                <w:rtl w:val="0"/>
              </w:rPr>
              <w:t xml:space="preserve">Aprendizaje permanente de tecnologías y herramientas.</w:t>
            </w:r>
          </w:p>
          <w:p w:rsidR="00000000" w:rsidDel="00000000" w:rsidP="00000000" w:rsidRDefault="00000000" w:rsidRPr="00000000" w14:paraId="00000025">
            <w:pPr>
              <w:numPr>
                <w:ilvl w:val="0"/>
                <w:numId w:val="1"/>
              </w:numPr>
              <w:spacing w:after="0" w:afterAutospacing="0"/>
              <w:ind w:left="720" w:hanging="360"/>
              <w:rPr>
                <w:b w:val="1"/>
                <w:bCs w:val="1"/>
                <w:i w:val="1"/>
                <w:iCs w:val="1"/>
                <w:color w:val="0070c0"/>
                <w:sz w:val="20"/>
                <w:szCs w:val="20"/>
              </w:rPr>
            </w:pPr>
            <w:r w:rsidDel="00000000" w:rsidR="00000000" w:rsidRPr="00000000">
              <w:rPr>
                <w:b w:val="1"/>
                <w:bCs w:val="1"/>
                <w:i w:val="1"/>
                <w:iCs w:val="1"/>
                <w:color w:val="0070c0"/>
                <w:sz w:val="20"/>
                <w:szCs w:val="20"/>
                <w:rtl w:val="0"/>
              </w:rPr>
              <w:t xml:space="preserve">Responsabilidad y ética profesional en el tratamiento de información y la presentación de resultados.</w:t>
            </w:r>
          </w:p>
          <w:p w:rsidR="00000000" w:rsidDel="00000000" w:rsidP="00000000" w:rsidRDefault="00000000" w:rsidRPr="00000000" w14:paraId="00000026">
            <w:pPr>
              <w:numPr>
                <w:ilvl w:val="0"/>
                <w:numId w:val="1"/>
              </w:numPr>
              <w:ind w:left="720" w:hanging="360"/>
              <w:rPr>
                <w:b w:val="1"/>
                <w:bCs w:val="1"/>
                <w:i w:val="1"/>
                <w:iCs w:val="1"/>
                <w:color w:val="0070c0"/>
                <w:sz w:val="20"/>
                <w:szCs w:val="20"/>
              </w:rPr>
            </w:pPr>
            <w:r w:rsidDel="00000000" w:rsidR="00000000" w:rsidRPr="00000000">
              <w:rPr>
                <w:b w:val="1"/>
                <w:bCs w:val="1"/>
                <w:i w:val="1"/>
                <w:iCs w:val="1"/>
                <w:color w:val="0070c0"/>
                <w:sz w:val="20"/>
                <w:szCs w:val="20"/>
                <w:rtl w:val="0"/>
              </w:rPr>
              <w:t xml:space="preserve">Organización y gestión del tiempo para priorizar tareas y cumplir compromisos.</w:t>
            </w:r>
          </w:p>
        </w:tc>
      </w:tr>
    </w:tbl>
    <w:p w:rsidR="00000000" w:rsidDel="00000000" w:rsidP="00000000" w:rsidRDefault="00000000" w:rsidRPr="00000000" w14:paraId="00000027">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8">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smallCaps w:val="0"/>
                <w:strike w:val="0"/>
                <w:color w:val="0070c0"/>
                <w:sz w:val="18"/>
                <w:szCs w:val="18"/>
                <w:shd w:fill="auto" w:val="clear"/>
                <w:vertAlign w:val="baseline"/>
              </w:rPr>
            </w:pPr>
            <w:r w:rsidDel="00000000" w:rsidR="00000000" w:rsidRPr="00000000">
              <w:rPr>
                <w:rFonts w:ascii="Calibri" w:cs="Calibri" w:eastAsia="Calibri" w:hAnsi="Calibri"/>
                <w:b w:val="0"/>
                <w:bCs w:val="0"/>
                <w:smallCaps w:val="0"/>
                <w:strike w:val="0"/>
                <w:color w:val="0070c0"/>
                <w:sz w:val="18"/>
                <w:szCs w:val="18"/>
                <w:u w:val="none"/>
                <w:shd w:fill="auto" w:val="clear"/>
                <w:vertAlign w:val="baseline"/>
                <w:rtl w:val="0"/>
              </w:rPr>
              <w:t xml:space="preserve">¿Por qué es relevante este tema para el campo laboral de tu carrera? </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desarrollo de DataBridge es relevante para el campo laboral de Ingeniería en Informática porque aborda una necesidad organizacional mediante el diseño, desarrollo e integración de una solución de software. La gestión de carteras de deuda requiere mantener información consistente, proteger el acceso a los datos y coordinar operaciones entre usuarios, empresas y servicios externos. Por ello, el proyecto permite aplicar conocimientos de ingeniería de requisitos, arquitectura de software, bases de datos, seguridad, pruebas y despliegue.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Además, el proyecto exige comprender el proceso que se busca apoyar y traducirlo en funcionalidades concretas. Por ejemplo, un pago no termina cuando el usuario vuelve desde la pasarela: es necesario verificar su confirmación, actualizar la deuda y comunicar el resultado al sistema correspondiente. Estas dependencias requieren pensamiento crítico, resolución de problemas y coordinación entre integrantes del equipo, habilidades necesarias para desarrollar soluciones informáticas en contextos laborales.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3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smallCaps w:val="0"/>
                <w:strike w:val="0"/>
                <w:color w:val="0070c0"/>
                <w:sz w:val="18"/>
                <w:szCs w:val="18"/>
                <w:shd w:fill="auto" w:val="clear"/>
                <w:vertAlign w:val="baseline"/>
              </w:rPr>
            </w:pPr>
            <w:r w:rsidDel="00000000" w:rsidR="00000000" w:rsidRPr="00000000">
              <w:rPr>
                <w:rFonts w:ascii="Calibri" w:cs="Calibri" w:eastAsia="Calibri" w:hAnsi="Calibri"/>
                <w:b w:val="0"/>
                <w:bCs w:val="0"/>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iCs w:val="1"/>
                <w:color w:val="0070c0"/>
                <w:sz w:val="18"/>
                <w:szCs w:val="18"/>
              </w:rPr>
            </w:pPr>
            <w:r w:rsidDel="00000000" w:rsidR="00000000" w:rsidRPr="00000000">
              <w:rPr>
                <w:i w:val="1"/>
                <w:iCs w:val="1"/>
                <w:color w:val="0070c0"/>
                <w:sz w:val="18"/>
                <w:szCs w:val="18"/>
                <w:rtl w:val="0"/>
              </w:rPr>
              <w:t xml:space="preserve">La situación se ubica en un entorno organizacional chileno representado mediante una simulación académica, sin limitarse a una región o comuna específica. El escenario contempla empresas que administran carteras de deuda y necesitan coordinar la recepción de información, las campañas de contacto y el seguimiento de las operaciones realizadas por los deudores. La plataforma considera elementos del contexto local, como la identificación mediante RUT.</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iCs w:val="1"/>
                <w:color w:val="0070c0"/>
                <w:sz w:val="18"/>
                <w:szCs w:val="18"/>
              </w:rPr>
            </w:pPr>
            <w:r w:rsidDel="00000000" w:rsidR="00000000" w:rsidRPr="00000000">
              <w:rPr>
                <w:i w:val="1"/>
                <w:iCs w:val="1"/>
                <w:color w:val="0070c0"/>
                <w:sz w:val="18"/>
                <w:szCs w:val="18"/>
                <w:rtl w:val="0"/>
              </w:rPr>
              <w:t xml:space="preserve">Para representar este entorno se utiliza APOFYX como empresa de cobranza cliente y Patrimonio Inmuebles como ejemplo de acreedor. Ambas organizaciones son ficticias y permiten demostrar el intercambio de información entre sistemas. Sin embargo, DataBridge constituye el producto desarrollado: su funcionamiento se organiza mediante campañas y no se restringe al rubro inmobiliario ni a una única empresa.</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3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smallCaps w:val="0"/>
                <w:strike w:val="0"/>
                <w:color w:val="0070c0"/>
                <w:sz w:val="18"/>
                <w:szCs w:val="18"/>
                <w:shd w:fill="auto" w:val="clear"/>
                <w:vertAlign w:val="baseline"/>
              </w:rPr>
            </w:pPr>
            <w:r w:rsidDel="00000000" w:rsidR="00000000" w:rsidRPr="00000000">
              <w:rPr>
                <w:rFonts w:ascii="Calibri" w:cs="Calibri" w:eastAsia="Calibri" w:hAnsi="Calibri"/>
                <w:b w:val="0"/>
                <w:bCs w:val="0"/>
                <w:smallCaps w:val="0"/>
                <w:strike w:val="0"/>
                <w:color w:val="0070c0"/>
                <w:sz w:val="18"/>
                <w:szCs w:val="18"/>
                <w:u w:val="none"/>
                <w:shd w:fill="auto" w:val="clear"/>
                <w:vertAlign w:val="baseline"/>
                <w:rtl w:val="0"/>
              </w:rPr>
              <w:t xml:space="preserve">¿A quiénes afecta o impacta la situación que abordaste? (Ej.: Grupo etario, usuarios de algún servicio, etc.).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iCs w:val="1"/>
                <w:color w:val="0070c0"/>
                <w:sz w:val="18"/>
                <w:szCs w:val="18"/>
              </w:rPr>
            </w:pPr>
            <w:r w:rsidDel="00000000" w:rsidR="00000000" w:rsidRPr="00000000">
              <w:rPr>
                <w:i w:val="1"/>
                <w:iCs w:val="1"/>
                <w:color w:val="0070c0"/>
                <w:sz w:val="18"/>
                <w:szCs w:val="18"/>
                <w:rtl w:val="0"/>
              </w:rPr>
              <w:t xml:space="preserve">La situación impacta principalmente a las personas deudoras, quienes necesitan conocer sus obligaciones y disponer de un canal para pagarlas, repactarlas o reclamar cuando consideran que existe un error. Sus necesidades no se definen por un grupo etario específico, sino por su participación en el proceso de cobranza y por la necesidad de acceder a información comprensible sobre su situación.</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iCs w:val="1"/>
                <w:color w:val="0070c0"/>
                <w:sz w:val="18"/>
                <w:szCs w:val="18"/>
              </w:rPr>
            </w:pPr>
            <w:r w:rsidDel="00000000" w:rsidR="00000000" w:rsidRPr="00000000">
              <w:rPr>
                <w:i w:val="1"/>
                <w:iCs w:val="1"/>
                <w:color w:val="0070c0"/>
                <w:sz w:val="18"/>
                <w:szCs w:val="18"/>
                <w:rtl w:val="0"/>
              </w:rPr>
              <w:t xml:space="preserve">También involucra al personal de las empresas que gestionan las carteras, que necesita cargar información, organizar campañas, revisar pagos y convenios, y resolver reclamos. De manera indirecta, afecta a los acreedores que proporcionan las carteras, dado que necesitan recibir los resultados de las operaciones para mantener actualizados sus registros. DataBridge conecta estas necesidades mediante una plataforma y mecanismos de intercambio de información.</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3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smallCaps w:val="0"/>
                <w:strike w:val="0"/>
                <w:color w:val="0070c0"/>
                <w:sz w:val="18"/>
                <w:szCs w:val="18"/>
                <w:shd w:fill="auto" w:val="clear"/>
                <w:vertAlign w:val="baseline"/>
              </w:rPr>
            </w:pPr>
            <w:r w:rsidDel="00000000" w:rsidR="00000000" w:rsidRPr="00000000">
              <w:rPr>
                <w:rFonts w:ascii="Calibri" w:cs="Calibri" w:eastAsia="Calibri" w:hAnsi="Calibri"/>
                <w:b w:val="0"/>
                <w:bCs w:val="0"/>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 </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iCs w:val="1"/>
                <w:color w:val="0070c0"/>
                <w:sz w:val="18"/>
                <w:szCs w:val="18"/>
              </w:rPr>
            </w:pPr>
            <w:r w:rsidDel="00000000" w:rsidR="00000000" w:rsidRPr="00000000">
              <w:rPr>
                <w:i w:val="1"/>
                <w:iCs w:val="1"/>
                <w:color w:val="0070c0"/>
                <w:sz w:val="18"/>
                <w:szCs w:val="18"/>
                <w:rtl w:val="0"/>
              </w:rPr>
              <w:t xml:space="preserve">El aporte de valor de DataBridge, dentro del escenario académico simulado, consiste en integrar la gestión de carteras y campañas con un portal de autogestión para el deudor. La plataforma permite reunir la consulta de obligaciones, el pago, la repactación y la presentación de reclamos, vinculando estas acciones con la actualización de la deuda y la comunicación de resultados a la empresa que entregó la cartera.</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iCs w:val="1"/>
                <w:color w:val="0070c0"/>
                <w:sz w:val="18"/>
                <w:szCs w:val="18"/>
              </w:rPr>
            </w:pPr>
            <w:r w:rsidDel="00000000" w:rsidR="00000000" w:rsidRPr="00000000">
              <w:rPr>
                <w:i w:val="1"/>
                <w:iCs w:val="1"/>
                <w:color w:val="0070c0"/>
                <w:sz w:val="18"/>
                <w:szCs w:val="18"/>
                <w:rtl w:val="0"/>
              </w:rPr>
              <w:t xml:space="preserve">Desde el contexto laboral, esta integración ofrece una alternativa a la gestión fragmentada de información y facilita el seguimiento de las operaciones. Desde el contexto social, proporciona al deudor un espacio para comprender su situación y acceder a distintas opciones, incluyendo la posibilidad de cuestionar una deuda.</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iCs w:val="1"/>
                <w:color w:val="0070c0"/>
                <w:sz w:val="18"/>
                <w:szCs w:val="18"/>
              </w:rPr>
            </w:pPr>
            <w:r w:rsidDel="00000000" w:rsidR="00000000" w:rsidRPr="00000000">
              <w:rPr>
                <w:i w:val="1"/>
                <w:iCs w:val="1"/>
                <w:color w:val="0070c0"/>
                <w:sz w:val="18"/>
                <w:szCs w:val="18"/>
                <w:rtl w:val="0"/>
              </w:rPr>
              <w:t xml:space="preserve">El aporte se debe respaldar con las funcionalidades implementadas y sus evidencias de prueba. No se atribuyen aumentos de recuperación ni reducciones de costos comprobadas, porque esos resultados requieren una evaluación con usuarios y operaciones reales.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4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4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Objetivo General:</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Desarrollar una plataforma web denominada DataBridge que permita gestionar carteras de deuda mediante campañas y facilite la autogestión de las personas deudoras a través de la consulta, el pago, la repactación y la presentación de reclamos, integrando controles de acceso, trazabilidad de las operaciones y comunicación de resultados con los sistemas de las empresas clientes.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1. Definir los requisitos funcionales y no funcionales de DataBridge, considerando las necesidades de las personas deudoras y de las empresas que administran las carteras, mediante historias de usuario y criterios de aceptación que orienten el desarrollo y su verificación.</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2. Diseñar la arquitectura y el modelo de datos de la plataforma, estableciendo las responsabilidades de sus componentes y sus mecanismos de comunicación para mantener la consistencia de la información y facilitar el mantenimiento del software.</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3. Implementar la recepción de carteras de deuda mediante API y archivos CSV y su gestión mediante campañas de cobranza, incorporando validaciones de los datos, asociación de las deudas a cada campaña, configuración de fechas y frecuencia de contacto, y seguimiento de su avance, para organizar las acciones de cobranza de las empresas clientes.</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4. Desarrollar un portal de autogestión con acceso autenticado, que permita a cada deudor consultar sus obligaciones, solicitar repactaciones, efectuar pagos y presentar reclamos, restringiendo el acceso a la información que le corresponde.</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5. Integrar las pasarelas de pago y la comunicación de resultados con sistemas externos, verificando las transacciones antes de actualizar las deudas y evitando que una confirmación repetida aplique un mismo pago más de una vez.</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6. Verificar el funcionamiento y los atributos de calidad de la plataforma mediante pruebas funcionales, unitarias, de integración, rendimiento y seguridad, documentando los resultados obtenidos, las condiciones de ejecución y las limitaciones identificadas.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7. Establecer un despliegue local reproducible mediante Docker Compose, documentando los requisitos de instalación, la configuración y los procedimientos de ejecución para facilitar la puesta en marcha y la revisión técnica de DataBridge.</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5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r w:rsidDel="00000000" w:rsidR="00000000" w:rsidRPr="00000000">
              <w:rPr>
                <w:rtl w:val="0"/>
              </w:rPr>
            </w:r>
          </w:p>
          <w:p w:rsidR="00000000" w:rsidDel="00000000" w:rsidP="00000000" w:rsidRDefault="00000000" w:rsidRPr="00000000" w14:paraId="00000054">
            <w:pPr>
              <w:ind w:left="720" w:firstLine="0"/>
              <w:rPr>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r w:rsidDel="00000000" w:rsidR="00000000" w:rsidRPr="00000000">
              <w:rPr>
                <w:rtl w:val="0"/>
              </w:rPr>
            </w:r>
          </w:p>
          <w:p w:rsidR="00000000" w:rsidDel="00000000" w:rsidP="00000000" w:rsidRDefault="00000000" w:rsidRPr="00000000" w14:paraId="00000055">
            <w:pPr>
              <w:ind w:left="720" w:firstLine="0"/>
              <w:rPr>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r w:rsidDel="00000000" w:rsidR="00000000" w:rsidRPr="00000000">
              <w:rPr>
                <w:rtl w:val="0"/>
              </w:rPr>
            </w:r>
          </w:p>
          <w:p w:rsidR="00000000" w:rsidDel="00000000" w:rsidP="00000000" w:rsidRDefault="00000000" w:rsidRPr="00000000" w14:paraId="00000056">
            <w:pPr>
              <w:ind w:left="0" w:firstLine="0"/>
              <w:rPr>
                <w:i w:val="1"/>
                <w:iCs w:val="1"/>
                <w:color w:val="0070c0"/>
                <w:sz w:val="18"/>
                <w:szCs w:val="18"/>
              </w:rPr>
            </w:pPr>
            <w:r w:rsidDel="00000000" w:rsidR="00000000" w:rsidRPr="00000000">
              <w:rPr>
                <w:i w:val="1"/>
                <w:iCs w:val="1"/>
                <w:color w:val="0070c0"/>
                <w:sz w:val="18"/>
                <w:szCs w:val="18"/>
                <w:rtl w:val="0"/>
              </w:rPr>
              <w:t xml:space="preserve">Para desarrollar DataBridge se utilizó Scrumban, combinando responsabilidades de Scrum con la gestión visual y el flujo de trabajo de Kanban. Esta metodología permitió organizar el desarrollo mediante tareas priorizadas y entregas incrementales, manteniendo responsabilidades definidas dentro del equipo y flexibilidad para ajustar el trabajo según las necesidades del proyecto.</w:t>
            </w:r>
          </w:p>
          <w:p w:rsidR="00000000" w:rsidDel="00000000" w:rsidP="00000000" w:rsidRDefault="00000000" w:rsidRPr="00000000" w14:paraId="00000057">
            <w:pPr>
              <w:ind w:left="0" w:firstLine="0"/>
              <w:rPr>
                <w:i w:val="1"/>
                <w:iCs w:val="1"/>
                <w:color w:val="0070c0"/>
                <w:sz w:val="18"/>
                <w:szCs w:val="18"/>
              </w:rPr>
            </w:pPr>
            <w:r w:rsidDel="00000000" w:rsidR="00000000" w:rsidRPr="00000000">
              <w:rPr>
                <w:i w:val="1"/>
                <w:iCs w:val="1"/>
                <w:color w:val="0070c0"/>
                <w:sz w:val="18"/>
                <w:szCs w:val="18"/>
                <w:rtl w:val="0"/>
              </w:rPr>
              <w:t xml:space="preserve">La organización del equipo contempló a Flavio Henríquez como Product Owner y líder de proyecto, a Martín Gutiérrez como Scrum Master y desarrollador Fullstack, a Pedro Campos como desarrollador Backend y a Esteban Maino como desarrollador Frontend. Estas responsabilidades permitieron distribuir la priorización del producto, la coordinación del trabajo y la implementación técnica, considerando las dependencias entre los componentes de DataBridge.</w:t>
            </w:r>
          </w:p>
          <w:p w:rsidR="00000000" w:rsidDel="00000000" w:rsidP="00000000" w:rsidRDefault="00000000" w:rsidRPr="00000000" w14:paraId="00000058">
            <w:pPr>
              <w:ind w:left="0" w:firstLine="0"/>
              <w:rPr>
                <w:i w:val="1"/>
                <w:iCs w:val="1"/>
                <w:color w:val="0070c0"/>
                <w:sz w:val="18"/>
                <w:szCs w:val="18"/>
              </w:rPr>
            </w:pPr>
            <w:r w:rsidDel="00000000" w:rsidR="00000000" w:rsidRPr="00000000">
              <w:rPr>
                <w:i w:val="1"/>
                <w:iCs w:val="1"/>
                <w:color w:val="0070c0"/>
                <w:sz w:val="18"/>
                <w:szCs w:val="18"/>
                <w:rtl w:val="0"/>
              </w:rPr>
              <w:t xml:space="preserve">Las actividades del proyecto se desarrollaron de manera incremental. Las fases descritas a continuación representan actividades relacionadas que podían retomarse ante nuevos requisitos, errores o ajustes, y no una secuencia rígida que se ejecutara una sola vez.</w:t>
            </w:r>
          </w:p>
          <w:p w:rsidR="00000000" w:rsidDel="00000000" w:rsidP="00000000" w:rsidRDefault="00000000" w:rsidRPr="00000000" w14:paraId="00000059">
            <w:pPr>
              <w:ind w:left="0" w:firstLine="0"/>
              <w:rPr>
                <w:i w:val="1"/>
                <w:iCs w:val="1"/>
                <w:color w:val="0070c0"/>
                <w:sz w:val="18"/>
                <w:szCs w:val="18"/>
              </w:rPr>
            </w:pPr>
            <w:r w:rsidDel="00000000" w:rsidR="00000000" w:rsidRPr="00000000">
              <w:rPr>
                <w:i w:val="1"/>
                <w:iCs w:val="1"/>
                <w:color w:val="0070c0"/>
                <w:sz w:val="18"/>
                <w:szCs w:val="18"/>
                <w:rtl w:val="0"/>
              </w:rPr>
              <w:t xml:space="preserve">1. Análisis de necesidades y definición de requisitos.</w:t>
            </w:r>
          </w:p>
          <w:p w:rsidR="00000000" w:rsidDel="00000000" w:rsidP="00000000" w:rsidRDefault="00000000" w:rsidRPr="00000000" w14:paraId="0000005A">
            <w:pPr>
              <w:ind w:left="0" w:firstLine="0"/>
              <w:rPr>
                <w:i w:val="1"/>
                <w:iCs w:val="1"/>
                <w:color w:val="0070c0"/>
                <w:sz w:val="18"/>
                <w:szCs w:val="18"/>
              </w:rPr>
            </w:pPr>
            <w:r w:rsidDel="00000000" w:rsidR="00000000" w:rsidRPr="00000000">
              <w:rPr>
                <w:i w:val="1"/>
                <w:iCs w:val="1"/>
                <w:color w:val="0070c0"/>
                <w:sz w:val="18"/>
                <w:szCs w:val="18"/>
                <w:rtl w:val="0"/>
              </w:rPr>
              <w:t xml:space="preserve">Se identificaron las necesidades de las personas deudoras y de las empresas que administran las carteras. Estas necesidades se tradujeron en funcionalidades como consultar deudas, pagar, repactar, presentar reclamos, recibir carteras y gestionar campañas. Para organizar los requerimientos se incorporaron historias de usuario con criterios de aceptación, identificación del componente afectado, dependencias y delimitación del alcance. Esto permitió establecer qué debía resolver cada tarea y cómo comprobar su cumplimiento.</w:t>
            </w:r>
          </w:p>
          <w:p w:rsidR="00000000" w:rsidDel="00000000" w:rsidP="00000000" w:rsidRDefault="00000000" w:rsidRPr="00000000" w14:paraId="0000005B">
            <w:pPr>
              <w:ind w:left="0" w:firstLine="0"/>
              <w:rPr>
                <w:i w:val="1"/>
                <w:iCs w:val="1"/>
                <w:color w:val="0070c0"/>
                <w:sz w:val="18"/>
                <w:szCs w:val="18"/>
              </w:rPr>
            </w:pPr>
            <w:r w:rsidDel="00000000" w:rsidR="00000000" w:rsidRPr="00000000">
              <w:rPr>
                <w:i w:val="1"/>
                <w:iCs w:val="1"/>
                <w:color w:val="0070c0"/>
                <w:sz w:val="18"/>
                <w:szCs w:val="18"/>
                <w:rtl w:val="0"/>
              </w:rPr>
              <w:t xml:space="preserve">2. Planificación y priorización del trabajo.</w:t>
            </w:r>
          </w:p>
          <w:p w:rsidR="00000000" w:rsidDel="00000000" w:rsidP="00000000" w:rsidRDefault="00000000" w:rsidRPr="00000000" w14:paraId="0000005C">
            <w:pPr>
              <w:ind w:left="0" w:firstLine="0"/>
              <w:rPr>
                <w:i w:val="1"/>
                <w:iCs w:val="1"/>
                <w:color w:val="0070c0"/>
                <w:sz w:val="18"/>
                <w:szCs w:val="18"/>
              </w:rPr>
            </w:pPr>
            <w:r w:rsidDel="00000000" w:rsidR="00000000" w:rsidRPr="00000000">
              <w:rPr>
                <w:i w:val="1"/>
                <w:iCs w:val="1"/>
                <w:color w:val="0070c0"/>
                <w:sz w:val="18"/>
                <w:szCs w:val="18"/>
                <w:rtl w:val="0"/>
              </w:rPr>
              <w:t xml:space="preserve">   Las funcionalidades y tareas técnicas se organizaron en un backlog y se gestionaron mediante un tablero que representa su avance desde la preparación hasta la revisión y finalización. La priorización consideró tanto el valor de cada funcionalidad como sus dependencias. Por ejemplo, el acceso autenticado y la consulta de deudas constituyen una base para implementar operaciones posteriores, mientras que las campañas requieren relacionarse con las carteras y sus estados. Este procedimiento permitió dividir el proyecto en trabajos abordables y coordinar su integración.</w:t>
            </w:r>
          </w:p>
          <w:p w:rsidR="00000000" w:rsidDel="00000000" w:rsidP="00000000" w:rsidRDefault="00000000" w:rsidRPr="00000000" w14:paraId="0000005D">
            <w:pPr>
              <w:ind w:left="0" w:firstLine="0"/>
              <w:rPr>
                <w:i w:val="1"/>
                <w:iCs w:val="1"/>
                <w:color w:val="0070c0"/>
                <w:sz w:val="18"/>
                <w:szCs w:val="18"/>
              </w:rPr>
            </w:pPr>
            <w:r w:rsidDel="00000000" w:rsidR="00000000" w:rsidRPr="00000000">
              <w:rPr>
                <w:i w:val="1"/>
                <w:iCs w:val="1"/>
                <w:color w:val="0070c0"/>
                <w:sz w:val="18"/>
                <w:szCs w:val="18"/>
                <w:rtl w:val="0"/>
              </w:rPr>
              <w:t xml:space="preserve">3. Diseño de la solución.</w:t>
            </w:r>
          </w:p>
          <w:p w:rsidR="00000000" w:rsidDel="00000000" w:rsidP="00000000" w:rsidRDefault="00000000" w:rsidRPr="00000000" w14:paraId="0000005E">
            <w:pPr>
              <w:ind w:left="0" w:firstLine="0"/>
              <w:rPr>
                <w:i w:val="1"/>
                <w:iCs w:val="1"/>
                <w:color w:val="0070c0"/>
                <w:sz w:val="18"/>
                <w:szCs w:val="18"/>
              </w:rPr>
            </w:pPr>
            <w:r w:rsidDel="00000000" w:rsidR="00000000" w:rsidRPr="00000000">
              <w:rPr>
                <w:i w:val="1"/>
                <w:iCs w:val="1"/>
                <w:color w:val="0070c0"/>
                <w:sz w:val="18"/>
                <w:szCs w:val="18"/>
                <w:rtl w:val="0"/>
              </w:rPr>
              <w:t xml:space="preserve">   Se definieron las responsabilidades del portal web, el gateway y los servicios de autenticación, deudas, pagos y asistencia. También se estructuró el modelo de datos y la comunicación entre componentes. Esta actividad permitió precisar dónde debía ejecutarse cada regla de negocio: la recepción de carteras y la gestión de campañas pertenecen al dominio de deudas, mientras que la interacción con las pasarelas corresponde al servicio de pagos. La separación facilita revisar y modificar una funcionalidad sin concentrar toda la lógica en un único componente.</w:t>
            </w:r>
          </w:p>
          <w:p w:rsidR="00000000" w:rsidDel="00000000" w:rsidP="00000000" w:rsidRDefault="00000000" w:rsidRPr="00000000" w14:paraId="0000005F">
            <w:pPr>
              <w:ind w:left="0" w:firstLine="0"/>
              <w:rPr>
                <w:i w:val="1"/>
                <w:iCs w:val="1"/>
                <w:color w:val="0070c0"/>
                <w:sz w:val="18"/>
                <w:szCs w:val="18"/>
              </w:rPr>
            </w:pPr>
            <w:r w:rsidDel="00000000" w:rsidR="00000000" w:rsidRPr="00000000">
              <w:rPr>
                <w:i w:val="1"/>
                <w:iCs w:val="1"/>
                <w:color w:val="0070c0"/>
                <w:sz w:val="18"/>
                <w:szCs w:val="18"/>
                <w:rtl w:val="0"/>
              </w:rPr>
              <w:t xml:space="preserve">4. Implementación incremental e integración.</w:t>
            </w:r>
          </w:p>
          <w:p w:rsidR="00000000" w:rsidDel="00000000" w:rsidP="00000000" w:rsidRDefault="00000000" w:rsidRPr="00000000" w14:paraId="00000060">
            <w:pPr>
              <w:ind w:left="0" w:firstLine="0"/>
              <w:rPr>
                <w:i w:val="1"/>
                <w:iCs w:val="1"/>
                <w:color w:val="0070c0"/>
                <w:sz w:val="18"/>
                <w:szCs w:val="18"/>
              </w:rPr>
            </w:pPr>
            <w:r w:rsidDel="00000000" w:rsidR="00000000" w:rsidRPr="00000000">
              <w:rPr>
                <w:i w:val="1"/>
                <w:iCs w:val="1"/>
                <w:color w:val="0070c0"/>
                <w:sz w:val="18"/>
                <w:szCs w:val="18"/>
                <w:rtl w:val="0"/>
              </w:rPr>
              <w:t xml:space="preserve">   El desarrollo se realizó mediante cambios registrados en el control de versiones y solicitudes de integración o pull requests. La plantilla de estas solicitudes contempla la descripción del cambio, su verificación y el procedimiento para revertirlo si resulta necesario. Este mecanismo permite revisar entregas concretas y relacionarlas con las tareas del proyecto. La recepción de carteras por API y CSV, las campañas y las operaciones del portal se integran como partes de un mismo producto, conservando responsabilidades diferenciadas.</w:t>
            </w:r>
          </w:p>
          <w:p w:rsidR="00000000" w:rsidDel="00000000" w:rsidP="00000000" w:rsidRDefault="00000000" w:rsidRPr="00000000" w14:paraId="00000061">
            <w:pPr>
              <w:ind w:left="0" w:firstLine="0"/>
              <w:rPr>
                <w:i w:val="1"/>
                <w:iCs w:val="1"/>
                <w:color w:val="0070c0"/>
                <w:sz w:val="18"/>
                <w:szCs w:val="18"/>
              </w:rPr>
            </w:pPr>
            <w:r w:rsidDel="00000000" w:rsidR="00000000" w:rsidRPr="00000000">
              <w:rPr>
                <w:i w:val="1"/>
                <w:iCs w:val="1"/>
                <w:color w:val="0070c0"/>
                <w:sz w:val="18"/>
                <w:szCs w:val="18"/>
                <w:rtl w:val="0"/>
              </w:rPr>
              <w:t xml:space="preserve">5. Verificación y control de calidad.</w:t>
            </w:r>
          </w:p>
          <w:p w:rsidR="00000000" w:rsidDel="00000000" w:rsidP="00000000" w:rsidRDefault="00000000" w:rsidRPr="00000000" w14:paraId="00000062">
            <w:pPr>
              <w:ind w:left="0" w:firstLine="0"/>
              <w:rPr>
                <w:i w:val="1"/>
                <w:iCs w:val="1"/>
                <w:color w:val="0070c0"/>
                <w:sz w:val="18"/>
                <w:szCs w:val="18"/>
              </w:rPr>
            </w:pPr>
            <w:r w:rsidDel="00000000" w:rsidR="00000000" w:rsidRPr="00000000">
              <w:rPr>
                <w:i w:val="1"/>
                <w:iCs w:val="1"/>
                <w:color w:val="0070c0"/>
                <w:sz w:val="18"/>
                <w:szCs w:val="18"/>
                <w:rtl w:val="0"/>
              </w:rPr>
              <w:t xml:space="preserve">   Se incorporaron pruebas automatizadas para servicios y controladores, scripts de rendimiento y controles de integración continua mediante GitHub Actions. Los servicios Java cuentan con procedimientos automatizados para ejecutar sus pruebas, mientras que el frontend dispone de controles de compilación y revisión de dependencias. Además, la Definition of Done establece condiciones de cumplimiento funcional, verificación, seguridad, integración, documentación y revisión. Estos mecanismos orientan la aceptación de los cambios; sus resultados deben respaldarse con las evidencias correspondientes.</w:t>
            </w:r>
          </w:p>
          <w:p w:rsidR="00000000" w:rsidDel="00000000" w:rsidP="00000000" w:rsidRDefault="00000000" w:rsidRPr="00000000" w14:paraId="00000063">
            <w:pPr>
              <w:ind w:left="0" w:firstLine="0"/>
              <w:rPr>
                <w:i w:val="1"/>
                <w:iCs w:val="1"/>
                <w:color w:val="0070c0"/>
                <w:sz w:val="18"/>
                <w:szCs w:val="18"/>
              </w:rPr>
            </w:pPr>
            <w:r w:rsidDel="00000000" w:rsidR="00000000" w:rsidRPr="00000000">
              <w:rPr>
                <w:i w:val="1"/>
                <w:iCs w:val="1"/>
                <w:color w:val="0070c0"/>
                <w:sz w:val="18"/>
                <w:szCs w:val="18"/>
                <w:rtl w:val="0"/>
              </w:rPr>
              <w:t xml:space="preserve">6. Preparación de entregas y mejora continua.</w:t>
            </w:r>
          </w:p>
          <w:p w:rsidR="00000000" w:rsidDel="00000000" w:rsidP="00000000" w:rsidRDefault="00000000" w:rsidRPr="00000000" w14:paraId="00000064">
            <w:pPr>
              <w:ind w:left="0" w:firstLine="0"/>
              <w:rPr>
                <w:i w:val="1"/>
                <w:iCs w:val="1"/>
                <w:color w:val="0070c0"/>
                <w:sz w:val="18"/>
                <w:szCs w:val="18"/>
              </w:rPr>
            </w:pPr>
            <w:r w:rsidDel="00000000" w:rsidR="00000000" w:rsidRPr="00000000">
              <w:rPr>
                <w:i w:val="1"/>
                <w:iCs w:val="1"/>
                <w:color w:val="0070c0"/>
                <w:sz w:val="18"/>
                <w:szCs w:val="18"/>
                <w:rtl w:val="0"/>
              </w:rPr>
              <w:t xml:space="preserve">   Se incorporó Docker Compose para ejecutar conjuntamente los componentes y Flyway para mantener versionados los cambios del esquema de datos. Estas herramientas facilitan preparar un entorno reproducible para revisar la solución. Asimismo, se dispuso de una plantilla de retrospectiva para registrar dificultades, aprendizajes y acciones de mejora con responsables. Las retrospectivas realizadas y sus acuerdos deberán presentarse mediante sus registros, distinguiendo la existencia de la herramienta de la evidencia de su utilización.</w:t>
            </w:r>
          </w:p>
          <w:p w:rsidR="00000000" w:rsidDel="00000000" w:rsidP="00000000" w:rsidRDefault="00000000" w:rsidRPr="00000000" w14:paraId="00000065">
            <w:pPr>
              <w:ind w:left="0" w:firstLine="0"/>
              <w:rPr>
                <w:i w:val="1"/>
                <w:iCs w:val="1"/>
                <w:color w:val="0070c0"/>
                <w:sz w:val="18"/>
                <w:szCs w:val="18"/>
              </w:rPr>
            </w:pPr>
            <w:r w:rsidDel="00000000" w:rsidR="00000000" w:rsidRPr="00000000">
              <w:rPr>
                <w:i w:val="1"/>
                <w:iCs w:val="1"/>
                <w:color w:val="0070c0"/>
                <w:sz w:val="18"/>
                <w:szCs w:val="18"/>
                <w:rtl w:val="0"/>
              </w:rPr>
              <w:t xml:space="preserve">Pertinencia de la Metodología</w:t>
            </w:r>
          </w:p>
          <w:p w:rsidR="00000000" w:rsidDel="00000000" w:rsidP="00000000" w:rsidRDefault="00000000" w:rsidRPr="00000000" w14:paraId="00000066">
            <w:pPr>
              <w:ind w:left="0" w:firstLine="0"/>
              <w:rPr>
                <w:i w:val="1"/>
                <w:iCs w:val="1"/>
                <w:color w:val="0070c0"/>
                <w:sz w:val="18"/>
                <w:szCs w:val="18"/>
              </w:rPr>
            </w:pPr>
            <w:r w:rsidDel="00000000" w:rsidR="00000000" w:rsidRPr="00000000">
              <w:rPr>
                <w:i w:val="1"/>
                <w:iCs w:val="1"/>
                <w:color w:val="0070c0"/>
                <w:sz w:val="18"/>
                <w:szCs w:val="18"/>
                <w:rtl w:val="0"/>
              </w:rPr>
              <w:t xml:space="preserve">Scrumban fue pertinente porque DataBridge reúne funcionalidades relacionadas que requieren coordinación, pero que pueden desarrollarse y revisarse de manera incremental. La recepción de una cartera, su asociación con una campaña y las acciones del deudor atraviesan distintos componentes. La distribución de responsabilidades y la gestión visual del trabajo permiten identificar estas dependencias y coordinar las entregas.</w:t>
            </w:r>
          </w:p>
          <w:p w:rsidR="00000000" w:rsidDel="00000000" w:rsidP="00000000" w:rsidRDefault="00000000" w:rsidRPr="00000000" w14:paraId="00000067">
            <w:pPr>
              <w:ind w:left="0" w:firstLine="0"/>
              <w:rPr>
                <w:i w:val="1"/>
                <w:iCs w:val="1"/>
                <w:color w:val="0070c0"/>
                <w:sz w:val="18"/>
                <w:szCs w:val="18"/>
              </w:rPr>
            </w:pPr>
            <w:r w:rsidDel="00000000" w:rsidR="00000000" w:rsidRPr="00000000">
              <w:rPr>
                <w:i w:val="1"/>
                <w:iCs w:val="1"/>
                <w:color w:val="0070c0"/>
                <w:sz w:val="18"/>
                <w:szCs w:val="18"/>
                <w:rtl w:val="0"/>
              </w:rPr>
              <w:t xml:space="preserve">La priorización del backlog contribuye al cumplimiento de los objetivos al ordenar el desarrollo según las capacidades necesarias para cada funcionalidad. A su vez, los criterios de aceptación relacionan los requisitos con comportamientos verificables, evitando que una tarea se considere terminada únicamente porque su código fue escrito.</w:t>
            </w:r>
          </w:p>
          <w:p w:rsidR="00000000" w:rsidDel="00000000" w:rsidP="00000000" w:rsidRDefault="00000000" w:rsidRPr="00000000" w14:paraId="00000068">
            <w:pPr>
              <w:ind w:left="0" w:firstLine="0"/>
              <w:rPr>
                <w:i w:val="1"/>
                <w:iCs w:val="1"/>
                <w:color w:val="0070c0"/>
                <w:sz w:val="18"/>
                <w:szCs w:val="18"/>
              </w:rPr>
            </w:pPr>
            <w:r w:rsidDel="00000000" w:rsidR="00000000" w:rsidRPr="00000000">
              <w:rPr>
                <w:i w:val="1"/>
                <w:iCs w:val="1"/>
                <w:color w:val="0070c0"/>
                <w:sz w:val="18"/>
                <w:szCs w:val="18"/>
                <w:rtl w:val="0"/>
              </w:rPr>
              <w:t xml:space="preserve">El flujo de revisión y los controles automatizados apoyan los objetivos de calidad e integración. Esto resulta especialmente importante en operaciones como el pago: un cambio debe conservar la coherencia entre la confirmación de la transacción, la actualización de la deuda y la comunicación del resultado. Docker Compose y las migraciones versionadas complementan este proceso al facilitar la ejecución del producto y controlar la evolución de sus datos.</w:t>
            </w:r>
          </w:p>
          <w:p w:rsidR="00000000" w:rsidDel="00000000" w:rsidP="00000000" w:rsidRDefault="00000000" w:rsidRPr="00000000" w14:paraId="00000069">
            <w:pPr>
              <w:ind w:left="0" w:firstLine="0"/>
              <w:rPr>
                <w:i w:val="1"/>
                <w:iCs w:val="1"/>
                <w:color w:val="0070c0"/>
                <w:sz w:val="18"/>
                <w:szCs w:val="18"/>
              </w:rPr>
            </w:pPr>
            <w:r w:rsidDel="00000000" w:rsidR="00000000" w:rsidRPr="00000000">
              <w:rPr>
                <w:i w:val="1"/>
                <w:iCs w:val="1"/>
                <w:color w:val="0070c0"/>
                <w:sz w:val="18"/>
                <w:szCs w:val="18"/>
                <w:rtl w:val="0"/>
              </w:rPr>
              <w:t xml:space="preserve">Finalmente, la metodología permite incorporar ajustes sin perder el seguimiento del trabajo. Esta flexibilidad es pertinente para un proyecto académico en evolución y exige comunicación efectiva, colaboración, adaptabilidad y pensamiento crítico para resolver dificultades y justificar las decisiones adoptadas.</w:t>
            </w:r>
          </w:p>
          <w:p w:rsidR="00000000" w:rsidDel="00000000" w:rsidP="00000000" w:rsidRDefault="00000000" w:rsidRPr="00000000" w14:paraId="0000006A">
            <w:pPr>
              <w:ind w:left="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6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color w:val="0070c0"/>
                <w:sz w:val="18"/>
                <w:szCs w:val="18"/>
              </w:rPr>
            </w:pPr>
            <w:r w:rsidDel="00000000" w:rsidR="00000000" w:rsidRPr="00000000">
              <w:rPr>
                <w:b w:val="1"/>
                <w:bCs w:val="1"/>
                <w:color w:val="0070c0"/>
                <w:sz w:val="18"/>
                <w:szCs w:val="18"/>
                <w:rtl w:val="0"/>
              </w:rPr>
              <w:t xml:space="preserve">Etapas y Actividades</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desarrollo de DataBridge comprendió actividades de análisis, diseño, implementación, integración y verificación, organizadas mediante Scrumban. Estas actividades se retomaron conforme evolucionaron los requisitos y aparecieron nuevas condiciones técnicas, por lo que no se desarrollaron como fases completamente aisladas.</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Inicialmente, se definieron las necesidades de las personas deudoras y de las empresas que administran carteras. A partir de estas necesidades se establecieron funcionalidades de consulta de deudas, pago, repactación, reclamación, recepción de carteras y gestión de campañas. Las historias de usuario y sus criterios de aceptación permitieron delimitar el alcance de cada entrega y establecer los comportamientos que debían verificarse.</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Posteriormente, se estructuró la solución mediante un portal web, un gateway y servicios con responsabilidades diferenciadas para autenticación, deudas, pagos y asistencia. También se desarrolló un modelo de datos relacional para representar las obligaciones, sus cargos, cuotas, campañas y operaciones. Los cambios del esquema se organizaron mediante migraciones versionadas, manteniendo correspondencia entre la estructura de los datos y la evolución del código.</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La implementación incluyó la recepción de carteras mediante API y archivos CSV, utilizando un procesamiento común para validar la información y controlar los lotes repetidos. Esta información se relacionó con las campañas de cobranza, cuya gestión permite configurar fechas y frecuencia de contacto, consultar su avance y modificar su estado desde el portal de empresas.</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En paralelo, se desarrolló el portal de autogestión del deudor, incorporando acceso autenticado, consulta de obligaciones, repactación, pago y presentación de reclamos. También se añadieron funciones complementarias, como historial de pagos, comprobantes y un asistente de consulta. Estas actividades requirieron conectar la interfaz con las reglas de negocio y los permisos correspondientes a cada usuario.</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Finalmente, se trabajó en las integraciones con pasarelas y en la comunicación de resultados entre servicios y sistemas externos. Se incorporaron pruebas automatizadas, scripts de rendimiento y controles de integración continua, junto con contenedores Docker y configuración de despliegue. La existencia de estas herramientas debe distinguirse de los resultados obtenidos en cada ejecución, los cuales requieren evidencias específicas.</w:t>
            </w:r>
          </w:p>
          <w:p w:rsidR="00000000" w:rsidDel="00000000" w:rsidP="00000000" w:rsidRDefault="00000000" w:rsidRPr="00000000" w14:paraId="0000007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color w:val="0070c0"/>
                <w:sz w:val="18"/>
                <w:szCs w:val="18"/>
              </w:rPr>
            </w:pPr>
            <w:r w:rsidDel="00000000" w:rsidR="00000000" w:rsidRPr="00000000">
              <w:rPr>
                <w:b w:val="1"/>
                <w:bCs w:val="1"/>
                <w:color w:val="0070c0"/>
                <w:sz w:val="18"/>
                <w:szCs w:val="18"/>
                <w:rtl w:val="0"/>
              </w:rPr>
              <w:t xml:space="preserve">Facilitadores</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La distribución de responsabilidades entre los integrantes facilitó la organización de la priorización, la coordinación y el desarrollo de frontend y backend. Esta organización resultó importante porque las funcionalidades de DataBridge requieren cambios relacionados entre distintos componentes, especialmente en los procesos de carga de carteras, gestión de campañas y pago.</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Las tecnologías utilizadas proporcionaron mecanismos para construir interfaces, implementar servicios y acceder a los datos. Asimismo, la separación del código en controladores, servicios y repositorios permitió identificar dónde correspondía aplicar cada modificación. El control de versiones y las solicitudes de integración aportaron un historial de cambios y un espacio para describir su alcance, revisión y verificación.</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entorno de demostración con organizaciones y datos ficticios permitió representar operaciones sin utilizar información real de personas. Mailpit facilitó la revisión de los correos de acceso y recordatorios, mientras que Docker Compose y las migraciones versionadas proporcionaron una base reproducible para ejecutar los componentes. Los criterios de aceptación y la Definition of Done complementaron estas herramientas al establecer condiciones comunes para revisar las entregas.</w:t>
            </w:r>
          </w:p>
          <w:p w:rsidR="00000000" w:rsidDel="00000000" w:rsidP="00000000" w:rsidRDefault="00000000" w:rsidRPr="00000000" w14:paraId="00000077">
            <w:pPr>
              <w:numPr>
                <w:ilvl w:val="0"/>
                <w:numId w:val="2"/>
              </w:numPr>
              <w:spacing w:after="240" w:before="240" w:line="240" w:lineRule="auto"/>
              <w:ind w:left="720" w:hanging="360"/>
              <w:jc w:val="both"/>
              <w:rPr>
                <w:b w:val="1"/>
                <w:bCs w:val="1"/>
                <w:color w:val="0070c0"/>
                <w:sz w:val="18"/>
                <w:szCs w:val="18"/>
              </w:rPr>
            </w:pPr>
            <w:r w:rsidDel="00000000" w:rsidR="00000000" w:rsidRPr="00000000">
              <w:rPr>
                <w:b w:val="1"/>
                <w:bCs w:val="1"/>
                <w:color w:val="0070c0"/>
                <w:sz w:val="18"/>
                <w:szCs w:val="18"/>
                <w:rtl w:val="0"/>
              </w:rPr>
              <w:t xml:space="preserve">Dificultades</w:t>
            </w:r>
          </w:p>
          <w:p w:rsidR="00000000" w:rsidDel="00000000" w:rsidP="00000000" w:rsidRDefault="00000000" w:rsidRPr="00000000" w14:paraId="00000078">
            <w:pPr>
              <w:spacing w:after="240" w:before="24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Una dificultad relevante fue la interrupción del trabajo con Kobra, el cliente inicialmente considerado para el proyecto. Dejar de contar con su participación alteró el orden de trabajo que el equipo tenía previsto, ya que parte de la planificación se había construido en torno a ese vínculo. Esto exigió revisar cómo continuar el desarrollo y representar las necesidades del negocio sin disponer del acompañamiento del cliente original.</w:t>
            </w:r>
          </w:p>
          <w:p w:rsidR="00000000" w:rsidDel="00000000" w:rsidP="00000000" w:rsidRDefault="00000000" w:rsidRPr="00000000" w14:paraId="00000079">
            <w:pPr>
              <w:spacing w:after="240" w:before="240" w:line="240" w:lineRule="auto"/>
              <w:jc w:val="both"/>
              <w:rPr>
                <w:i w:val="1"/>
                <w:iCs w:val="1"/>
                <w:color w:val="0070c0"/>
                <w:sz w:val="18"/>
                <w:szCs w:val="18"/>
              </w:rPr>
            </w:pPr>
            <w:r w:rsidDel="00000000" w:rsidR="00000000" w:rsidRPr="00000000">
              <w:rPr>
                <w:i w:val="1"/>
                <w:iCs w:val="1"/>
                <w:color w:val="0070c0"/>
                <w:sz w:val="18"/>
                <w:szCs w:val="18"/>
                <w:rtl w:val="0"/>
              </w:rPr>
              <w:t xml:space="preserve">Esta situación agregó una dificultad de organización y definición del contexto, además de los desafíos técnicos propios de la plataforma. El equipo tuvo que ajustar su planificación para mantener la continuidad del proyecto, conservando su propósito: desarrollar una solución que conectara la gestión de carteras mediante campañas con la autogestión de las personas deudoras.</w:t>
            </w:r>
          </w:p>
          <w:p w:rsidR="00000000" w:rsidDel="00000000" w:rsidP="00000000" w:rsidRDefault="00000000" w:rsidRPr="00000000" w14:paraId="0000007A">
            <w:pPr>
              <w:numPr>
                <w:ilvl w:val="0"/>
                <w:numId w:val="2"/>
              </w:numPr>
              <w:spacing w:after="240" w:before="240" w:line="240" w:lineRule="auto"/>
              <w:ind w:left="720" w:hanging="360"/>
              <w:jc w:val="both"/>
              <w:rPr>
                <w:color w:val="0070c0"/>
                <w:sz w:val="18"/>
                <w:szCs w:val="18"/>
              </w:rPr>
            </w:pPr>
            <w:r w:rsidDel="00000000" w:rsidR="00000000" w:rsidRPr="00000000">
              <w:rPr>
                <w:b w:val="1"/>
                <w:bCs w:val="1"/>
                <w:color w:val="0070c0"/>
                <w:sz w:val="18"/>
                <w:szCs w:val="18"/>
                <w:rtl w:val="0"/>
              </w:rPr>
              <w:t xml:space="preserve">Ajustes Realizados</w:t>
            </w:r>
          </w:p>
          <w:p w:rsidR="00000000" w:rsidDel="00000000" w:rsidP="00000000" w:rsidRDefault="00000000" w:rsidRPr="00000000" w14:paraId="0000007B">
            <w:pPr>
              <w:spacing w:after="240" w:before="24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Para continuar sin la participación de Kobra, el equipo adaptó el contexto de demostración mediante organizaciones y datos ficticios. APOFYX pasó a representar a la empresa de cobranza cliente, mientras que otros sistemas ficticios permitieron ejemplificar a los acreedores y el intercambio de información. Este ajuste permitió seguir desarrollando DataBridge sin depender de la disponibilidad del cliente original.</w:t>
            </w:r>
          </w:p>
          <w:p w:rsidR="00000000" w:rsidDel="00000000" w:rsidP="00000000" w:rsidRDefault="00000000" w:rsidRPr="00000000" w14:paraId="0000007C">
            <w:pPr>
              <w:spacing w:after="240" w:before="240" w:line="240" w:lineRule="auto"/>
              <w:jc w:val="both"/>
              <w:rPr>
                <w:i w:val="1"/>
                <w:iCs w:val="1"/>
                <w:color w:val="0070c0"/>
                <w:sz w:val="18"/>
                <w:szCs w:val="18"/>
              </w:rPr>
            </w:pPr>
            <w:r w:rsidDel="00000000" w:rsidR="00000000" w:rsidRPr="00000000">
              <w:rPr>
                <w:i w:val="1"/>
                <w:iCs w:val="1"/>
                <w:color w:val="0070c0"/>
                <w:sz w:val="18"/>
                <w:szCs w:val="18"/>
                <w:rtl w:val="0"/>
              </w:rPr>
              <w:t xml:space="preserve">El cambio no significó reemplazar DataBridge por esos sistemas de ejemplo, sino disponer de un escenario controlado para representar sus integraciones y revisar sus funcionalidades. La experiencia requirió adaptabilidad, comunicación y trabajo colaborativo para reorganizar las actividades. No obstante, la validación en este escenario simulado debe distinguirse de una validación con una empresa real, que permanece como una oportunidad para una etapa posterior.</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E">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7F">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8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r w:rsidDel="00000000" w:rsidR="00000000" w:rsidRPr="00000000">
              <w:rPr>
                <w:rtl w:val="0"/>
              </w:rPr>
            </w:r>
          </w:p>
          <w:p w:rsidR="00000000" w:rsidDel="00000000" w:rsidP="00000000" w:rsidRDefault="00000000" w:rsidRPr="00000000" w14:paraId="00000082">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8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8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Reflexión Profesional</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El desarrollo de DataBridge permitió al equipo relacionar sus intereses profesionales con distintas actividades de ingeniería de software. El proyecto reunió desarrollo de interfaces, implementación de servicios, gestión de datos, integración, seguridad y despliegue, ofreciendo un contexto para reconocer capacidades y definir áreas que cada integrante desea seguir profundizando.</w:t>
            </w:r>
          </w:p>
          <w:p w:rsidR="00000000" w:rsidDel="00000000" w:rsidP="00000000" w:rsidRDefault="00000000" w:rsidRPr="00000000" w14:paraId="0000008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i w:val="1"/>
                <w:iCs w:val="1"/>
                <w:color w:val="0070c0"/>
                <w:sz w:val="18"/>
                <w:szCs w:val="18"/>
                <w:u w:val="none"/>
              </w:rPr>
            </w:pPr>
            <w:r w:rsidDel="00000000" w:rsidR="00000000" w:rsidRPr="00000000">
              <w:rPr>
                <w:i w:val="1"/>
                <w:iCs w:val="1"/>
                <w:color w:val="0070c0"/>
                <w:sz w:val="18"/>
                <w:szCs w:val="18"/>
                <w:rtl w:val="0"/>
              </w:rPr>
              <w:t xml:space="preserve">En el caso de Flavio Henríquez, se mantuvo el interés inicial por la ciberseguridad y el machine learning, con la intención de construir un perfil que combine ambas especialidades. Sin embargo, el proyecto también le permitió reconocer habilidades e interés en desarrollo Fullstack, Backend y gestión de proyectos. Su participación amplió su perspectiva hacia la integración y ejecución del producto, acercándolo a una forma de trabajo vinculada con prácticas DevOps.</w:t>
            </w:r>
          </w:p>
          <w:p w:rsidR="00000000" w:rsidDel="00000000" w:rsidP="00000000" w:rsidRDefault="00000000" w:rsidRPr="00000000" w14:paraId="0000008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i w:val="1"/>
                <w:iCs w:val="1"/>
                <w:color w:val="0070c0"/>
                <w:sz w:val="18"/>
                <w:szCs w:val="18"/>
                <w:u w:val="none"/>
              </w:rPr>
            </w:pPr>
            <w:r w:rsidDel="00000000" w:rsidR="00000000" w:rsidRPr="00000000">
              <w:rPr>
                <w:i w:val="1"/>
                <w:iCs w:val="1"/>
                <w:color w:val="0070c0"/>
                <w:sz w:val="18"/>
                <w:szCs w:val="18"/>
                <w:rtl w:val="0"/>
              </w:rPr>
              <w:t xml:space="preserve">Pedro Campos mantiene su interés por continuar desarrollándose en ciberseguridad y ciencia de datos. Estas áreas se relacionan con la necesidad de comprender cómo se organiza, procesa y protege la información. Su participación en el desarrollo Backend proporciona un contexto para conectar esos intereses con la implementación de servicios y el tratamiento de datos, sin que ello implique haber alcanzado una especialización en seguridad o análisis avanzado.</w:t>
            </w:r>
          </w:p>
          <w:p w:rsidR="00000000" w:rsidDel="00000000" w:rsidP="00000000" w:rsidRDefault="00000000" w:rsidRPr="00000000" w14:paraId="0000008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i w:val="1"/>
                <w:iCs w:val="1"/>
                <w:color w:val="0070c0"/>
                <w:sz w:val="18"/>
                <w:szCs w:val="18"/>
                <w:u w:val="none"/>
              </w:rPr>
            </w:pPr>
            <w:r w:rsidDel="00000000" w:rsidR="00000000" w:rsidRPr="00000000">
              <w:rPr>
                <w:i w:val="1"/>
                <w:iCs w:val="1"/>
                <w:color w:val="0070c0"/>
                <w:sz w:val="18"/>
                <w:szCs w:val="18"/>
                <w:rtl w:val="0"/>
              </w:rPr>
              <w:t xml:space="preserve">Esteban Maino ha manifestado un interés creciente por el desarrollo Backend. Aunque su responsabilidad dentro del equipo se vinculó con el Frontend, la relación entre las interfaces y los servicios de DataBridge le ofrece una perspectiva para explorar la lógica de negocio, las APIs y la persistencia de información. Este interés amplía su orientación profesional hacia el funcionamiento interno de las aplicaciones.</w:t>
            </w:r>
          </w:p>
          <w:p w:rsidR="00000000" w:rsidDel="00000000" w:rsidP="00000000" w:rsidRDefault="00000000" w:rsidRPr="00000000" w14:paraId="0000008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i w:val="1"/>
                <w:iCs w:val="1"/>
                <w:color w:val="0070c0"/>
                <w:sz w:val="18"/>
                <w:szCs w:val="18"/>
                <w:u w:val="none"/>
              </w:rPr>
            </w:pPr>
            <w:r w:rsidDel="00000000" w:rsidR="00000000" w:rsidRPr="00000000">
              <w:rPr>
                <w:i w:val="1"/>
                <w:iCs w:val="1"/>
                <w:color w:val="0070c0"/>
                <w:sz w:val="18"/>
                <w:szCs w:val="18"/>
                <w:rtl w:val="0"/>
              </w:rPr>
              <w:t xml:space="preserve">Martín Gutiérrez proyecta sus intereses hacia el desarrollo de videojuegos y la ciencia de datos. Su participación como desarrollador Fullstack y Scrum Master se relaciona con capacidades de programación, integración y coordinación que pueden complementar ese camino. No obstante, ambas especialidades requieren conocimientos adicionales que deberán desarrollarse más allá del alcance de DataBridge.</w:t>
            </w:r>
          </w:p>
          <w:p w:rsidR="00000000" w:rsidDel="00000000" w:rsidP="00000000" w:rsidRDefault="00000000" w:rsidRPr="00000000" w14:paraId="0000008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Proyecciones Laborales</w:t>
            </w:r>
          </w:p>
          <w:p w:rsidR="00000000" w:rsidDel="00000000" w:rsidP="00000000" w:rsidRDefault="00000000" w:rsidRPr="00000000" w14:paraId="0000008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i w:val="1"/>
                <w:iCs w:val="1"/>
                <w:color w:val="0070c0"/>
                <w:sz w:val="18"/>
                <w:szCs w:val="18"/>
                <w:u w:val="none"/>
              </w:rPr>
            </w:pPr>
            <w:r w:rsidDel="00000000" w:rsidR="00000000" w:rsidRPr="00000000">
              <w:rPr>
                <w:i w:val="1"/>
                <w:iCs w:val="1"/>
                <w:color w:val="0070c0"/>
                <w:sz w:val="18"/>
                <w:szCs w:val="18"/>
                <w:rtl w:val="0"/>
              </w:rPr>
              <w:t xml:space="preserve">Flavio desea orientar su crecimiento principalmente hacia la ciberseguridad, considerando cargos como analista o ingeniero de ciberseguridad. También mantiene abiertas las posibilidades de trabajar como desarrollador Fullstack o científico de datos. Su propósito es fortalecer progresivamente un perfil híbrido que combine programación, seguridad y análisis de información, aprovechando las capacidades de organización e integración reconocidas durante el proyecto.</w:t>
            </w:r>
          </w:p>
          <w:p w:rsidR="00000000" w:rsidDel="00000000" w:rsidP="00000000" w:rsidRDefault="00000000" w:rsidRPr="00000000" w14:paraId="0000008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i w:val="1"/>
                <w:iCs w:val="1"/>
                <w:color w:val="0070c0"/>
                <w:sz w:val="18"/>
                <w:szCs w:val="18"/>
                <w:u w:val="none"/>
              </w:rPr>
            </w:pPr>
            <w:r w:rsidDel="00000000" w:rsidR="00000000" w:rsidRPr="00000000">
              <w:rPr>
                <w:i w:val="1"/>
                <w:iCs w:val="1"/>
                <w:color w:val="0070c0"/>
                <w:sz w:val="18"/>
                <w:szCs w:val="18"/>
                <w:rtl w:val="0"/>
              </w:rPr>
              <w:t xml:space="preserve">Pedro busca continuar profundizando en ciberseguridad y ciencia de datos. Su proyección contempla fortalecer conocimientos que le permitan analizar información y contribuir a su protección, complementando estas áreas con una base de desarrollo Backend. La definición de un cargo específico podrá precisarse conforme avance en su formación y experiencia.</w:t>
            </w:r>
          </w:p>
          <w:p w:rsidR="00000000" w:rsidDel="00000000" w:rsidP="00000000" w:rsidRDefault="00000000" w:rsidRPr="00000000" w14:paraId="0000008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i w:val="1"/>
                <w:iCs w:val="1"/>
                <w:color w:val="0070c0"/>
                <w:sz w:val="18"/>
                <w:szCs w:val="18"/>
                <w:u w:val="none"/>
              </w:rPr>
            </w:pPr>
            <w:r w:rsidDel="00000000" w:rsidR="00000000" w:rsidRPr="00000000">
              <w:rPr>
                <w:i w:val="1"/>
                <w:iCs w:val="1"/>
                <w:color w:val="0070c0"/>
                <w:sz w:val="18"/>
                <w:szCs w:val="18"/>
                <w:rtl w:val="0"/>
              </w:rPr>
              <w:t xml:space="preserve">Esteban desea seguir explorando el desarrollo Backend, profundizando en construcción de APIs, reglas de negocio, bases de datos e integración de servicios. Su experiencia en Frontend puede complementar esta orientación al permitirle comprender cómo las decisiones del servidor afectan la interacción del usuario con la aplicación.</w:t>
            </w:r>
          </w:p>
          <w:p w:rsidR="00000000" w:rsidDel="00000000" w:rsidP="00000000" w:rsidRDefault="00000000" w:rsidRPr="00000000" w14:paraId="0000008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i w:val="1"/>
                <w:iCs w:val="1"/>
                <w:color w:val="0070c0"/>
                <w:sz w:val="18"/>
                <w:szCs w:val="18"/>
                <w:u w:val="none"/>
              </w:rPr>
            </w:pPr>
            <w:r w:rsidDel="00000000" w:rsidR="00000000" w:rsidRPr="00000000">
              <w:rPr>
                <w:i w:val="1"/>
                <w:iCs w:val="1"/>
                <w:color w:val="0070c0"/>
                <w:sz w:val="18"/>
                <w:szCs w:val="18"/>
                <w:rtl w:val="0"/>
              </w:rPr>
              <w:t xml:space="preserve">Martín aspira a desarrollarse en la creación de videojuegos y, también, como científico de datos. Para avanzar en estas alternativas deberá profundizar, respectivamente, en herramientas y fundamentos de desarrollo de videojuegos, y en estadística, preparación de datos y evaluación de modelos. Su experiencia en programación y trabajo colaborativo constituye una base para continuar ese aprendizaje.</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Como equipo, estas proyecciones reflejan intereses diferentes, pero complementarios. DataBridge permitió reconocer que el desarrollo de una solución requiere colaboración entre especialidades y aprendizaje continuo. La experiencia aporta una base para orientar las siguientes decisiones formativas y laborales, sin presentar los intereses actuales como especializaciones ya consolidadas.</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9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YU2AJAC8Sn5FaDunwMzSQdjvg==">CgMxLjA4AHIhMThWZnZJa013UFNvQUhpRkNqYmJmN0JrZmpGNVl1S2Nt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