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3168"/>
        <w:gridCol w:w="7056"/>
        <w:tblGridChange w:id="0">
          <w:tblGrid>
            <w:gridCol w:w="3168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ebf2f7" w:val="clear"/>
            <w:tcMar>
              <w:top w:w="50.0" w:type="dxa"/>
              <w:left w:w="70.0" w:type="dxa"/>
              <w:bottom w:w="50.0" w:type="dxa"/>
              <w:right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b49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70.0" w:type="dxa"/>
              <w:bottom w:w="50.0" w:type="dxa"/>
              <w:right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23232"/>
                <w:sz w:val="18"/>
                <w:szCs w:val="18"/>
                <w:rtl w:val="0"/>
              </w:rPr>
              <w:t xml:space="preserve">DataBridge — Plataforma de Cobranza y Portal de Autoatención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2f7" w:val="clear"/>
            <w:tcMar>
              <w:top w:w="50.0" w:type="dxa"/>
              <w:left w:w="70.0" w:type="dxa"/>
              <w:bottom w:w="50.0" w:type="dxa"/>
              <w:right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b49"/>
                <w:sz w:val="18"/>
                <w:szCs w:val="18"/>
                <w:rtl w:val="0"/>
              </w:rPr>
              <w:t xml:space="preserve">Equipo: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70.0" w:type="dxa"/>
              <w:bottom w:w="50.0" w:type="dxa"/>
              <w:right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23232"/>
                <w:sz w:val="18"/>
                <w:szCs w:val="18"/>
                <w:rtl w:val="0"/>
              </w:rPr>
              <w:t xml:space="preserve">Martín Gutiérrez, Esteban Maino, Flavio Henríquez, Pedro Campos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9.0" w:type="dxa"/>
        <w:jc w:val="center"/>
        <w:tblLayout w:type="fixed"/>
        <w:tblLook w:val="0400"/>
      </w:tblPr>
      <w:tblGrid>
        <w:gridCol w:w="936"/>
        <w:gridCol w:w="1432"/>
        <w:gridCol w:w="1281"/>
        <w:gridCol w:w="2476"/>
        <w:gridCol w:w="2027"/>
        <w:gridCol w:w="1157"/>
        <w:tblGridChange w:id="0">
          <w:tblGrid>
            <w:gridCol w:w="936"/>
            <w:gridCol w:w="1432"/>
            <w:gridCol w:w="1281"/>
            <w:gridCol w:w="2476"/>
            <w:gridCol w:w="2027"/>
            <w:gridCol w:w="1157"/>
          </w:tblGrid>
        </w:tblGridChange>
      </w:tblGrid>
      <w:tr>
        <w:trPr>
          <w:cantSplit w:val="0"/>
          <w:tblHeader w:val="0"/>
        </w:trPr>
        <w:tc>
          <w:tcPr>
            <w:shd w:fill="002b4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Nombre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(Rol)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Quiero (Acción) / Para (Objetivo)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 /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Autenticación mediante RUT y código</w:t>
              <w:br w:type="textWrapping"/>
              <w:t xml:space="preserve">[Portal / ms-auth]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autenticarme ingresando mi RUT y un código de acceso válido recibido por correo (sin contraseña tradicional)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acceder de forma segura a mi sesión en el portal sin riesgo de olvido de contraseñas.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Con RUT y código válidos se inicia una sesión; códigos inválidos, expirados o reutilizados son rechazados.</w:t>
              <w:br w:type="textWrapping"/>
              <w:t xml:space="preserve">2) Se contempla al menos un caso negativo o de borde.</w:t>
              <w:br w:type="textWrapping"/>
              <w:t xml:space="preserve">3) Evidencia reproducible de token emitido.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Generación de código de acceso</w:t>
              <w:br w:type="textWrapping"/>
              <w:t xml:space="preserve">[Portal / ms-auth]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generar un código de acceso temporal y de un solo uso vinculado al RUT del deudor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habilitar un mecanismo de ingreso seguro al portal de autoatención.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código queda asociado al RUT, posee tiempo de expiración y es de un solo uso.</w:t>
              <w:br w:type="textWrapping"/>
              <w:t xml:space="preserve">2) Rechazo de generación ante RUT inexistente o bloqueado.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Validación de código de acceso</w:t>
              <w:br w:type="textWrapping"/>
              <w:t xml:space="preserve">[Portal / ms-auth]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validar la vigencia, correspondencia con el RUT, uso previo y cantidad de intentos del código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evitar accesos no autorizados y ataques automatizados de fuerza bruta.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sistema rechaza códigos vencidos, usados, incorrectos o asociados a otro RUT.</w:t>
              <w:br w:type="textWrapping"/>
              <w:t xml:space="preserve">2) Bloqueo tras superar el límite de intentos.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Creación de sesión autenticada</w:t>
              <w:br w:type="textWrapping"/>
              <w:t xml:space="preserve">[Portal / ms-auth]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crear una sesión segura y emitir los tokens correspondientes tras una validación exitosa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autorizar el consumo de los microservicios protegidos durante la navegación del deudor.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Una autenticación válida genera una sesión utilizable por los servicios autorizados.</w:t>
              <w:br w:type="textWrapping"/>
              <w:t xml:space="preserve">2) El token contiene claims mínimos necesarios.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Cierre de sesión</w:t>
              <w:br w:type="textWrapping"/>
              <w:t xml:space="preserve">[Portal / ms-auth]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finalizar mi sesión activa en el portal en cualquier momento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invalidar inmediatamente los mecanismos de acceso y proteger mi privacidad.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Después del cierre de sesión, el token revocado no permite acceder a recursos protegidos.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de obligaciones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consultar en pantalla únicamente las obligaciones financieras asociadas a mi RUT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conocer mis deudas vigentes sin riesgo de visualización cruzada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La consulta devuelve solo deudas asociadas al RUT autenticado y bloquea acceso cruzado.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Detalle de deuda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ver el detalle completo de una obligación seleccionada (acreedor, concepto, cargos, moneda, referencias y saldo)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entender con claridad el origen y composición de mi saldo adeudado.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detalle presenta los campos disponibles de la deuda seleccionada y coincide con la información persistida.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de cargos asociados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consultar el desglose de los cargos específicos que componen la deuda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verificar la coherencia de los montos facturados respecto al saldo total.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Los cargos visibles pertenecen a la deuda consultada y sus montos son consistentes con el saldo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de acreedor y referencias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ver la identificación de la empresa acreedora y los números de referencia externos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identificar la institución a la que corresponde la deuda sin exponer claves internas.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Muestra acreedor e identificadores externos asociados sin exponer claves internas de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de estado de deuda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conocer el estado vigente de cada una de mis obligaciones (activa, repactada, retirada, saldada)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tener certeza sobre la condición actual de cada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estado mostrado coincide con el último estado válido registrado por ms-debt.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Simulación de repactación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simular diferentes alternativas de repactación en cuotas para una deuda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evaluar planes de pago sin alterar la deuda original durante la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Para una deuda elegible se generan alternativas válidas y no se modifica la deuda durante la simulación.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Cálculo de cuotas de repactación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calcular el número, monto y condiciones de las cuotas de repactación según reglas de negocio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ofrecer opciones financieramente exactas y admisibles.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cálculo produce cuotas consistentes con la alternativa seleccionada y las reglas configuradas.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Aceptación de repactación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confirmar y aceptar formalmente una alternativa de repactación seleccionada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establecer un acuerdo vinculante y generar el calendario de cuotas respectivo.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La aceptación queda persistida, vinculada a la deuda y genera las cuotas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de repactación vigente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visualizar el plan de repactación aceptado y las cuotas generadas con sus vencimientos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hacer seguimiento a mis compromisos de pago acordados.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deudor visualiza únicamente su repactación vigente con cuotas y estados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Registro de evento de repactación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emitir el evento empresarial `repactacion.aceptada` cuando se confirme un acuerdo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notificar a las agencias integradas (APOFYX) y registrar la operación en Outbox.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evento se genera una sola vez por operación, contiene identificadores externos y queda disponible para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Inicio de pago</w:t>
              <w:br w:type="textWrapping"/>
              <w:t xml:space="preserve">[ms-payments / ms-debt / RabbitMQ]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iniciar el pago de una deuda o cuota desde el portal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comenzar el flujo de transacción financiera de forma directa.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inicio de pago utiliza el monto obtenido desde los servicios internos y no confía en un monto alterado en el navegador.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Verificación interna del monto de pago</w:t>
              <w:br w:type="textWrapping"/>
              <w:t xml:space="preserve">[ms-payments / ms-debt / RabbitMQ]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(ms-payments)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verificar en ms-debt el monto vigente y exigible antes de crear la orden en la pasarela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prevenir fraudes o manipulaciones de montos en el 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Una manipulación del monto enviado por el cliente no modifica el monto autorizado por 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Registro de transacción de pago</w:t>
              <w:br w:type="textWrapping"/>
              <w:t xml:space="preserve">[ms-payments / ms-debt / RabbitMQ]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(ms-payments)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persistir cada intento de pago con identificador único, pasarela, estado y referencia a la obligación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mantener trazabilidad y auditoría completa de cada intento transaccional.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Cada operación queda registrada con identificador único y puede consultarse sin duplicar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Confirmación de pago</w:t>
              <w:br w:type="textWrapping"/>
              <w:t xml:space="preserve">[ms-payments / ms-debt / RabbitMQ]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(ms-payments)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registrar la confirmación de la pasarela y comunicar el resultado a ms-debt vía mensaje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garantizar que el pago exitoso se refleje en el saldo de la deuda.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 pago confirmado queda persistido y produce el evento pago.confirmado hacia el flujo de deuda.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Procesamiento de pago parcial</w:t>
              <w:br w:type="textWrapping"/>
              <w:t xml:space="preserve">[ms-payments / ms-debt / RabbitMQ]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aplicar abonos inferiores al total y recalcular el saldo pendiente de la obligación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mantener la deuda abierta con el saldo remanente exacto.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saldo disminuye exactamente por el abono válido y la deuda permanece abierta cuando corresponde.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Procesamiento de pago total</w:t>
              <w:br w:type="textWrapping"/>
              <w:t xml:space="preserve">[ms-payments / ms-debt / RabbitMQ]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reconocer pagos que cubren el total de la deuda y transicionar el estado a saldada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cerrar la obligación contable y finalizar el cobro.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Cuando el saldo llega a cero, la deuda cambia al estado pagada/saldada y no conserva saldo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Emisión de evento deuda saldada</w:t>
              <w:br w:type="textWrapping"/>
              <w:t xml:space="preserve">[ms-payments / ms-debt / RabbitMQ]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emitir el evento `deuda.saldada` cuando una obligación alcance saldo cero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notificar a los acreedores y sistemas externos de la extinción de la deuda.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evento se emite una sola vez, incluye identificadores externos y puede ser verificado por el receptor.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Generación de certificado de deuda pagada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generar un Certificado de Deuda Pagada cuando mi obligación esté saldada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obtener un documento probatorio oficial de cancelación de mi deuda.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Solo una deuda saldada permite generar el certificado y una deuda con saldo pendiente es rechazada.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Descarga de certificado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descargar en formato PDF el certificado de deuda pagada desde el portal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guardar o imprimir mi comprobante de pago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certificado correspondiente a la deuda saldada puede descargarse desde una sesión autorizada.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Carga de cartera mediante CSV</w:t>
              <w:br w:type="textWrapping"/>
              <w:t xml:space="preserve">[ms-debt / Integración Cartera v1]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Administrador /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cargar carteras de cobranza masivas mediante archivos CSV compatibles con el contrato Cartera v1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ingestar listas de obligaciones y deudores de forma masiva.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 archivo válido se procesa; filas inválidas son informadas sin ocultar el resultado de las 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Recepción de Cartera v1 por API</w:t>
              <w:br w:type="textWrapping"/>
              <w:t xml:space="preserve">[ms-debt / Integración Cartera v1]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Integrador (APOFYX)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enviar carteras de cobranza hacia DataBridge mediante una API REST autenticada y versionada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automatizar la ingesta de obligaciones de manera programática.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Una solicitud conforme a Cartera v1 se valida y procesa; solicitudes no autenticadas o inválidas son rechazadas.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Validación de estructura de cartera</w:t>
              <w:br w:type="textWrapping"/>
              <w:t xml:space="preserve">[ms-debt / Integración Cartera v1]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validar campos obligatorios, tipos de datos, referencias y RUTs de cada deuda recibida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asegurar la calidad e integridad de los datos antes de persistirlos.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Cada registro obtiene un resultado de aceptación o rechazo con causa identificable.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Procesamiento idempotente de lotes</w:t>
              <w:br w:type="textWrapping"/>
              <w:t xml:space="preserve">[ms-debt / Integración Cartera v1]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evitar duplicación de deudas cuando se reenvíe un mismo lote de cartera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asegurar la consistencia de la base de datos ante reintentos de comunicación del integrador.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Reenviar el mismo lote no crea deudas duplicadas ni altera indebidamente el resultado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Aceptación parcial de lote</w:t>
              <w:br w:type="textWrapping"/>
              <w:t xml:space="preserve">[ms-debt / Integración Cartera v1]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procesar los registros válidos de un lote aunque otros registros individuales presenten errores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no bloquear la carga completa de una cartera por fallas puntuales.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 lote mixto conserva las deudas válidas e informa individualmente los registros rechazados.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Registro de identificadores externos</w:t>
              <w:br w:type="textWrapping"/>
              <w:t xml:space="preserve">[ms-debt / Integración APOFYX]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mantener identificadores externos en cada obligación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correlacionar las deudas entre DataBridge y los sistemas externos sin compartir IDs internos.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Cada deuda integrada conserva su identificador externo y este se utiliza en actualizaciones y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Registro de mandato</w:t>
              <w:br w:type="textWrapping"/>
              <w:t xml:space="preserve">[ms-debt / Integración APOFYX]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registrar la relación autorizada y mandato entre la agencia y el acreedor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garantizar que la cartera esté facultada para ser gestionada en cobranza.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Una cartera que requiere mandato se acepta con mandato vigente y se rechaza si la relación exigida no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Registro de campaña</w:t>
              <w:br w:type="textWrapping"/>
              <w:t xml:space="preserve">[ms-debt / Integración APOFYX]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asociar las obligaciones a una campaña de cobranza específica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segmentar métricas y estrategias comerciales por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Una campaña válida puede asociarse a la cartera y una referencia desconocida es informada como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Actualización de deuda externa</w:t>
              <w:br w:type="textWrapping"/>
              <w:t xml:space="preserve">[ms-debt / Integración APOFYX]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procesar modificaciones sobre una deuda existente conservando su identidad y trazabilidad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reflejar cambios de saldo u operaciones externas de forma inmediata.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Una actualización válida modifica la deuda correcta sin crear una nueva obligación duplicada.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Retiro de deuda</w:t>
              <w:br w:type="textWrapping"/>
              <w:t xml:space="preserve">[ms-debt / Integración APOFYX]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procesar la instrucción de retiro de una obligación proveniente de un sistema autorizado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inhabilitar gestiones de cobro sobre cuentas canceladas o judicializadas fuera del portal.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La deuda indicada cambia al estado de retiro definido y conserva historial e identificador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Suscripción a eventos</w:t>
              <w:br w:type="textWrapping"/>
              <w:t xml:space="preserve">[ms-debt / Webhooks / Outbox]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registrar endpoints autorizados y secrets de firma para recibir eventos de DataBridge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habilitar la comunicación asíncrona segura entre plataformas.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La suscripción válida queda persistida con endpoint y secreto/configuración necesarios para entrega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Entrega de eventos empresariales</w:t>
              <w:br w:type="textWrapping"/>
              <w:t xml:space="preserve">[ms-debt / Webhooks / Outbox]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enviar eventos relevantes a los endpoints suscritos conforme al contrato versionado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notificar en tiempo real cambios de estado y acuerdos.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receptor obtiene el evento esperado con tipo, timestamp, identificadores y firma verificable.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Reintento de entrega de eventos</w:t>
              <w:br w:type="textWrapping"/>
              <w:t xml:space="preserve">[ms-debt / Webhooks / Outbox]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reintentar la entrega de webhooks salientes cuando el receptor externo esté temporalmente caído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garantizar entrega confiable sin pérdida de notificaciones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 fallo temporal no elimina el evento y un reintento posterior completa la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Registro de eventos salientes (Outbox)</w:t>
              <w:br w:type="textWrapping"/>
              <w:t xml:space="preserve">[ms-debt / Webhooks / Outbox]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persistir los eventos salientes en base de datos antes de intentar su entrega externa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recuperar eventos pendientes tras reinicios del servidor o caídas de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evento queda registrado antes del envío y puede recuperarse tras un fallo del receptor o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Dashboard de cartera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Gestor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ver información consolidada y métricas de la cartera en un dashboard de gestión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analizar el estado general de las obligaciones y el avance de la recaudación.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dashboard muestra indicadores calculados desde datos existentes y respeta el alcance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Analítica básica de recuperación</w:t>
              <w:br w:type="textWrapping"/>
              <w:t xml:space="preserve">[Portal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Gestor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consultar métricas de montos recaudados, tasas de repactación y efectividad de pago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evaluar el rendimiento financiero de las carteras sin inventar indicadores no medidos.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Los valores del panel pueden rastrearse a registros reales y sus consultas son reproducibles.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Asistente IA de solo lectura</w:t>
              <w:br w:type="textWrapping"/>
              <w:t xml:space="preserve">[Portal / ms-ai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hacer preguntas en lenguaje natural sobre mi deuda visible a un asistente virtual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resolver dudas de forma interactiva durante mi experiencia en el portal.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asistente puede consultar contexto autorizado pero no modifica deudas, pagos, repactaciones ni reglas.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contextual del asistente IA</w:t>
              <w:br w:type="textWrapping"/>
              <w:t xml:space="preserve">[Portal / ms-ai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Deudor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recibir respuestas personalizadas del asistente basadas estrictamente en la deuda de mi sesión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obtener orientación precisa sin ver datos de terceros.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La respuesta utiliza únicamente información accesible por la sesión y no expone datos de otra identidad.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Bloqueo de operaciones transaccionales desde IA</w:t>
              <w:br w:type="textWrapping"/>
              <w:t xml:space="preserve">[Portal / ms-ai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(Seguridad)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impedir que el componente de IA autorice pagos o modifique deudas y repactaciones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garantizar que la IA sea de solo lectura y prevenir vulnerabilidades de manipulación financiera.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Intentos de escritura desde el flujo de IA no producen cambios en datos transaccionales.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Enrutamiento centralizado por Gateway</w:t>
              <w:br w:type="textWrapping"/>
              <w:t xml:space="preserve">[Spring Cloud Gateway]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centralizar el acceso del portal hacia los microservicios a través de Spring Cloud Gateway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proteger los servicios backend y desacoplar rutas internas.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Las rutas definidas alcanzan el servicio correcto y los servicios protegidos no dependen de rutas alternativas.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Aplicación de control de acceso en Gateway</w:t>
              <w:br w:type="textWrapping"/>
              <w:t xml:space="preserve">[Spring Cloud Gateway]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aplicar controles de autenticación JWT, CORS y limitación de tasa (Rate Limiting) en la puerta de entrada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rechazar tráfico no autorizado o abusivo antes de que llegue a los microservicios.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Solicitudes no autorizadas o que incumplen las reglas configuradas son bloqueadas en el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Comunicación de pago confirmado mediante mensajería</w:t>
              <w:br w:type="textWrapping"/>
              <w:t xml:space="preserve">[RabbitMQ / ms-payments / ms-debt]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(RabbitMQ)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comunicar eventos de pago confirmado entre ms-payments y ms-debt mediante colas RabbitMQ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asegurar desacoplamiento y actualización asíncrona resiliente de las obligaciones.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Un pago confirmado publica el mensaje esperado y el consumidor procesa el evento sin duplicar el efecto.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de valor o conversión UF</w:t>
              <w:br w:type="textWrapping"/>
              <w:t xml:space="preserve">[ms-payments]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(ms-payments)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obtener y registrar el valor UF aplicado al momento de liquidar deudas indexadas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asegurar la exactitud monetaria de las operaciones expresadas en UF.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La conversión utiliza un valor configurado/obtenido por el servicio y registra el valor aplicado a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Registro trazable de lote</w:t>
              <w:br w:type="textWrapping"/>
              <w:t xml:space="preserve">[ms-debt / Integración]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asociar un identificador de lote a cada deuda procesada durante la ingesta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permitir auditoría completa del origen y procesamiento de cada obligación.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Desde una deuda integrada puede identificarse el lote de origen y su resultado de procesamiento.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 de resultado de carga</w:t>
              <w:br w:type="textWrapping"/>
              <w:t xml:space="preserve">[ms-debt / Integración]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Gestor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revisar el resultado detallado de una carga de cartera (registros aceptados, rechazados y causas)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corregir y reintentar registros erróneos sin afectar las deudas ya procesadas.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El resultado informa el lote, totales y detalle de errores sin perder los registros procesados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3ca0"/>
                <w:sz w:val="15"/>
                <w:szCs w:val="15"/>
                <w:rtl w:val="0"/>
              </w:rPr>
              <w:t xml:space="preserve">Medio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Actualización del estado de obligaciones tras eventos</w:t>
              <w:br w:type="textWrapping"/>
              <w:t xml:space="preserve">[ms-debt / Integración]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Sistema (ms-debt)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Quiero: actualizar los estados internos de las obligaciones al confirmarse pagos, repactaciones o retiros válidos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Para: mantener la sincronización del ciclo de vida de la deuda frente a cualquier evento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1) Cada evento válido produce la transición esperada y eventos repetidos no duplican el efecto.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25.0" w:type="dxa"/>
              <w:bottom w:w="35.0" w:type="dxa"/>
              <w:right w:w="25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00"/>
                <w:sz w:val="15"/>
                <w:szCs w:val="15"/>
                <w:rtl w:val="0"/>
              </w:rPr>
              <w:t xml:space="preserve">Alto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jmJZ1lPSrKQVh42Li3ND0XTSQ==">CgMxLjA4AHIhMW5xdzdpcmkxNExDZGJab2lfMGQ1MWpJT1pwdTdXRWJx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