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Устав проекта внедрения информационной системы в предприятие ювелирная мастерская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1. Общие положения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1.1. Настоящий Устав определяет основные принципы, цели, задачи, участников и этапы проекта внедрения информационной системы в предприятие ювелирная мастерская.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1.2. Устав разработан в соответствии с требованиями законодательства Российской Федерации и внутренними нормативными документами предприятия.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2. Цели и задачи проекта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2.1. Цель проекта - автоматизация бизнес-процессов предприятия ювелирная мастерская с помощью внедрения информационной системы.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2.2. Задачи проекта: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2.2.1. Оптимизация процессов управления производством и складом.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2.2.2. Улучшение качества обслуживания клиентов.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2.2.3. Увеличение эффективности работы персонала.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2.2.4. Сокращение времени на выполнение рутинных операций.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3. Участники проекта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3.1. Руководитель проекта - назначается из числа руководителей предприятия.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3.2. Команда проекта - включает в себя специалистов по информационным технологиям, бизнес-аналитиков, программистов и других специалистов, необходимых для успешной реализации проекта.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3.3. Пользователи системы - сотрудники предприятия, которые будут работать с информационной системой.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4. Этапы проекта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4.1. Подготовительный этап: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4.1.1. Анализ текущих бизнес-процессов предприятия.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4.1.2. Определение требований к информационной системе.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4.1.3. Выбор поставщика информационной системы.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4.1.4. Разработка технического задания на создание информационной системы.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4.1.5. Заключение договора с поставщиком информационной системы.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4.2. Этап внедрения: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4.2.1. Установка и настройка информационной системы.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4.2.2. Обучение пользователей работе с информационной системой.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4.2.3. Тестирование информационной системы.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4.2.4. Ввод информационной системы в эксплуатацию.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4.3. Этап поддержки: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4.3.1. Консультации пользователей по работе с информационной системой.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4.3.2. Обновление и модернизация информационной системы.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4.3.3. Решение технических проблем и устранение ошибок.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5. Ответственность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5.1. Руководитель проекта несет ответственность за успешную реализацию проекта в соответствии с требованиями настоящего Устава.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5.2. Команда проекта несет ответственность за выполнение своих обязанностей в рамках проекта.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5.3. Пользователи системы несут ответственность за правильное использование информационной системы и соблюдение правил безопасности.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6. Заключительные положения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6.1. Настоящий Устав вступает в силу с момента его утверждения руководителем предприятия.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6.2. Изменения и дополнения к настоящему Уставу вносятся по решению руководителя предприятия.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6.3. Настоящий Устав действует до момента завершения проекта внедрения информационной системы в предприятие ювелирная мастерская.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_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