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  <w:bookmarkStart w:id="0" w:name="_GoBack"/>
      <w:bookmarkEnd w:id="0"/>
    </w:p>
    <w:p w14:paraId="7A8356AD" w14:textId="04D2CF5E" w:rsidR="003B5A11" w:rsidRPr="0080046B" w:rsidRDefault="00D562AA" w:rsidP="00A87217">
      <w:pPr>
        <w:pStyle w:val="Tytu"/>
        <w:jc w:val="center"/>
        <w:rPr>
          <w:lang w:val="en-GB"/>
        </w:rPr>
      </w:pPr>
      <w:r>
        <w:rPr>
          <w:lang w:val="en-GB"/>
        </w:rPr>
        <w:t>RS485 transceiver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7069B88D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D562AA">
        <w:rPr>
          <w:noProof/>
          <w:sz w:val="24"/>
          <w:lang w:val="en-GB"/>
        </w:rPr>
        <w:t>Saturday, 03 September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1" w:name="_Toc460673410"/>
      <w:r>
        <w:rPr>
          <w:lang w:val="pl-PL"/>
        </w:rPr>
        <w:lastRenderedPageBreak/>
        <w:t>Revision history</w:t>
      </w:r>
      <w:bookmarkEnd w:id="1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F59FA2D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2016-09-03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6DBB5AB5" w14:textId="2909FA3F" w:rsidR="00D562AA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73410" w:history="1">
            <w:r w:rsidR="00D562AA" w:rsidRPr="008A5E69">
              <w:rPr>
                <w:rStyle w:val="Hipercze"/>
                <w:noProof/>
                <w:lang w:val="pl-PL"/>
              </w:rPr>
              <w:t>Revision history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2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793CDC3" w14:textId="7AB64ED4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1" w:history="1">
            <w:r w:rsidRPr="008A5E69">
              <w:rPr>
                <w:rStyle w:val="Hipercze"/>
                <w:rFonts w:cs="Arial"/>
                <w:noProof/>
              </w:rPr>
              <w:t>Architectural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7CFF" w14:textId="16554923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2" w:history="1">
            <w:r w:rsidRPr="008A5E69">
              <w:rPr>
                <w:rStyle w:val="Hipercze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FD3A" w14:textId="68C23906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3" w:history="1">
            <w:r w:rsidRPr="008A5E69">
              <w:rPr>
                <w:rStyle w:val="Hipercze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9BEB" w14:textId="5045D7EF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4" w:history="1">
            <w:r w:rsidRPr="008A5E69">
              <w:rPr>
                <w:rStyle w:val="Hipercze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7E55" w14:textId="061CF358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5" w:history="1">
            <w:r w:rsidRPr="008A5E69">
              <w:rPr>
                <w:rStyle w:val="Hipercze"/>
                <w:noProof/>
                <w:lang w:val="en-GB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5560" w14:textId="13CB9732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6" w:history="1">
            <w:r w:rsidRPr="008A5E69">
              <w:rPr>
                <w:rStyle w:val="Hipercze"/>
                <w:rFonts w:cs="Arial"/>
                <w:noProof/>
              </w:rPr>
              <w:t>Architectural Goals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1D30" w14:textId="3D296C0E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7" w:history="1">
            <w:r w:rsidRPr="008A5E69">
              <w:rPr>
                <w:rStyle w:val="Hipercze"/>
                <w:noProof/>
                <w:lang w:val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A810" w14:textId="797EB417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8" w:history="1">
            <w:r w:rsidRPr="008A5E69">
              <w:rPr>
                <w:rStyle w:val="Hipercze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1752" w14:textId="69F158D3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9" w:history="1">
            <w:r w:rsidRPr="008A5E69">
              <w:rPr>
                <w:rStyle w:val="Hipercze"/>
                <w:noProof/>
                <w:lang w:val="pl-PL"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96C0" w14:textId="5A7BE8E9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0" w:history="1">
            <w:r w:rsidRPr="008A5E69">
              <w:rPr>
                <w:rStyle w:val="Hipercze"/>
                <w:noProof/>
                <w:lang w:val="pl-PL"/>
              </w:rPr>
              <w:t>Dependency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4E85" w14:textId="357FDD94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1" w:history="1">
            <w:r w:rsidRPr="008A5E69">
              <w:rPr>
                <w:rStyle w:val="Hipercze"/>
                <w:noProof/>
              </w:rPr>
              <w:t>Operating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0714" w14:textId="76D41595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2" w:history="1">
            <w:r w:rsidRPr="008A5E69">
              <w:rPr>
                <w:rStyle w:val="Hipercze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5E09" w14:textId="14F77A44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3" w:history="1">
            <w:r w:rsidRPr="008A5E69">
              <w:rPr>
                <w:rStyle w:val="Hipercze"/>
                <w:noProof/>
              </w:rPr>
              <w:t>Circuit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5BF4" w14:textId="07BE52C9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4" w:history="1">
            <w:r w:rsidRPr="008A5E69">
              <w:rPr>
                <w:rStyle w:val="Hipercze"/>
                <w:noProof/>
              </w:rPr>
              <w:t>Operating condtions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93ED" w14:textId="743DA11C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5" w:history="1">
            <w:r w:rsidRPr="008A5E69">
              <w:rPr>
                <w:rStyle w:val="Hipercze"/>
                <w:noProof/>
              </w:rPr>
              <w:t>Voltage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E7B4" w14:textId="36EF4924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6" w:history="1">
            <w:r w:rsidRPr="008A5E69">
              <w:rPr>
                <w:rStyle w:val="Hipercze"/>
                <w:noProof/>
              </w:rPr>
              <w:t>Power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C0DA" w14:textId="1D0BFF3D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7" w:history="1">
            <w:r w:rsidRPr="008A5E69">
              <w:rPr>
                <w:rStyle w:val="Hipercze"/>
                <w:noProof/>
              </w:rPr>
              <w:t>Frequency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4A95" w14:textId="355C0CAE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8" w:history="1">
            <w:r w:rsidRPr="008A5E69">
              <w:rPr>
                <w:rStyle w:val="Hipercze"/>
                <w:noProof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F260" w14:textId="35879207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9" w:history="1">
            <w:r w:rsidRPr="008A5E69">
              <w:rPr>
                <w:rStyle w:val="Hipercze"/>
                <w:noProof/>
              </w:rPr>
              <w:t>Components comparision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01DA" w14:textId="10DC9A03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0" w:history="1">
            <w:r w:rsidRPr="008A5E69">
              <w:rPr>
                <w:rStyle w:val="Hipercze"/>
                <w:noProof/>
              </w:rPr>
              <w:t>Manufacturers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D749" w14:textId="634BAFCB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1" w:history="1">
            <w:r w:rsidRPr="008A5E69">
              <w:rPr>
                <w:rStyle w:val="Hipercze"/>
                <w:noProof/>
              </w:rPr>
              <w:t>Comparison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C77F" w14:textId="3F507C25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2" w:history="1">
            <w:r w:rsidRPr="008A5E69">
              <w:rPr>
                <w:rStyle w:val="Hipercze"/>
                <w:noProof/>
              </w:rPr>
              <w:t>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4FA2" w14:textId="7D076DB8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3" w:history="1">
            <w:r w:rsidRPr="008A5E69">
              <w:rPr>
                <w:rStyle w:val="Hipercze"/>
                <w:noProof/>
              </w:rPr>
              <w:t>Matching components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B8B8" w14:textId="428E1EEC" w:rsidR="00D562AA" w:rsidRDefault="00D562AA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4" w:history="1">
            <w:r w:rsidRPr="008A5E69">
              <w:rPr>
                <w:rStyle w:val="Hipercze"/>
                <w:noProof/>
              </w:rPr>
              <w:t>Optimization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2D87" w14:textId="42897751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5" w:history="1">
            <w:r w:rsidRPr="008A5E69">
              <w:rPr>
                <w:rStyle w:val="Hipercze"/>
                <w:noProof/>
              </w:rPr>
              <w:t>Component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8734" w14:textId="3CF38A03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6" w:history="1">
            <w:r w:rsidRPr="008A5E69">
              <w:rPr>
                <w:rStyle w:val="Hipercze"/>
                <w:noProof/>
              </w:rPr>
              <w:t>Circuit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DD23" w14:textId="791E900E" w:rsidR="00D562AA" w:rsidRDefault="00D562AA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7" w:history="1">
            <w:r w:rsidRPr="008A5E69">
              <w:rPr>
                <w:rStyle w:val="Hipercze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5C50" w14:textId="4361DBB2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8" w:history="1">
            <w:r w:rsidRPr="008A5E69">
              <w:rPr>
                <w:rStyle w:val="Hipercze"/>
                <w:noProof/>
              </w:rPr>
              <w:t>Circuit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1F50" w14:textId="3C3B39AC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9" w:history="1">
            <w:r w:rsidRPr="008A5E69">
              <w:rPr>
                <w:rStyle w:val="Hipercze"/>
                <w:noProof/>
              </w:rPr>
              <w:t>Circuit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0706" w14:textId="423BE252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0" w:history="1">
            <w:r w:rsidRPr="008A5E69">
              <w:rPr>
                <w:rStyle w:val="Hipercze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252E" w14:textId="5E7F4820" w:rsidR="00D562AA" w:rsidRDefault="00D562AA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1" w:history="1">
            <w:r w:rsidRPr="008A5E69">
              <w:rPr>
                <w:rStyle w:val="Hipercze"/>
                <w:noProof/>
              </w:rPr>
              <w:t>Issues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C0DF" w14:textId="73A3CB4E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2" w:name="_Toc319524784"/>
      <w:bookmarkStart w:id="3" w:name="_Toc460673411"/>
      <w:r>
        <w:rPr>
          <w:rFonts w:cs="Arial"/>
        </w:rPr>
        <w:t>Architectural Representation</w:t>
      </w:r>
      <w:bookmarkEnd w:id="2"/>
      <w:bookmarkEnd w:id="3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4" w:name="_Toc460673412"/>
      <w:r w:rsidRPr="00C440A7">
        <w:rPr>
          <w:lang w:val="en-GB"/>
        </w:rPr>
        <w:lastRenderedPageBreak/>
        <w:t>purpose</w:t>
      </w:r>
      <w:bookmarkEnd w:id="4"/>
    </w:p>
    <w:p w14:paraId="788307F6" w14:textId="0356A05A" w:rsidR="00A87217" w:rsidRPr="00C440A7" w:rsidRDefault="00D562AA" w:rsidP="00A87217">
      <w:pPr>
        <w:rPr>
          <w:lang w:val="en-GB"/>
        </w:rPr>
      </w:pPr>
      <w:r>
        <w:rPr>
          <w:lang w:val="en-GB"/>
        </w:rPr>
        <w:t xml:space="preserve">Circuit specification for RS485 transceiver. </w:t>
      </w: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5" w:name="_Toc460673413"/>
      <w:r w:rsidRPr="00C440A7">
        <w:rPr>
          <w:lang w:val="en-GB"/>
        </w:rPr>
        <w:t>scope</w:t>
      </w:r>
      <w:bookmarkEnd w:id="5"/>
    </w:p>
    <w:p w14:paraId="29AB3EA3" w14:textId="427C7379" w:rsidR="00D562AA" w:rsidRDefault="00D562AA" w:rsidP="0086588C">
      <w:pPr>
        <w:rPr>
          <w:lang w:val="en-GB"/>
        </w:rPr>
      </w:pPr>
      <w:r>
        <w:rPr>
          <w:lang w:val="en-GB"/>
        </w:rPr>
        <w:t xml:space="preserve">Specification of circuit parameters along with list of used components. </w:t>
      </w:r>
    </w:p>
    <w:p w14:paraId="40B96D57" w14:textId="09EFDB82" w:rsidR="00A87217" w:rsidRPr="00C440A7" w:rsidRDefault="00D562AA" w:rsidP="0086588C">
      <w:pPr>
        <w:rPr>
          <w:lang w:val="en-GB"/>
        </w:rPr>
      </w:pPr>
      <w:r>
        <w:rPr>
          <w:lang w:val="en-GB"/>
        </w:rPr>
        <w:t>Proposed circuit model and drawing of specified circuit.</w:t>
      </w:r>
    </w:p>
    <w:p w14:paraId="3BB975BF" w14:textId="239970C4" w:rsidR="003113A5" w:rsidRPr="003113A5" w:rsidRDefault="00C440A7" w:rsidP="003113A5">
      <w:pPr>
        <w:pStyle w:val="Nagwek2"/>
        <w:rPr>
          <w:lang w:val="pl-PL"/>
        </w:rPr>
      </w:pPr>
      <w:bookmarkStart w:id="6" w:name="_Toc460673414"/>
      <w:r w:rsidRPr="003113A5">
        <w:rPr>
          <w:lang w:val="pl-PL"/>
        </w:rPr>
        <w:t>references</w:t>
      </w:r>
      <w:bookmarkEnd w:id="6"/>
      <w:r w:rsidR="003113A5">
        <w:rPr>
          <w:lang w:val="pl-PL"/>
        </w:rPr>
        <w:fldChar w:fldCharType="begin"/>
      </w:r>
      <w:r w:rsidR="003113A5">
        <w:rPr>
          <w:lang w:val="pl-PL"/>
        </w:rPr>
        <w:instrText xml:space="preserve"> BIBLIOGRAPHY  \l 1045 </w:instrText>
      </w:r>
      <w:r w:rsidR="003113A5">
        <w:rPr>
          <w:lang w:val="pl-PL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3113A5" w14:paraId="56CC1375" w14:textId="77777777">
        <w:trPr>
          <w:divId w:val="397483096"/>
          <w:tblCellSpacing w:w="15" w:type="dxa"/>
        </w:trPr>
        <w:tc>
          <w:tcPr>
            <w:tcW w:w="50" w:type="pct"/>
            <w:hideMark/>
          </w:tcPr>
          <w:p w14:paraId="66F8CEEA" w14:textId="743F4EA8" w:rsidR="003113A5" w:rsidRDefault="003113A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226D526" w14:textId="77777777" w:rsidR="003113A5" w:rsidRDefault="003113A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T. Kugelstadt, The RS-485 Design Guide, Texas Instruments, 2008. </w:t>
            </w:r>
          </w:p>
        </w:tc>
      </w:tr>
    </w:tbl>
    <w:p w14:paraId="6E1344B2" w14:textId="77777777" w:rsidR="003113A5" w:rsidRDefault="003113A5">
      <w:pPr>
        <w:divId w:val="397483096"/>
        <w:rPr>
          <w:rFonts w:eastAsia="Times New Roman"/>
          <w:noProof/>
        </w:rPr>
      </w:pPr>
    </w:p>
    <w:p w14:paraId="7CBCBFC6" w14:textId="6B6FF4E7" w:rsidR="00997067" w:rsidRPr="003113A5" w:rsidRDefault="003113A5" w:rsidP="0086588C">
      <w:pPr>
        <w:rPr>
          <w:lang w:val="en-GB"/>
        </w:rPr>
      </w:pPr>
      <w:r>
        <w:rPr>
          <w:lang w:val="pl-PL"/>
        </w:rPr>
        <w:fldChar w:fldCharType="end"/>
      </w: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7" w:name="_Toc460673415"/>
      <w:r w:rsidRPr="0080046B">
        <w:rPr>
          <w:lang w:val="en-GB"/>
        </w:rPr>
        <w:t>definitions</w:t>
      </w:r>
      <w:bookmarkEnd w:id="7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8" w:name="_Toc460673416"/>
      <w:r>
        <w:rPr>
          <w:rFonts w:cs="Arial"/>
        </w:rPr>
        <w:lastRenderedPageBreak/>
        <w:t>Architectural Goals and Constraints</w:t>
      </w:r>
      <w:bookmarkEnd w:id="8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9" w:name="_Toc460673417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133ABF0D" w14:textId="4DE2EDC2" w:rsidR="00A00EAC" w:rsidRDefault="006C3B87" w:rsidP="006C3B87">
      <w:pPr>
        <w:pStyle w:val="Akapitzlist"/>
        <w:numPr>
          <w:ilvl w:val="0"/>
          <w:numId w:val="9"/>
        </w:numPr>
        <w:rPr>
          <w:lang w:val="en-GB"/>
        </w:rPr>
      </w:pPr>
      <w:r w:rsidRPr="006C3B87">
        <w:rPr>
          <w:lang w:val="en-GB"/>
        </w:rPr>
        <w:t>Middle sized package, TSOP preferable.</w:t>
      </w:r>
    </w:p>
    <w:p w14:paraId="4FC016E9" w14:textId="7111925E" w:rsidR="00A00EAC" w:rsidRPr="006C3B87" w:rsidRDefault="006C3B87" w:rsidP="00A00EAC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ESD protection standards compliant</w:t>
      </w: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10" w:name="_Toc460673418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10"/>
    </w:p>
    <w:p w14:paraId="7ABA0952" w14:textId="095350DA" w:rsidR="00A00EAC" w:rsidRPr="006C3B87" w:rsidRDefault="00D562AA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 xml:space="preserve">Transmit and </w:t>
      </w:r>
      <w:r w:rsidR="00F4779F" w:rsidRPr="006C3B87">
        <w:rPr>
          <w:lang w:val="en-GB"/>
        </w:rPr>
        <w:t>receive</w:t>
      </w:r>
      <w:r w:rsidRPr="006C3B87">
        <w:rPr>
          <w:lang w:val="en-GB"/>
        </w:rPr>
        <w:t xml:space="preserve"> capability on RS-485 half-duplex bus. </w:t>
      </w:r>
    </w:p>
    <w:p w14:paraId="2EF66A93" w14:textId="6E023EBF" w:rsidR="00D562AA" w:rsidRPr="006C3B87" w:rsidRDefault="00D562AA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Low power consumption</w:t>
      </w:r>
    </w:p>
    <w:p w14:paraId="723CB3FC" w14:textId="442ED92A" w:rsidR="00D562AA" w:rsidRPr="006C3B87" w:rsidRDefault="006C3B87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Transmit enabling signal polarity compatible with built-in MCU UASRT modules</w:t>
      </w:r>
    </w:p>
    <w:p w14:paraId="544DF84C" w14:textId="427FE09C" w:rsidR="006C3B87" w:rsidRDefault="006C3B87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Connector for wires  24-28 AWG</w:t>
      </w:r>
    </w:p>
    <w:p w14:paraId="3ED8993D" w14:textId="10B466F6" w:rsidR="002439A0" w:rsidRPr="006C3B87" w:rsidRDefault="002439A0" w:rsidP="006C3B87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Minimum 32 bus nodes limit</w:t>
      </w: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1" w:name="_Toc460673419"/>
      <w:r>
        <w:rPr>
          <w:lang w:val="pl-PL"/>
        </w:rPr>
        <w:t>environmental requirements</w:t>
      </w:r>
      <w:bookmarkEnd w:id="11"/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2" w:name="_Toc460673420"/>
      <w:r>
        <w:rPr>
          <w:lang w:val="pl-PL"/>
        </w:rPr>
        <w:t>Dependency requirements</w:t>
      </w:r>
      <w:bookmarkEnd w:id="12"/>
    </w:p>
    <w:p w14:paraId="70E2AAFA" w14:textId="77777777" w:rsidR="006C3B87" w:rsidRPr="006C3B87" w:rsidRDefault="006C3B87" w:rsidP="006C3B87">
      <w:pPr>
        <w:rPr>
          <w:lang w:val="pl-PL"/>
        </w:rPr>
      </w:pPr>
    </w:p>
    <w:p w14:paraId="3299381F" w14:textId="77777777" w:rsidR="0080046B" w:rsidRDefault="0080046B" w:rsidP="0080046B">
      <w:pPr>
        <w:pStyle w:val="Nagwek2"/>
      </w:pPr>
      <w:bookmarkStart w:id="13" w:name="_Toc460673421"/>
      <w:r>
        <w:t>Operating conditions</w:t>
      </w:r>
      <w:bookmarkEnd w:id="13"/>
    </w:p>
    <w:p w14:paraId="0FCFAC50" w14:textId="02F3A72C" w:rsidR="00C16F1A" w:rsidRDefault="006C3B87" w:rsidP="00F4779F">
      <w:pPr>
        <w:pStyle w:val="Akapitzlist"/>
        <w:numPr>
          <w:ilvl w:val="0"/>
          <w:numId w:val="14"/>
        </w:numPr>
      </w:pPr>
      <w:r>
        <w:t>Temperature ranges  : -20</w:t>
      </w:r>
      <w:r w:rsidR="00F4779F">
        <w:t>°C</w:t>
      </w:r>
      <w:r>
        <w:t xml:space="preserve"> -&gt; 80</w:t>
      </w:r>
      <w:r w:rsidR="00F4779F">
        <w:t>°</w:t>
      </w:r>
      <w:r>
        <w:t>C</w:t>
      </w:r>
    </w:p>
    <w:p w14:paraId="166475C4" w14:textId="77777777" w:rsidR="006C3B87" w:rsidRDefault="006C3B87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bookmarkStart w:id="14" w:name="_Toc460673422"/>
      <w:r>
        <w:lastRenderedPageBreak/>
        <w:t>Requirements analysis</w:t>
      </w:r>
      <w:bookmarkEnd w:id="14"/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bookmarkStart w:id="15" w:name="_Toc460673423"/>
      <w:r>
        <w:t>Circuit parameters</w:t>
      </w:r>
      <w:bookmarkEnd w:id="15"/>
    </w:p>
    <w:p w14:paraId="13244D66" w14:textId="322B04F6" w:rsidR="0080046B" w:rsidRDefault="0080046B" w:rsidP="00444DC0"/>
    <w:p w14:paraId="3353F70F" w14:textId="39F508B3" w:rsidR="001F02CB" w:rsidRDefault="001F02CB" w:rsidP="001F02CB">
      <w:pPr>
        <w:pStyle w:val="Nagwek3"/>
      </w:pPr>
      <w:bookmarkStart w:id="16" w:name="_Toc460673424"/>
      <w:r>
        <w:t>Operating condtions</w:t>
      </w:r>
      <w:bookmarkEnd w:id="16"/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bookmarkStart w:id="17" w:name="_Toc460673425"/>
      <w:r>
        <w:t>Voltage ranges</w:t>
      </w:r>
      <w:bookmarkEnd w:id="17"/>
    </w:p>
    <w:p w14:paraId="2CAF8198" w14:textId="47ED0E07" w:rsidR="001F02CB" w:rsidRDefault="006C3B87" w:rsidP="009C5380">
      <w:pPr>
        <w:pStyle w:val="Akapitzlist"/>
        <w:numPr>
          <w:ilvl w:val="0"/>
          <w:numId w:val="12"/>
        </w:numPr>
      </w:pPr>
      <w:r>
        <w:t>Power supply 2.8 – 3.5V</w:t>
      </w:r>
    </w:p>
    <w:p w14:paraId="660543EC" w14:textId="77724CC8" w:rsidR="006C3B87" w:rsidRDefault="006C3B87" w:rsidP="001F02CB">
      <w:pPr>
        <w:pStyle w:val="Akapitzlist"/>
        <w:numPr>
          <w:ilvl w:val="0"/>
          <w:numId w:val="12"/>
        </w:numPr>
      </w:pPr>
      <w:r>
        <w:t>Logic levels CMOS compatible</w:t>
      </w:r>
    </w:p>
    <w:p w14:paraId="037991B1" w14:textId="159A9384" w:rsidR="001F02CB" w:rsidRDefault="001F02CB" w:rsidP="001F02CB">
      <w:pPr>
        <w:pStyle w:val="Nagwek3"/>
      </w:pPr>
      <w:bookmarkStart w:id="18" w:name="_Toc460673426"/>
      <w:r>
        <w:t>Power consumption</w:t>
      </w:r>
      <w:bookmarkEnd w:id="18"/>
    </w:p>
    <w:p w14:paraId="4618961A" w14:textId="353739C7" w:rsidR="006C3B87" w:rsidRDefault="006C3B87" w:rsidP="001F02CB">
      <w:pPr>
        <w:pStyle w:val="Akapitzlist"/>
        <w:numPr>
          <w:ilvl w:val="0"/>
          <w:numId w:val="11"/>
        </w:numPr>
      </w:pPr>
      <w:r>
        <w:t>&lt;</w:t>
      </w:r>
      <w:r w:rsidR="00C40D0E">
        <w:t>5</w:t>
      </w:r>
      <w:r>
        <w:t>mA Active mode consumption</w:t>
      </w:r>
    </w:p>
    <w:p w14:paraId="0090D101" w14:textId="3699F21E" w:rsidR="001F02CB" w:rsidRDefault="001F02CB" w:rsidP="001F02CB">
      <w:pPr>
        <w:pStyle w:val="Nagwek3"/>
      </w:pPr>
      <w:bookmarkStart w:id="19" w:name="_Toc460673427"/>
      <w:r>
        <w:t>Frequency ranges</w:t>
      </w:r>
      <w:bookmarkEnd w:id="19"/>
    </w:p>
    <w:p w14:paraId="182EF8E1" w14:textId="326BE4CC" w:rsidR="001F02CB" w:rsidRDefault="00F4779F" w:rsidP="006C3B87">
      <w:pPr>
        <w:pStyle w:val="Akapitzlist"/>
        <w:numPr>
          <w:ilvl w:val="0"/>
          <w:numId w:val="10"/>
        </w:numPr>
      </w:pPr>
      <w:r>
        <w:t>&gt;</w:t>
      </w:r>
      <w:r w:rsidR="006C3B87">
        <w:t>100Kbps data rates</w:t>
      </w:r>
    </w:p>
    <w:p w14:paraId="688DCD8A" w14:textId="111DB94A" w:rsidR="001F02CB" w:rsidRDefault="001F02CB" w:rsidP="001F02CB">
      <w:pPr>
        <w:pStyle w:val="Nagwek3"/>
      </w:pPr>
      <w:bookmarkStart w:id="20" w:name="_Toc460673428"/>
      <w:r>
        <w:t>Dimensions</w:t>
      </w:r>
      <w:bookmarkEnd w:id="20"/>
    </w:p>
    <w:p w14:paraId="3C5A1071" w14:textId="4FCD6A8F" w:rsidR="006C3B87" w:rsidRPr="006C3B87" w:rsidRDefault="009C5380" w:rsidP="00F4779F">
      <w:pPr>
        <w:pStyle w:val="Akapitzlist"/>
        <w:numPr>
          <w:ilvl w:val="0"/>
          <w:numId w:val="13"/>
        </w:numPr>
      </w:pPr>
      <w:r>
        <w:t>&lt; 2 cm</w:t>
      </w:r>
      <w:r w:rsidRPr="00F4779F">
        <w:rPr>
          <w:vertAlign w:val="superscript"/>
        </w:rPr>
        <w:t>2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bookmarkStart w:id="21" w:name="_Toc460673429"/>
      <w:r>
        <w:t>Components comparision</w:t>
      </w:r>
      <w:bookmarkEnd w:id="21"/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bookmarkStart w:id="22" w:name="_Toc460673430"/>
      <w:r>
        <w:t>Manufacturers list</w:t>
      </w:r>
      <w:bookmarkEnd w:id="22"/>
    </w:p>
    <w:p w14:paraId="3B4D7B9F" w14:textId="55E1A776" w:rsidR="001F02CB" w:rsidRDefault="003113A5" w:rsidP="003113A5">
      <w:pPr>
        <w:pStyle w:val="Akapitzlist"/>
        <w:numPr>
          <w:ilvl w:val="0"/>
          <w:numId w:val="15"/>
        </w:numPr>
      </w:pPr>
      <w:r>
        <w:t>Texas Instruments</w:t>
      </w:r>
    </w:p>
    <w:p w14:paraId="4CE24577" w14:textId="1B6181CE" w:rsidR="003113A5" w:rsidRDefault="003113A5" w:rsidP="003113A5">
      <w:pPr>
        <w:pStyle w:val="Akapitzlist"/>
        <w:numPr>
          <w:ilvl w:val="0"/>
          <w:numId w:val="15"/>
        </w:numPr>
      </w:pPr>
      <w:r>
        <w:t>Maxim Integrated</w:t>
      </w:r>
    </w:p>
    <w:p w14:paraId="06BD753C" w14:textId="019BC41F" w:rsidR="003113A5" w:rsidRDefault="003113A5" w:rsidP="003113A5">
      <w:pPr>
        <w:pStyle w:val="Akapitzlist"/>
        <w:numPr>
          <w:ilvl w:val="0"/>
          <w:numId w:val="15"/>
        </w:numPr>
      </w:pPr>
      <w:r>
        <w:t>Linear Technology</w:t>
      </w:r>
    </w:p>
    <w:p w14:paraId="4FBF9820" w14:textId="77777777" w:rsidR="003113A5" w:rsidRDefault="003113A5" w:rsidP="001F02CB"/>
    <w:p w14:paraId="4B86976A" w14:textId="6AEEA212" w:rsidR="001F02CB" w:rsidRPr="001F02CB" w:rsidRDefault="001F02CB" w:rsidP="001F02CB">
      <w:pPr>
        <w:pStyle w:val="Nagwek3"/>
      </w:pPr>
      <w:bookmarkStart w:id="23" w:name="_Toc460673431"/>
      <w:r>
        <w:t>Comparison table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63"/>
        <w:gridCol w:w="1502"/>
        <w:gridCol w:w="1257"/>
        <w:gridCol w:w="1500"/>
        <w:gridCol w:w="1116"/>
        <w:gridCol w:w="1363"/>
        <w:gridCol w:w="849"/>
      </w:tblGrid>
      <w:tr w:rsidR="00B97779" w14:paraId="0B269F20" w14:textId="7D59B215" w:rsidTr="00B97779">
        <w:tc>
          <w:tcPr>
            <w:tcW w:w="1763" w:type="dxa"/>
          </w:tcPr>
          <w:p w14:paraId="6CC7A16C" w14:textId="76E298CF" w:rsidR="00B97779" w:rsidRDefault="00B97779" w:rsidP="005A1287">
            <w:pPr>
              <w:tabs>
                <w:tab w:val="center" w:pos="671"/>
              </w:tabs>
            </w:pPr>
            <w:r>
              <w:t>Part Code</w:t>
            </w:r>
            <w:r>
              <w:tab/>
            </w:r>
          </w:p>
        </w:tc>
        <w:tc>
          <w:tcPr>
            <w:tcW w:w="1502" w:type="dxa"/>
          </w:tcPr>
          <w:p w14:paraId="4188A219" w14:textId="39496AA8" w:rsidR="00B97779" w:rsidRDefault="00B97779" w:rsidP="00444DC0">
            <w:r>
              <w:t>Manufacturer</w:t>
            </w:r>
          </w:p>
        </w:tc>
        <w:tc>
          <w:tcPr>
            <w:tcW w:w="1257" w:type="dxa"/>
          </w:tcPr>
          <w:p w14:paraId="31BF6848" w14:textId="75B381F5" w:rsidR="00B97779" w:rsidRDefault="00B97779" w:rsidP="00444DC0">
            <w:r>
              <w:t>Available</w:t>
            </w:r>
          </w:p>
        </w:tc>
        <w:tc>
          <w:tcPr>
            <w:tcW w:w="1500" w:type="dxa"/>
          </w:tcPr>
          <w:p w14:paraId="17106BC6" w14:textId="6D59BF04" w:rsidR="00B97779" w:rsidRDefault="00B97779" w:rsidP="005A1287">
            <w:r>
              <w:t>Price/1unit($)</w:t>
            </w:r>
          </w:p>
        </w:tc>
        <w:tc>
          <w:tcPr>
            <w:tcW w:w="1116" w:type="dxa"/>
          </w:tcPr>
          <w:p w14:paraId="6C0347B2" w14:textId="130C6489" w:rsidR="00B97779" w:rsidRDefault="00B97779" w:rsidP="00444DC0">
            <w:r>
              <w:t>Meets Non-Func Req</w:t>
            </w:r>
          </w:p>
        </w:tc>
        <w:tc>
          <w:tcPr>
            <w:tcW w:w="1363" w:type="dxa"/>
          </w:tcPr>
          <w:p w14:paraId="54E25D6A" w14:textId="01E0707C" w:rsidR="00B97779" w:rsidRDefault="00B97779" w:rsidP="00444DC0">
            <w:r>
              <w:t>Publication Date</w:t>
            </w:r>
          </w:p>
        </w:tc>
        <w:tc>
          <w:tcPr>
            <w:tcW w:w="849" w:type="dxa"/>
          </w:tcPr>
          <w:p w14:paraId="7511CB68" w14:textId="0395F28D" w:rsidR="00B97779" w:rsidRDefault="003F61B7" w:rsidP="00444DC0">
            <w:r>
              <w:t>Extras</w:t>
            </w:r>
          </w:p>
        </w:tc>
      </w:tr>
      <w:tr w:rsidR="00B97779" w14:paraId="71CFF254" w14:textId="0FE016AC" w:rsidTr="00B97779">
        <w:tc>
          <w:tcPr>
            <w:tcW w:w="1763" w:type="dxa"/>
          </w:tcPr>
          <w:p w14:paraId="63B34C84" w14:textId="25F95F4F" w:rsidR="00B97779" w:rsidRDefault="00B97779" w:rsidP="00444DC0">
            <w:r>
              <w:t>SN65HVD1781-Q1</w:t>
            </w:r>
          </w:p>
        </w:tc>
        <w:tc>
          <w:tcPr>
            <w:tcW w:w="1502" w:type="dxa"/>
          </w:tcPr>
          <w:p w14:paraId="708B3F23" w14:textId="1922CFF0" w:rsidR="00B97779" w:rsidRDefault="00B97779" w:rsidP="00444DC0">
            <w:r>
              <w:t>Texas Instruments</w:t>
            </w:r>
          </w:p>
        </w:tc>
        <w:tc>
          <w:tcPr>
            <w:tcW w:w="1257" w:type="dxa"/>
          </w:tcPr>
          <w:p w14:paraId="29022417" w14:textId="7D297A62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522F624B" w14:textId="7A4FE97D" w:rsidR="00B97779" w:rsidRDefault="00B97779" w:rsidP="00444DC0">
            <w:r>
              <w:t>4.55</w:t>
            </w:r>
          </w:p>
        </w:tc>
        <w:tc>
          <w:tcPr>
            <w:tcW w:w="1116" w:type="dxa"/>
          </w:tcPr>
          <w:p w14:paraId="7EDAAC36" w14:textId="098371CF" w:rsidR="00B97779" w:rsidRDefault="00B97779" w:rsidP="00444DC0">
            <w:r>
              <w:t>Y</w:t>
            </w:r>
          </w:p>
        </w:tc>
        <w:tc>
          <w:tcPr>
            <w:tcW w:w="1363" w:type="dxa"/>
          </w:tcPr>
          <w:p w14:paraId="260D9312" w14:textId="3A9C3F28" w:rsidR="00B97779" w:rsidRDefault="00B97779" w:rsidP="00444DC0">
            <w:r>
              <w:t>2010</w:t>
            </w:r>
          </w:p>
        </w:tc>
        <w:tc>
          <w:tcPr>
            <w:tcW w:w="849" w:type="dxa"/>
          </w:tcPr>
          <w:p w14:paraId="22D275B7" w14:textId="6502C690" w:rsidR="00B97779" w:rsidRDefault="003F61B7" w:rsidP="003F61B7">
            <w:r>
              <w:t>320 Nodes, 1Mbps</w:t>
            </w:r>
          </w:p>
        </w:tc>
      </w:tr>
      <w:tr w:rsidR="00B97779" w14:paraId="69050854" w14:textId="76D25D65" w:rsidTr="00B97779">
        <w:tc>
          <w:tcPr>
            <w:tcW w:w="1763" w:type="dxa"/>
          </w:tcPr>
          <w:p w14:paraId="519063B8" w14:textId="020A70CE" w:rsidR="00B97779" w:rsidRDefault="00B97779" w:rsidP="00444DC0">
            <w:r>
              <w:t>LTC1480</w:t>
            </w:r>
          </w:p>
        </w:tc>
        <w:tc>
          <w:tcPr>
            <w:tcW w:w="1502" w:type="dxa"/>
          </w:tcPr>
          <w:p w14:paraId="2B4E7691" w14:textId="18AE3A6A" w:rsidR="00B97779" w:rsidRDefault="00B97779" w:rsidP="00444DC0">
            <w:r>
              <w:t>Linear Technology</w:t>
            </w:r>
          </w:p>
        </w:tc>
        <w:tc>
          <w:tcPr>
            <w:tcW w:w="1257" w:type="dxa"/>
          </w:tcPr>
          <w:p w14:paraId="7C2761A7" w14:textId="316F06FB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0DDA40BA" w14:textId="1096BFD5" w:rsidR="00B97779" w:rsidRDefault="00B97779" w:rsidP="00444DC0">
            <w:r>
              <w:t>5.15</w:t>
            </w:r>
          </w:p>
        </w:tc>
        <w:tc>
          <w:tcPr>
            <w:tcW w:w="1116" w:type="dxa"/>
          </w:tcPr>
          <w:p w14:paraId="08F1D932" w14:textId="11C2D56C" w:rsidR="00B97779" w:rsidRDefault="00B97779" w:rsidP="00444DC0">
            <w:r>
              <w:t>Y</w:t>
            </w:r>
          </w:p>
        </w:tc>
        <w:tc>
          <w:tcPr>
            <w:tcW w:w="1363" w:type="dxa"/>
          </w:tcPr>
          <w:p w14:paraId="4125FA6D" w14:textId="77777777" w:rsidR="00B97779" w:rsidRDefault="00B97779" w:rsidP="00444DC0"/>
        </w:tc>
        <w:tc>
          <w:tcPr>
            <w:tcW w:w="849" w:type="dxa"/>
          </w:tcPr>
          <w:p w14:paraId="7F55DB68" w14:textId="519FEFB2" w:rsidR="00B97779" w:rsidRDefault="003F61B7" w:rsidP="00444DC0">
            <w:r>
              <w:t>Very low power</w:t>
            </w:r>
          </w:p>
        </w:tc>
      </w:tr>
      <w:tr w:rsidR="00B97779" w14:paraId="1D08EF8B" w14:textId="35991C3A" w:rsidTr="00B97779">
        <w:tc>
          <w:tcPr>
            <w:tcW w:w="1763" w:type="dxa"/>
          </w:tcPr>
          <w:p w14:paraId="011D6B77" w14:textId="4F019314" w:rsidR="00B97779" w:rsidRDefault="00B97779" w:rsidP="00444DC0">
            <w:r w:rsidRPr="00B97779">
              <w:t>MAX3483ECSA+T</w:t>
            </w:r>
          </w:p>
        </w:tc>
        <w:tc>
          <w:tcPr>
            <w:tcW w:w="1502" w:type="dxa"/>
          </w:tcPr>
          <w:p w14:paraId="60B06BC0" w14:textId="4D88D855" w:rsidR="00B97779" w:rsidRDefault="00B97779" w:rsidP="00444DC0">
            <w:r w:rsidRPr="00B97779">
              <w:t>Maxim Integrated</w:t>
            </w:r>
          </w:p>
        </w:tc>
        <w:tc>
          <w:tcPr>
            <w:tcW w:w="1257" w:type="dxa"/>
          </w:tcPr>
          <w:p w14:paraId="6B229571" w14:textId="7B9829B8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28CBFC8C" w14:textId="0365FD8A" w:rsidR="00B97779" w:rsidRDefault="00B97779" w:rsidP="00444DC0">
            <w:r>
              <w:t>5.22</w:t>
            </w:r>
          </w:p>
        </w:tc>
        <w:tc>
          <w:tcPr>
            <w:tcW w:w="1116" w:type="dxa"/>
          </w:tcPr>
          <w:p w14:paraId="34A4614D" w14:textId="1C106BFC" w:rsidR="00B97779" w:rsidRDefault="003F61B7" w:rsidP="00444DC0">
            <w:r>
              <w:t>Y</w:t>
            </w:r>
          </w:p>
        </w:tc>
        <w:tc>
          <w:tcPr>
            <w:tcW w:w="1363" w:type="dxa"/>
          </w:tcPr>
          <w:p w14:paraId="213583AB" w14:textId="77777777" w:rsidR="00B97779" w:rsidRDefault="00B97779" w:rsidP="00444DC0"/>
        </w:tc>
        <w:tc>
          <w:tcPr>
            <w:tcW w:w="849" w:type="dxa"/>
          </w:tcPr>
          <w:p w14:paraId="4DDCACB8" w14:textId="6ACEBB50" w:rsidR="00B97779" w:rsidRPr="003F61B7" w:rsidRDefault="003F61B7" w:rsidP="003F61B7">
            <w:pPr>
              <w:rPr>
                <w:lang w:val="en-GB"/>
              </w:rPr>
            </w:pPr>
            <w:r w:rsidRPr="003F61B7">
              <w:rPr>
                <w:lang w:val="en-GB"/>
              </w:rPr>
              <w:t>Slew-rate redo, EMI filter</w:t>
            </w:r>
          </w:p>
        </w:tc>
      </w:tr>
      <w:tr w:rsidR="00B97779" w14:paraId="2A3C0F41" w14:textId="37E33A93" w:rsidTr="00B97779">
        <w:tc>
          <w:tcPr>
            <w:tcW w:w="1763" w:type="dxa"/>
          </w:tcPr>
          <w:p w14:paraId="7ADA78B7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2A5600CA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4069060C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1819CAD6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30872A5E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4C711B95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234AF7BD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  <w:tr w:rsidR="00B97779" w14:paraId="12DD4711" w14:textId="3EA937FA" w:rsidTr="00B97779">
        <w:tc>
          <w:tcPr>
            <w:tcW w:w="1763" w:type="dxa"/>
          </w:tcPr>
          <w:p w14:paraId="5D21E835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78D630E9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4C1F5DE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6A62E333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6EB30BC4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65D76226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7CD55074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  <w:tr w:rsidR="00B97779" w14:paraId="17C7DC8A" w14:textId="04D88AA0" w:rsidTr="00B97779">
        <w:tc>
          <w:tcPr>
            <w:tcW w:w="1763" w:type="dxa"/>
          </w:tcPr>
          <w:p w14:paraId="4DFC02EF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80967A9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7BDA9A41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0C5CA3F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590B8B1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2AE46A1E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024ABE12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</w:tbl>
    <w:p w14:paraId="597B7E43" w14:textId="786AC747" w:rsidR="001F02CB" w:rsidRDefault="001F02CB" w:rsidP="00444DC0"/>
    <w:p w14:paraId="336BEFF8" w14:textId="5EA2583F" w:rsidR="001F02CB" w:rsidRDefault="001F02CB">
      <w:r>
        <w:br w:type="page"/>
      </w:r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bookmarkStart w:id="24" w:name="_Toc460673432"/>
      <w:r>
        <w:t>Component selection</w:t>
      </w:r>
      <w:bookmarkEnd w:id="24"/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bookmarkStart w:id="25" w:name="_Toc460673433"/>
      <w:r>
        <w:t>Matching components list</w:t>
      </w:r>
      <w:bookmarkEnd w:id="25"/>
    </w:p>
    <w:p w14:paraId="4591825A" w14:textId="7D8E1E7A" w:rsidR="001F02CB" w:rsidRDefault="005348A0" w:rsidP="005348A0">
      <w:pPr>
        <w:pStyle w:val="Akapitzlist"/>
        <w:numPr>
          <w:ilvl w:val="0"/>
          <w:numId w:val="17"/>
        </w:numPr>
      </w:pPr>
      <w:r>
        <w:t>SN65HVD1781-Q1</w:t>
      </w:r>
    </w:p>
    <w:p w14:paraId="50342994" w14:textId="7DE517B3" w:rsidR="005348A0" w:rsidRDefault="005348A0" w:rsidP="005348A0">
      <w:pPr>
        <w:pStyle w:val="Akapitzlist"/>
        <w:numPr>
          <w:ilvl w:val="0"/>
          <w:numId w:val="17"/>
        </w:numPr>
      </w:pPr>
      <w:r>
        <w:t>LTC1480</w:t>
      </w:r>
    </w:p>
    <w:p w14:paraId="58CB2576" w14:textId="18142646" w:rsidR="005348A0" w:rsidRDefault="005348A0" w:rsidP="005348A0">
      <w:pPr>
        <w:pStyle w:val="Akapitzlist"/>
        <w:numPr>
          <w:ilvl w:val="0"/>
          <w:numId w:val="17"/>
        </w:numPr>
      </w:pPr>
      <w:r w:rsidRPr="00B97779">
        <w:t>MAX3483ECSA+T</w:t>
      </w:r>
      <w:r w:rsidR="00727D78">
        <w:t xml:space="preserve">  </w:t>
      </w:r>
    </w:p>
    <w:p w14:paraId="49042DE7" w14:textId="77777777" w:rsidR="005348A0" w:rsidRDefault="005348A0" w:rsidP="001F02CB"/>
    <w:p w14:paraId="60EEC51D" w14:textId="2292A562" w:rsidR="001F02CB" w:rsidRDefault="001F02CB" w:rsidP="001F02CB">
      <w:pPr>
        <w:pStyle w:val="Nagwek3"/>
      </w:pPr>
      <w:bookmarkStart w:id="26" w:name="_Toc460673434"/>
      <w:r>
        <w:t>Optimization goals</w:t>
      </w:r>
      <w:bookmarkEnd w:id="26"/>
    </w:p>
    <w:p w14:paraId="6EDF5A12" w14:textId="6B2145BF" w:rsidR="005348A0" w:rsidRDefault="005348A0" w:rsidP="005348A0">
      <w:pPr>
        <w:pStyle w:val="Akapitzlist"/>
        <w:numPr>
          <w:ilvl w:val="0"/>
          <w:numId w:val="16"/>
        </w:numPr>
      </w:pPr>
      <w:r>
        <w:t>Price for single unit</w:t>
      </w:r>
    </w:p>
    <w:p w14:paraId="767DA74C" w14:textId="30A3EAC8" w:rsidR="005348A0" w:rsidRPr="005348A0" w:rsidRDefault="005348A0" w:rsidP="005348A0">
      <w:pPr>
        <w:pStyle w:val="Akapitzlist"/>
        <w:numPr>
          <w:ilvl w:val="0"/>
          <w:numId w:val="16"/>
        </w:numPr>
      </w:pPr>
      <w:r>
        <w:t>Favor extra features for comparably priced units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bookmarkStart w:id="27" w:name="_Toc460673435"/>
      <w:r>
        <w:t>Component specification</w:t>
      </w:r>
      <w:bookmarkEnd w:id="27"/>
    </w:p>
    <w:p w14:paraId="100B96C7" w14:textId="77777777" w:rsidR="005348A0" w:rsidRPr="005348A0" w:rsidRDefault="005348A0" w:rsidP="005348A0">
      <w:pPr>
        <w:pStyle w:val="Akapitzlist"/>
        <w:numPr>
          <w:ilvl w:val="0"/>
          <w:numId w:val="22"/>
        </w:numPr>
        <w:rPr>
          <w:b/>
          <w:sz w:val="28"/>
        </w:rPr>
      </w:pPr>
      <w:r w:rsidRPr="005348A0">
        <w:rPr>
          <w:b/>
          <w:sz w:val="28"/>
        </w:rPr>
        <w:t>SN65HVD1781-Q1</w:t>
      </w:r>
    </w:p>
    <w:p w14:paraId="460CC7B5" w14:textId="791E9562" w:rsidR="005348A0" w:rsidRPr="005348A0" w:rsidRDefault="005348A0" w:rsidP="005348A0">
      <w:pPr>
        <w:pStyle w:val="Akapitzlist"/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Qualified for Automotive Applications</w:t>
      </w:r>
    </w:p>
    <w:p w14:paraId="735648A3" w14:textId="030BD4A2" w:rsidR="005348A0" w:rsidRPr="005348A0" w:rsidRDefault="005348A0" w:rsidP="005348A0">
      <w:pPr>
        <w:pStyle w:val="Akapitzlist"/>
        <w:numPr>
          <w:ilvl w:val="0"/>
          <w:numId w:val="19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AEC-Q100 Qualified With the Following Results</w:t>
      </w:r>
    </w:p>
    <w:p w14:paraId="502D85E8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Device Temperature Grade 1: </w:t>
      </w: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  <w:t>–40°C to 125°C Ambient Operating Temperature Range</w:t>
      </w:r>
    </w:p>
    <w:p w14:paraId="7D76F64F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Device HBM ESD Classification Level H2</w:t>
      </w:r>
    </w:p>
    <w:p w14:paraId="57D43D84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Device CDM ESG Classification Level C3B</w:t>
      </w:r>
    </w:p>
    <w:p w14:paraId="0448E4DF" w14:textId="54AB637D" w:rsidR="005348A0" w:rsidRPr="005348A0" w:rsidRDefault="005348A0" w:rsidP="005348A0">
      <w:pPr>
        <w:pStyle w:val="Akapitzlist"/>
        <w:numPr>
          <w:ilvl w:val="0"/>
          <w:numId w:val="20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Bus-Pin Fault Protection to:</w:t>
      </w:r>
    </w:p>
    <w:p w14:paraId="7B80F269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&gt; ±70 V ('HVD1780-Q1, 'HVD1781-Q1)</w:t>
      </w:r>
    </w:p>
    <w:p w14:paraId="1CE09737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&gt; ±30 V ('HVD1782-Q1)</w:t>
      </w:r>
    </w:p>
    <w:p w14:paraId="6F15D033" w14:textId="2BFF7A7C" w:rsidR="005348A0" w:rsidRPr="005348A0" w:rsidRDefault="005348A0" w:rsidP="005348A0">
      <w:pPr>
        <w:pStyle w:val="Akapitzlist"/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Operation With 3.3-V to 5-V Supply Range </w:t>
      </w:r>
    </w:p>
    <w:p w14:paraId="32E12FB6" w14:textId="743B57E2" w:rsidR="005348A0" w:rsidRPr="005348A0" w:rsidRDefault="005348A0" w:rsidP="005348A0">
      <w:pPr>
        <w:pStyle w:val="Akapitzlist"/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±16-kV HBM Protection on Bus Pins </w:t>
      </w:r>
    </w:p>
    <w:p w14:paraId="03F02446" w14:textId="23685EDF" w:rsidR="005348A0" w:rsidRPr="005348A0" w:rsidRDefault="005348A0" w:rsidP="005348A0">
      <w:pPr>
        <w:pStyle w:val="Akapitzlist"/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Reduced Unit Load for up to 320 Nodes </w:t>
      </w:r>
    </w:p>
    <w:p w14:paraId="2EAC4C06" w14:textId="3A08CA97" w:rsidR="005348A0" w:rsidRPr="005348A0" w:rsidRDefault="005348A0" w:rsidP="005348A0">
      <w:pPr>
        <w:pStyle w:val="Akapitzlist"/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Failsafe Receiver for Open-Circuit, Short-Circuit and Idle-Bus Conditions </w:t>
      </w:r>
    </w:p>
    <w:p w14:paraId="22ED5DAB" w14:textId="3F491CB3" w:rsidR="005348A0" w:rsidRPr="005348A0" w:rsidRDefault="005348A0" w:rsidP="005348A0">
      <w:pPr>
        <w:pStyle w:val="Akapitzlist"/>
        <w:numPr>
          <w:ilvl w:val="0"/>
          <w:numId w:val="21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Low Power Consumption</w:t>
      </w:r>
    </w:p>
    <w:p w14:paraId="072F3AA6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Low Standby Supply Current, 1 </w:t>
      </w: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μ</w:t>
      </w: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A Maximum</w:t>
      </w:r>
    </w:p>
    <w:p w14:paraId="39E99765" w14:textId="77777777" w:rsidR="005348A0" w:rsidRPr="005348A0" w:rsidRDefault="005348A0" w:rsidP="005348A0">
      <w:pPr>
        <w:numPr>
          <w:ilvl w:val="0"/>
          <w:numId w:val="2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I</w:t>
      </w:r>
      <w:r w:rsidRPr="005348A0">
        <w:rPr>
          <w:rFonts w:ascii="Times New Roman" w:eastAsia="Times New Roman" w:hAnsi="Times New Roman" w:cs="Times New Roman"/>
          <w:sz w:val="24"/>
          <w:szCs w:val="24"/>
          <w:vertAlign w:val="subscript"/>
          <w:lang w:val="pl-PL" w:eastAsia="pl-PL"/>
        </w:rPr>
        <w:t>CC</w:t>
      </w:r>
      <w:r w:rsidRPr="005348A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4-mA Quiescent During Operation</w:t>
      </w:r>
    </w:p>
    <w:p w14:paraId="37489768" w14:textId="608ACAEB" w:rsidR="005348A0" w:rsidRDefault="005348A0" w:rsidP="005348A0">
      <w:pPr>
        <w:pStyle w:val="Akapitzlist"/>
        <w:numPr>
          <w:ilvl w:val="0"/>
          <w:numId w:val="22"/>
        </w:numPr>
      </w:pPr>
      <w:r w:rsidRPr="005348A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Pin-Compatible With Industry-Standard SN75176</w:t>
      </w:r>
    </w:p>
    <w:p w14:paraId="74095D44" w14:textId="7546C6E1" w:rsidR="00444DC0" w:rsidRDefault="00444DC0">
      <w:r>
        <w:br w:type="page"/>
      </w:r>
    </w:p>
    <w:p w14:paraId="67D33089" w14:textId="62DA42AB" w:rsidR="00444DC0" w:rsidRDefault="0080046B" w:rsidP="00444DC0">
      <w:pPr>
        <w:pStyle w:val="Nagwek1"/>
      </w:pPr>
      <w:bookmarkStart w:id="28" w:name="_Toc460673436"/>
      <w:r>
        <w:lastRenderedPageBreak/>
        <w:t>Circuit model</w:t>
      </w:r>
      <w:bookmarkEnd w:id="28"/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bookmarkStart w:id="29" w:name="_Toc460673437"/>
      <w:r>
        <w:t>Block diagram</w:t>
      </w:r>
      <w:bookmarkEnd w:id="29"/>
    </w:p>
    <w:p w14:paraId="600A84A5" w14:textId="5483DFBF" w:rsidR="0080046B" w:rsidRDefault="0080046B" w:rsidP="0080046B"/>
    <w:p w14:paraId="622B763B" w14:textId="3A4A9B8F" w:rsidR="00D562AA" w:rsidRDefault="00D562AA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bookmarkStart w:id="30" w:name="_Toc460673438"/>
      <w:r>
        <w:lastRenderedPageBreak/>
        <w:t xml:space="preserve">Circuit </w:t>
      </w:r>
      <w:r w:rsidR="001F02CB">
        <w:t>drawing</w:t>
      </w:r>
      <w:bookmarkEnd w:id="30"/>
    </w:p>
    <w:p w14:paraId="0288305F" w14:textId="206A4790" w:rsidR="00444DC0" w:rsidRDefault="00706CF8" w:rsidP="00444DC0">
      <w:r w:rsidRPr="00706CF8">
        <w:rPr>
          <w:noProof/>
          <w:lang w:val="pl-PL" w:eastAsia="pl-PL"/>
        </w:rPr>
        <w:drawing>
          <wp:inline distT="0" distB="0" distL="0" distR="0" wp14:anchorId="01276392" wp14:editId="7DC42312">
            <wp:extent cx="5943600" cy="1307683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bookmarkStart w:id="31" w:name="_Toc460673439"/>
      <w:r>
        <w:lastRenderedPageBreak/>
        <w:t>Circuit simulation results</w:t>
      </w:r>
      <w:bookmarkEnd w:id="31"/>
    </w:p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bookmarkStart w:id="32" w:name="_Toc460673440"/>
      <w:r>
        <w:lastRenderedPageBreak/>
        <w:t>Implementation notes</w:t>
      </w:r>
      <w:bookmarkEnd w:id="32"/>
    </w:p>
    <w:p w14:paraId="53ADD74C" w14:textId="77777777" w:rsidR="00481BB6" w:rsidRDefault="00481BB6" w:rsidP="00481BB6">
      <w:pPr>
        <w:pStyle w:val="Akapitzlist"/>
        <w:numPr>
          <w:ilvl w:val="1"/>
          <w:numId w:val="21"/>
        </w:numPr>
      </w:pPr>
      <w:r>
        <w:t>Differential pair of A/B signals between transceiver output and connector. Keep as short as possible.</w:t>
      </w:r>
    </w:p>
    <w:p w14:paraId="4F2951C7" w14:textId="77777777" w:rsidR="00481BB6" w:rsidRDefault="00481BB6" w:rsidP="00481BB6">
      <w:pPr>
        <w:pStyle w:val="Akapitzlist"/>
        <w:ind w:left="1440"/>
      </w:pP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33" w:name="_Toc460673441"/>
      <w:r>
        <w:lastRenderedPageBreak/>
        <w:t>Issues and concerns</w:t>
      </w:r>
      <w:bookmarkEnd w:id="3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7DA3" w14:textId="77777777" w:rsidR="00B97779" w:rsidRDefault="00B97779" w:rsidP="005E24BB">
      <w:pPr>
        <w:spacing w:before="0" w:after="0" w:line="240" w:lineRule="auto"/>
      </w:pPr>
      <w:r>
        <w:separator/>
      </w:r>
    </w:p>
  </w:endnote>
  <w:endnote w:type="continuationSeparator" w:id="0">
    <w:p w14:paraId="53FAF5A9" w14:textId="77777777" w:rsidR="00B97779" w:rsidRDefault="00B97779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B97779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5E644602" w:rsidR="00B97779" w:rsidRDefault="00B97779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727D78">
            <w:rPr>
              <w:rStyle w:val="Numerstrony"/>
              <w:rFonts w:ascii="Arial" w:hAnsi="Arial" w:cs="Arial"/>
              <w:noProof/>
            </w:rPr>
            <w:t>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727D78">
            <w:rPr>
              <w:rStyle w:val="Numerstrony"/>
              <w:rFonts w:ascii="Arial" w:hAnsi="Arial" w:cs="Arial"/>
              <w:noProof/>
            </w:rPr>
            <w:t>15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B97779" w:rsidRDefault="00B977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E662" w14:textId="77777777" w:rsidR="00B97779" w:rsidRDefault="00B97779" w:rsidP="005E24BB">
      <w:pPr>
        <w:spacing w:before="0" w:after="0" w:line="240" w:lineRule="auto"/>
      </w:pPr>
      <w:r>
        <w:separator/>
      </w:r>
    </w:p>
  </w:footnote>
  <w:footnote w:type="continuationSeparator" w:id="0">
    <w:p w14:paraId="6ECB66E3" w14:textId="77777777" w:rsidR="00B97779" w:rsidRDefault="00B97779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08EF"/>
    <w:multiLevelType w:val="hybridMultilevel"/>
    <w:tmpl w:val="CA723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40B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8C9"/>
    <w:multiLevelType w:val="hybridMultilevel"/>
    <w:tmpl w:val="D2189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7CD7"/>
    <w:multiLevelType w:val="hybridMultilevel"/>
    <w:tmpl w:val="13C00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6235"/>
    <w:multiLevelType w:val="hybridMultilevel"/>
    <w:tmpl w:val="8DC8A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C54CD"/>
    <w:multiLevelType w:val="multilevel"/>
    <w:tmpl w:val="EC3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52222"/>
    <w:multiLevelType w:val="hybridMultilevel"/>
    <w:tmpl w:val="EC366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359E3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C348B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649BD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036F3"/>
    <w:multiLevelType w:val="multilevel"/>
    <w:tmpl w:val="286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F1C92"/>
    <w:multiLevelType w:val="hybridMultilevel"/>
    <w:tmpl w:val="92F69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04E46"/>
    <w:multiLevelType w:val="hybridMultilevel"/>
    <w:tmpl w:val="5628A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692B"/>
    <w:multiLevelType w:val="multilevel"/>
    <w:tmpl w:val="C88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801C7"/>
    <w:multiLevelType w:val="hybridMultilevel"/>
    <w:tmpl w:val="96F26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45A22"/>
    <w:multiLevelType w:val="hybridMultilevel"/>
    <w:tmpl w:val="485C6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21"/>
  </w:num>
  <w:num w:numId="10">
    <w:abstractNumId w:val="10"/>
  </w:num>
  <w:num w:numId="11">
    <w:abstractNumId w:val="4"/>
  </w:num>
  <w:num w:numId="12">
    <w:abstractNumId w:val="17"/>
  </w:num>
  <w:num w:numId="13">
    <w:abstractNumId w:val="14"/>
  </w:num>
  <w:num w:numId="14">
    <w:abstractNumId w:val="1"/>
  </w:num>
  <w:num w:numId="15">
    <w:abstractNumId w:val="13"/>
  </w:num>
  <w:num w:numId="16">
    <w:abstractNumId w:val="7"/>
  </w:num>
  <w:num w:numId="17">
    <w:abstractNumId w:val="2"/>
  </w:num>
  <w:num w:numId="18">
    <w:abstractNumId w:val="11"/>
  </w:num>
  <w:num w:numId="19">
    <w:abstractNumId w:val="8"/>
  </w:num>
  <w:num w:numId="20">
    <w:abstractNumId w:val="1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1546E3"/>
    <w:rsid w:val="00182682"/>
    <w:rsid w:val="001A46E4"/>
    <w:rsid w:val="001F02CB"/>
    <w:rsid w:val="002439A0"/>
    <w:rsid w:val="002D6F67"/>
    <w:rsid w:val="003113A5"/>
    <w:rsid w:val="003B5A11"/>
    <w:rsid w:val="003E490B"/>
    <w:rsid w:val="003F61B7"/>
    <w:rsid w:val="00444DC0"/>
    <w:rsid w:val="00481BB6"/>
    <w:rsid w:val="004E2094"/>
    <w:rsid w:val="004E5EF2"/>
    <w:rsid w:val="005348A0"/>
    <w:rsid w:val="005654D5"/>
    <w:rsid w:val="0058562C"/>
    <w:rsid w:val="005973E1"/>
    <w:rsid w:val="005A1287"/>
    <w:rsid w:val="005E24BB"/>
    <w:rsid w:val="005E4D68"/>
    <w:rsid w:val="006758E5"/>
    <w:rsid w:val="006C3B87"/>
    <w:rsid w:val="00706CF8"/>
    <w:rsid w:val="00727D78"/>
    <w:rsid w:val="00761D34"/>
    <w:rsid w:val="0080046B"/>
    <w:rsid w:val="00814CDB"/>
    <w:rsid w:val="0086588C"/>
    <w:rsid w:val="0094646B"/>
    <w:rsid w:val="00997067"/>
    <w:rsid w:val="009C5380"/>
    <w:rsid w:val="00A00EAC"/>
    <w:rsid w:val="00A036E8"/>
    <w:rsid w:val="00A42E7C"/>
    <w:rsid w:val="00A54A05"/>
    <w:rsid w:val="00A6410B"/>
    <w:rsid w:val="00A71B58"/>
    <w:rsid w:val="00A87217"/>
    <w:rsid w:val="00B711CD"/>
    <w:rsid w:val="00B97779"/>
    <w:rsid w:val="00BC67AE"/>
    <w:rsid w:val="00C16F1A"/>
    <w:rsid w:val="00C2557F"/>
    <w:rsid w:val="00C40D0E"/>
    <w:rsid w:val="00C440A7"/>
    <w:rsid w:val="00C66648"/>
    <w:rsid w:val="00C72DE7"/>
    <w:rsid w:val="00D01F17"/>
    <w:rsid w:val="00D07F81"/>
    <w:rsid w:val="00D562AA"/>
    <w:rsid w:val="00D97EF0"/>
    <w:rsid w:val="00DA08E1"/>
    <w:rsid w:val="00E67052"/>
    <w:rsid w:val="00F4779F"/>
    <w:rsid w:val="00F667A0"/>
    <w:rsid w:val="00F7269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562AA"/>
    <w:pPr>
      <w:spacing w:after="100"/>
      <w:ind w:left="400"/>
    </w:pPr>
  </w:style>
  <w:style w:type="paragraph" w:styleId="Bibliografia">
    <w:name w:val="Bibliography"/>
    <w:basedOn w:val="Normalny"/>
    <w:next w:val="Normalny"/>
    <w:uiPriority w:val="37"/>
    <w:unhideWhenUsed/>
    <w:rsid w:val="0031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Tho08</b:Tag>
    <b:SourceType>Book</b:SourceType>
    <b:Guid>{2C3AA65D-374B-4EF6-88E6-F5CAB04C714E}</b:Guid>
    <b:Author>
      <b:Author>
        <b:NameList>
          <b:Person>
            <b:Last>Kugelstadt</b:Last>
            <b:First>Thomas</b:First>
          </b:Person>
        </b:NameList>
      </b:Author>
    </b:Author>
    <b:Title>The RS-485 Design Guide</b:Title>
    <b:Year>2008</b:Year>
    <b:Publisher>Texas Instruments</b:Publisher>
    <b:URL>http://www.ti.com/lit/an/slla272b/slla272b.pdf</b:URL>
    <b:RefOrder>1</b:RefOrder>
  </b:Source>
</b:Sources>
</file>

<file path=customXml/itemProps1.xml><?xml version="1.0" encoding="utf-8"?>
<ds:datastoreItem xmlns:ds="http://schemas.openxmlformats.org/officeDocument/2006/customXml" ds:itemID="{9E00EABD-8524-4004-A0D0-77891F8B169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5946700-ce56-45ae-8b6f-a3528ba3aa5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4D6E7-5BDF-4721-9EEF-D78FB1AE4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2688</TotalTime>
  <Pages>15</Pages>
  <Words>801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Dominik Guz</cp:lastModifiedBy>
  <cp:revision>12</cp:revision>
  <dcterms:created xsi:type="dcterms:W3CDTF">2016-09-03T10:32:00Z</dcterms:created>
  <dcterms:modified xsi:type="dcterms:W3CDTF">2016-09-05T08:09:00Z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