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pPr>
        <w:pStyle w:val="Subtitle"/>
      </w:pPr>
      <w:r>
        <w:t>Managed payroll operations and transformation services</w:t>
      </w:r>
    </w:p>
    <w:p>
      <w:pPr>
        <w:spacing w:before="80" w:after="320"/>
        <w:ind w:left="432" w:right="432"/>
        <w:jc w:val="center"/>
        <w:shd w:fill="FFF7E6"/>
      </w:pPr>
      <w:r>
        <w:rPr>
          <w:rFonts w:ascii="Calibri" w:hAnsi="Calibri"/>
          <w:b/>
          <w:color w:val="7A5A00"/>
          <w:sz w:val="19"/>
        </w:rPr>
        <w:t>FICTIONAL SAMPLE FOR PRODUCT DEMONSTRATION ONLY. No real parties, employees, payroll records, or legal advice.</w:t>
      </w:r>
    </w:p>
    <w:tbl>
      <w:tblPr>
        <w:tblW w:type="dxa" w:w="9360"/>
        <w:jc w:val="left"/>
        <w:tblLayout w:type="fixed"/>
        <w:tblLook w:firstColumn="1" w:firstRow="1" w:lastColumn="0" w:lastRow="0" w:noHBand="0" w:noVBand="1" w:val="04A0"/>
        <w:tblInd w:type="dxa" w:w="120"/>
      </w:tblPr>
      <w:tblGrid>
        <w:gridCol w:w="1500"/>
        <w:gridCol w:w="3180"/>
        <w:gridCol w:w="1500"/>
        <w:gridCol w:w="3180"/>
      </w:tblGrid>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Reference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DEMO-MSA-2026-014</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Effective date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2 October 2026</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A</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Meridian Workforce Systems Ltd.</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Party B</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Bluehaven Foods plc</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Term</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Initial 24 months; automatic 12-month renewals</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Contract value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Estimated annual fees: GBP 420,000</w:t>
            </w:r>
          </w:p>
        </w:tc>
      </w:tr>
      <w:tr>
        <w:trPr/>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Governing law</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England and Wales</w:t>
            </w:r>
          </w:p>
        </w:tc>
        <w:tc>
          <w:tcPr>
            <w:tcW w:type="dxa" w:w="1500"/>
            <w:vAlign w:val="center"/>
            <w:shd w:fill="E8EEF5"/>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color w:val="1F4D78"/>
                <w:sz w:val="19"/>
              </w:rPr>
              <w:t>Document state</w:t>
            </w:r>
          </w:p>
        </w:tc>
        <w:tc>
          <w:tcPr>
            <w:tcW w:type="dxa" w:w="3180"/>
            <w:vAlign w:val="center"/>
            <w:shd w:fill="FFFFFF"/>
            <w:tcBorders>
              <w:top w:val="single" w:sz="6" w:color="D7DDE5"/>
              <w:left w:val="single" w:sz="6" w:color="D7DDE5"/>
              <w:bottom w:val="single" w:sz="6" w:color="D7DDE5"/>
              <w:right w:val="single" w:sz="6" w:color="D7DDE5"/>
              <w:insideH w:val="single" w:sz="6" w:color="D7DDE5"/>
              <w:insideV w:val="single" w:sz="6" w:color="D7DDE5"/>
            </w:tcBorders>
            <w:tcMar>
              <w:top w:w="80" w:type="dxa"/>
              <w:bottom w:w="80" w:type="dxa"/>
              <w:start w:w="120" w:type="dxa"/>
              <w:end w:w="120" w:type="dxa"/>
            </w:tcMar>
          </w:tcPr>
          <w:p>
            <w:pPr>
              <w:spacing w:after="0"/>
            </w:pPr>
            <w:r>
              <w:rPr>
                <w:rFonts w:ascii="Calibri" w:hAnsi="Calibri"/>
                <w:b w:val="0"/>
                <w:color w:val="13243A"/>
                <w:sz w:val="20"/>
              </w:rPr>
              <w:t>Draft for review</w:t>
            </w:r>
          </w:p>
        </w:tc>
      </w:tr>
    </w:tbl>
    <w:p>
      <w:pPr>
        <w:spacing w:before="320" w:after="200"/>
        <w:jc w:val="both"/>
      </w:pPr>
      <w:r>
        <w:rPr>
          <w:rFonts w:ascii="Calibri" w:hAnsi="Calibri"/>
          <w:color w:val="13243A"/>
          <w:sz w:val="22"/>
        </w:rPr>
        <w:t>This Master Services Agreement (MSA) is made between Meridian Workforce Systems Ltd., a fictional payroll services provider, and Bluehaven Foods plc, a fictional international food group. It establishes the terms under which the parties may enter into statements of work for payroll operations, implementation, integration, and advisory services.</w:t>
      </w:r>
    </w:p>
    <w:p>
      <w:pPr>
        <w:spacing w:before="80" w:after="240"/>
        <w:jc w:val="both"/>
      </w:pPr>
      <w:r>
        <w:rPr>
          <w:rFonts w:ascii="Calibri" w:hAnsi="Calibri"/>
          <w:b/>
          <w:color w:val="13243A"/>
          <w:sz w:val="22"/>
        </w:rPr>
        <w:t>In consideration of the mutual promises in this Agreement, the parties agree as follows.</w:t>
      </w:r>
    </w:p>
    <w:p>
      <w:pPr>
        <w:pStyle w:val="Heading1"/>
        <w:keepNext/>
      </w:pPr>
      <w:r>
        <w:t>1. Services and statements of work</w:t>
      </w:r>
    </w:p>
    <w:p>
      <w:pPr>
        <w:keepLines/>
        <w:jc w:val="both"/>
      </w:pPr>
      <w:r>
        <w:rPr>
          <w:rFonts w:ascii="Calibri" w:hAnsi="Calibri"/>
          <w:color w:val="13243A"/>
          <w:sz w:val="22"/>
        </w:rPr>
        <w:t>Services will be described in signed statements of work. If a statement of work conflicts with this MSA, this MSA prevails unless the statement expressly identifies the clause being varied.</w:t>
      </w:r>
    </w:p>
    <w:p>
      <w:pPr>
        <w:keepLines/>
        <w:jc w:val="both"/>
      </w:pPr>
      <w:r>
        <w:rPr>
          <w:rFonts w:ascii="Calibri" w:hAnsi="Calibri"/>
          <w:color w:val="13243A"/>
          <w:sz w:val="22"/>
        </w:rPr>
        <w:t>Meridian will perform the Services with reasonable skill and care and in accordance with applicable payroll, employment, tax, and data protection requirements expressly allocated to it.</w:t>
      </w:r>
    </w:p>
    <w:p>
      <w:pPr>
        <w:pStyle w:val="Heading1"/>
        <w:keepNext/>
      </w:pPr>
      <w:r>
        <w:t>2. Fees, invoices, and taxes</w:t>
      </w:r>
    </w:p>
    <w:p>
      <w:pPr>
        <w:keepLines/>
        <w:jc w:val="both"/>
      </w:pPr>
      <w:r>
        <w:rPr>
          <w:rFonts w:ascii="Calibri" w:hAnsi="Calibri"/>
          <w:color w:val="13243A"/>
          <w:sz w:val="22"/>
        </w:rPr>
        <w:t>Estimated annual fees are GBP 420,000 excluding VAT. Meridian will invoice monthly in arrears, and undisputed invoices are payable within 30 days.</w:t>
      </w:r>
    </w:p>
    <w:p>
      <w:pPr>
        <w:keepLines/>
        <w:jc w:val="both"/>
      </w:pPr>
      <w:r>
        <w:rPr>
          <w:rFonts w:ascii="Calibri" w:hAnsi="Calibri"/>
          <w:color w:val="13243A"/>
          <w:sz w:val="22"/>
        </w:rPr>
        <w:t>Bluehaven must dispute an invoice within 15 days of receipt. Meridian may increase recurring fees by up to 7 percent at each renewal by giving 60 days' notice.</w:t>
      </w:r>
    </w:p>
    <w:p>
      <w:r>
        <w:br w:type="page"/>
      </w:r>
    </w:p>
    <w:p>
      <w:pPr>
        <w:pStyle w:val="Heading1"/>
        <w:keepNext/>
      </w:pPr>
      <w:r>
        <w:t>3. Governance and change control</w:t>
      </w:r>
    </w:p>
    <w:p>
      <w:pPr>
        <w:keepLines/>
        <w:jc w:val="both"/>
      </w:pPr>
      <w:r>
        <w:rPr>
          <w:rFonts w:ascii="Calibri" w:hAnsi="Calibri"/>
          <w:color w:val="13243A"/>
          <w:sz w:val="22"/>
        </w:rPr>
        <w:t>Each party will appoint an executive sponsor and service manager. Material changes to scope, timetable, assumptions, or fees require a written change order signed by authorised representatives.</w:t>
      </w:r>
    </w:p>
    <w:p>
      <w:pPr>
        <w:keepLines/>
        <w:jc w:val="both"/>
      </w:pPr>
      <w:r>
        <w:rPr>
          <w:rFonts w:ascii="Calibri" w:hAnsi="Calibri"/>
          <w:color w:val="13243A"/>
          <w:sz w:val="22"/>
        </w:rPr>
        <w:t>A steering committee will meet monthly during implementation and quarterly thereafter.</w:t>
      </w:r>
    </w:p>
    <w:p>
      <w:pPr>
        <w:pStyle w:val="Heading1"/>
        <w:keepNext/>
      </w:pPr>
      <w:r>
        <w:t>4. Subcontracting</w:t>
      </w:r>
    </w:p>
    <w:p>
      <w:pPr>
        <w:keepLines/>
        <w:jc w:val="both"/>
      </w:pPr>
      <w:r>
        <w:rPr>
          <w:rFonts w:ascii="Calibri" w:hAnsi="Calibri"/>
          <w:color w:val="13243A"/>
          <w:sz w:val="22"/>
        </w:rPr>
        <w:t>Meridian may appoint subcontractors and remains responsible for their performance. Meridian will give at least 10 business days' notice before appointing a new subcontractor that will process personal data.</w:t>
      </w:r>
    </w:p>
    <w:p>
      <w:pPr>
        <w:keepLines/>
        <w:jc w:val="both"/>
      </w:pPr>
      <w:r>
        <w:rPr>
          <w:rFonts w:ascii="Calibri" w:hAnsi="Calibri"/>
          <w:color w:val="13243A"/>
          <w:sz w:val="22"/>
        </w:rPr>
        <w:t>Bluehaven may object on reasonable data protection grounds within that notice period. If the parties cannot resolve an objection, Meridian may terminate the affected Service without liability.</w:t>
      </w:r>
    </w:p>
    <w:p>
      <w:pPr>
        <w:pStyle w:val="Heading1"/>
        <w:keepNext/>
      </w:pPr>
      <w:r>
        <w:t>5. Confidentiality and data protection</w:t>
      </w:r>
    </w:p>
    <w:p>
      <w:pPr>
        <w:keepLines/>
        <w:jc w:val="both"/>
      </w:pPr>
      <w:r>
        <w:rPr>
          <w:rFonts w:ascii="Calibri" w:hAnsi="Calibri"/>
          <w:color w:val="13243A"/>
          <w:sz w:val="22"/>
        </w:rPr>
        <w:t>Each party must protect the other's Confidential Information using at least the care it applies to its own information of similar sensitivity.</w:t>
      </w:r>
    </w:p>
    <w:p>
      <w:pPr>
        <w:keepLines/>
        <w:jc w:val="both"/>
      </w:pPr>
      <w:r>
        <w:rPr>
          <w:rFonts w:ascii="Calibri" w:hAnsi="Calibri"/>
          <w:color w:val="13243A"/>
          <w:sz w:val="22"/>
        </w:rPr>
        <w:t>The parties will enter into a separate Data Processing Agreement before Meridian processes personal data on Bluehaven's behalf.</w:t>
      </w:r>
    </w:p>
    <w:p>
      <w:pPr>
        <w:pStyle w:val="Heading1"/>
        <w:keepNext/>
      </w:pPr>
      <w:r>
        <w:t>6. Warranties and service levels</w:t>
      </w:r>
    </w:p>
    <w:p>
      <w:pPr>
        <w:keepLines/>
        <w:jc w:val="both"/>
      </w:pPr>
      <w:r>
        <w:rPr>
          <w:rFonts w:ascii="Calibri" w:hAnsi="Calibri"/>
          <w:color w:val="13243A"/>
          <w:sz w:val="22"/>
        </w:rPr>
        <w:t>Meridian warrants that the Services will materially conform to the applicable statement of work. Service levels and service credits are set out in each statement of work.</w:t>
      </w:r>
    </w:p>
    <w:p>
      <w:pPr>
        <w:keepLines/>
        <w:jc w:val="both"/>
      </w:pPr>
      <w:r>
        <w:rPr>
          <w:rFonts w:ascii="Calibri" w:hAnsi="Calibri"/>
          <w:color w:val="13243A"/>
          <w:sz w:val="22"/>
        </w:rPr>
        <w:t>Except as expressly stated, all implied warranties are excluded to the fullest extent permitted by law.</w:t>
      </w:r>
    </w:p>
    <w:p>
      <w:pPr>
        <w:pStyle w:val="Heading1"/>
        <w:keepNext/>
      </w:pPr>
      <w:r>
        <w:t>7. Liability</w:t>
      </w:r>
    </w:p>
    <w:p>
      <w:pPr>
        <w:keepLines/>
        <w:jc w:val="both"/>
      </w:pPr>
      <w:r>
        <w:rPr>
          <w:rFonts w:ascii="Calibri" w:hAnsi="Calibri"/>
          <w:color w:val="13243A"/>
          <w:sz w:val="22"/>
        </w:rPr>
        <w:t>Neither party is liable for indirect or consequential loss, loss of profit, or loss of anticipated savings.</w:t>
      </w:r>
    </w:p>
    <w:p>
      <w:pPr>
        <w:keepLines/>
        <w:jc w:val="both"/>
      </w:pPr>
      <w:r>
        <w:rPr>
          <w:rFonts w:ascii="Calibri" w:hAnsi="Calibri"/>
          <w:color w:val="13243A"/>
          <w:sz w:val="22"/>
        </w:rPr>
        <w:t>Each party's aggregate liability in a contract year is capped at 100 percent of the fees paid or payable in that contract year. The cap does not apply to fraud, wilful misconduct, breach of confidentiality, infringement of intellectual property rights, or liability that cannot lawfully be limited. Liability for a personal data breach is capped at 200 percent of annual fees.</w:t>
      </w:r>
    </w:p>
    <w:p>
      <w:pPr>
        <w:pStyle w:val="Heading1"/>
        <w:keepNext/>
      </w:pPr>
      <w:r>
        <w:t>8. Term, renewal, and termination</w:t>
      </w:r>
    </w:p>
    <w:p>
      <w:pPr>
        <w:keepLines/>
        <w:jc w:val="both"/>
      </w:pPr>
      <w:r>
        <w:rPr>
          <w:rFonts w:ascii="Calibri" w:hAnsi="Calibri"/>
          <w:color w:val="13243A"/>
          <w:sz w:val="22"/>
        </w:rPr>
        <w:t>The initial term is 24 months. The MSA renews automatically for successive 12-month periods unless either party gives at least 90 days' written notice before the end of the then-current term.</w:t>
      </w:r>
    </w:p>
    <w:p>
      <w:pPr>
        <w:keepLines/>
        <w:jc w:val="both"/>
      </w:pPr>
      <w:r>
        <w:rPr>
          <w:rFonts w:ascii="Calibri" w:hAnsi="Calibri"/>
          <w:color w:val="13243A"/>
          <w:sz w:val="22"/>
        </w:rPr>
        <w:t>Either party may terminate for material breach not cured within 30 days, insolvency, or persistent service-level failure. Bluehaven has no general termination-for-convenience right during the initial term.</w:t>
      </w:r>
    </w:p>
    <w:p>
      <w:pPr>
        <w:pStyle w:val="Heading1"/>
        <w:keepNext/>
      </w:pPr>
      <w:r>
        <w:t>9. Exit assistance and records</w:t>
      </w:r>
    </w:p>
    <w:p>
      <w:pPr>
        <w:keepLines/>
        <w:jc w:val="both"/>
      </w:pPr>
      <w:r>
        <w:rPr>
          <w:rFonts w:ascii="Calibri" w:hAnsi="Calibri"/>
          <w:color w:val="13243A"/>
          <w:sz w:val="22"/>
        </w:rPr>
        <w:t>For up to six months after termination, Meridian will provide reasonable transition assistance at its then-current professional-services rates and return Bluehaven data in a commonly used format.</w:t>
      </w:r>
    </w:p>
    <w:p>
      <w:pPr>
        <w:pStyle w:val="Heading1"/>
        <w:keepNext/>
      </w:pPr>
      <w:r>
        <w:t>10. Governing law</w:t>
      </w:r>
    </w:p>
    <w:p>
      <w:pPr>
        <w:keepLines/>
        <w:jc w:val="both"/>
      </w:pPr>
      <w:r>
        <w:rPr>
          <w:rFonts w:ascii="Calibri" w:hAnsi="Calibri"/>
          <w:color w:val="13243A"/>
          <w:sz w:val="22"/>
        </w:rPr>
        <w:t>This MSA and each non-contractual obligation arising from it are governed by the laws of England and Wales. The courts of London have exclusive jurisdiction.</w:t>
      </w:r>
    </w:p>
    <w:p>
      <w:pPr>
        <w:pStyle w:val="Heading1"/>
        <w:keepNext/>
      </w:pPr>
      <w:r>
        <w:t>Schedule 1. Commercial and governance summary</w:t>
      </w:r>
    </w:p>
    <w:tbl>
      <w:tblPr>
        <w:tblW w:type="dxa" w:w="9360"/>
        <w:jc w:val="left"/>
        <w:tblLayout w:type="fixed"/>
        <w:tblLook w:firstColumn="1" w:firstRow="1" w:lastColumn="0" w:lastRow="0" w:noHBand="0" w:noVBand="1" w:val="04A0"/>
        <w:tblInd w:type="dxa" w:w="120"/>
      </w:tblPr>
      <w:tblGrid>
        <w:gridCol w:w="2200"/>
        <w:gridCol w:w="4280"/>
        <w:gridCol w:w="2880"/>
      </w:tblGrid>
      <w:tr>
        <w:trPr>
          <w:tblHeader w:val="true"/>
        </w:trPr>
        <w:tc>
          <w:tcPr>
            <w:tcW w:type="dxa" w:w="220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Control</w:t>
            </w:r>
          </w:p>
        </w:tc>
        <w:tc>
          <w:tcPr>
            <w:tcW w:type="dxa" w:w="42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Contract position</w:t>
            </w:r>
          </w:p>
        </w:tc>
        <w:tc>
          <w:tcPr>
            <w:tcW w:type="dxa" w:w="2880"/>
            <w:shd w:fill="F2F4F7"/>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jc w:val="left"/>
            </w:pPr>
            <w:r>
              <w:rPr>
                <w:rFonts w:ascii="Calibri" w:hAnsi="Calibri"/>
                <w:b/>
                <w:color w:val="13243A"/>
                <w:sz w:val="19"/>
              </w:rPr>
              <w:t>Review cue</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Payment</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30 days from invoice</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Confirm AP process</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Renewal</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Automatic, 12 months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90-day notice diary</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Fee uplift</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Up to 7 percent at renewal</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Finance review</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Data breach liability</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200 percent of annual fees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Privacy and risk review</w:t>
            </w:r>
          </w:p>
        </w:tc>
      </w:tr>
      <w:tr>
        <w:trPr/>
        <w:tc>
          <w:tcPr>
            <w:tcW w:type="dxa" w:w="220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Subprocessor notice</w:t>
            </w:r>
          </w:p>
        </w:tc>
        <w:tc>
          <w:tcPr>
            <w:tcW w:type="dxa" w:w="42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10 business days</w:t>
            </w:r>
          </w:p>
        </w:tc>
        <w:tc>
          <w:tcPr>
            <w:tcW w:type="dxa" w:w="2880"/>
            <w:tcBorders>
              <w:top w:val="single" w:sz="6" w:color="D7DDE5"/>
              <w:left w:val="single" w:sz="6" w:color="D7DDE5"/>
              <w:bottom w:val="single" w:sz="6" w:color="D7DDE5"/>
              <w:right w:val="single" w:sz="6" w:color="D7DDE5"/>
              <w:insideH w:val="single" w:sz="6" w:color="D7DDE5"/>
              <w:insideV w:val="single" w:sz="6" w:color="D7DDE5"/>
            </w:tcBorders>
            <w:vAlign w:val="center"/>
            <w:tcMar>
              <w:top w:w="80" w:type="dxa"/>
              <w:bottom w:w="80" w:type="dxa"/>
              <w:start w:w="120" w:type="dxa"/>
              <w:end w:w="120" w:type="dxa"/>
            </w:tcMar>
          </w:tcPr>
          <w:p>
            <w:pPr>
              <w:spacing w:after="0"/>
            </w:pPr>
            <w:r>
              <w:rPr>
                <w:rFonts w:ascii="Calibri" w:hAnsi="Calibri"/>
                <w:color w:val="13243A"/>
                <w:sz w:val="19"/>
              </w:rPr>
              <w:t>Assess objection window</w:t>
            </w:r>
          </w:p>
        </w:tc>
      </w:tr>
    </w:tbl>
    <w:p>
      <w:pPr>
        <w:pStyle w:val="Heading1"/>
        <w:keepNext/>
      </w:pPr>
      <w:r>
        <w:t>Signatures</w:t>
      </w:r>
    </w:p>
    <w:p>
      <w:pPr>
        <w:spacing w:after="240"/>
      </w:pPr>
      <w:r>
        <w:rPr>
          <w:rFonts w:ascii="Calibri" w:hAnsi="Calibri"/>
          <w:color w:val="13243A"/>
          <w:sz w:val="22"/>
        </w:rPr>
        <w:t>The parties intend to be legally bound when this Agreement is signed by their authorised representatives.</w:t>
      </w:r>
    </w:p>
    <w:tbl>
      <w:tblPr>
        <w:tblW w:type="dxa" w:w="9360"/>
        <w:jc w:val="left"/>
        <w:tblLayout w:type="fixed"/>
        <w:tblLook w:firstColumn="1" w:firstRow="1" w:lastColumn="0" w:lastRow="0" w:noHBand="0" w:noVBand="1" w:val="04A0"/>
        <w:tblInd w:type="dxa" w:w="120"/>
      </w:tblPr>
      <w:tblGrid>
        <w:gridCol w:w="4680"/>
        <w:gridCol w:w="4680"/>
      </w:tblGrid>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Meridian Workforce Systems Ltd.</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shd w:fill="E8EEF5"/>
            <w:tcMar>
              <w:top w:w="80" w:type="dxa"/>
              <w:bottom w:w="80" w:type="dxa"/>
              <w:start w:w="120" w:type="dxa"/>
              <w:end w:w="120" w:type="dxa"/>
            </w:tcMar>
          </w:tcPr>
          <w:p>
            <w:pPr>
              <w:spacing w:after="0"/>
            </w:pPr>
            <w:r>
              <w:rPr>
                <w:rFonts w:ascii="Calibri" w:hAnsi="Calibri"/>
                <w:b/>
                <w:color w:val="13243A"/>
                <w:sz w:val="20"/>
              </w:rPr>
              <w:t>Bluehaven Foods plc</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Signature: 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Name: Authorised Signatory</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Title: ______________________________</w:t>
            </w:r>
          </w:p>
        </w:tc>
      </w:tr>
      <w:tr>
        <w:trPr/>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c>
          <w:tcPr>
            <w:tcW w:type="dxa" w:w="4680"/>
            <w:vAlign w:val="center"/>
            <w:tcBorders>
              <w:top w:val="single" w:sz="0" w:color="FFFFFF"/>
              <w:left w:val="single" w:sz="0" w:color="FFFFFF"/>
              <w:bottom w:val="single" w:sz="0" w:color="FFFFFF"/>
              <w:right w:val="single" w:sz="0" w:color="FFFFFF"/>
              <w:insideH w:val="single" w:sz="0" w:color="FFFFFF"/>
              <w:insideV w:val="single" w:sz="0" w:color="FFFFFF"/>
            </w:tcBorders>
            <w:tcMar>
              <w:top w:w="80" w:type="dxa"/>
              <w:bottom w:w="80" w:type="dxa"/>
              <w:start w:w="120" w:type="dxa"/>
              <w:end w:w="120" w:type="dxa"/>
            </w:tcMar>
          </w:tcPr>
          <w:p>
            <w:pPr>
              <w:spacing w:after="60"/>
            </w:pPr>
            <w:r>
              <w:rPr>
                <w:rFonts w:ascii="Calibri" w:hAnsi="Calibri"/>
                <w:b w:val="0"/>
                <w:color w:val="13243A"/>
                <w:sz w:val="20"/>
              </w:rPr>
              <w:t>Date: _______________________________</w:t>
            </w:r>
          </w:p>
        </w:tc>
      </w:tr>
    </w:tbl>
    <w:p>
      <w:pPr>
        <w:spacing w:before="240"/>
        <w:jc w:val="center"/>
      </w:pPr>
      <w:r>
        <w:rPr>
          <w:rFonts w:ascii="Calibri" w:hAnsi="Calibri"/>
          <w:i/>
          <w:color w:val="596576"/>
          <w:sz w:val="18"/>
        </w:rPr>
        <w:t>End of fictional sample agreement. All entities, dates, and commercial terms are synthetic.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96576"/>
        <w:sz w:val="18"/>
      </w:rPr>
      <w:t xml:space="preserve">DEMO-MSA-2026-014  |  Fictional sample  |  Page </w:t>
    </w:r>
    <w:r>
      <w:rPr>
        <w:rFonts w:ascii="Calibri" w:hAnsi="Calibri"/>
        <w:color w:val="5965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b/>
        <w:color w:val="596576"/>
        <w:sz w:val="17"/>
      </w:rPr>
      <w:t>FICTIONAL DEMO AGREEMENT  |  CLM ONE TEST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324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60"/>
      <w:contextualSpacing/>
      <w:jc w:val="center"/>
    </w:pPr>
    <w:rPr>
      <w:rFonts w:asciiTheme="majorHAnsi" w:eastAsiaTheme="majorEastAsia" w:hAnsiTheme="majorHAnsi" w:cstheme="majorBidi" w:ascii="Calibri" w:hAnsi="Calibri"/>
      <w:b/>
      <w:color w:val="1324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jc w:val="center"/>
    </w:pPr>
    <w:rPr>
      <w:rFonts w:asciiTheme="majorHAnsi" w:eastAsiaTheme="majorEastAsia" w:hAnsiTheme="majorHAnsi" w:cstheme="majorBidi" w:ascii="Calibri" w:hAnsi="Calibri"/>
      <w:i w:val="0"/>
      <w:iCs/>
      <w:color w:val="5965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Services Agreement</dc:title>
  <dc:subject>Fictional CLM One upload and review sample</dc:subject>
  <dc:creator>CLM One Demo Data</dc:creator>
  <cp:keywords>fictional, demo, contract, CLM One</cp:keywords>
  <dc:description>Contains no real client, employee, payroll, or personal data.</dc:description>
  <cp:lastModifiedBy/>
  <cp:revision>1</cp:revision>
  <dcterms:created xsi:type="dcterms:W3CDTF">2013-12-23T23:15:00Z</dcterms:created>
  <dcterms:modified xsi:type="dcterms:W3CDTF">2013-12-23T23:15:00Z</dcterms:modified>
  <cp:category/>
</cp:coreProperties>
</file>