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w:t>
      </w:r>
    </w:p>
    <w:p>
      <w:pPr>
        <w:pStyle w:val="Subtitle"/>
      </w:pPr>
      <w:r>
        <w:t>Payroll processing, hosting, support, and cross-border access</w:t>
      </w:r>
    </w:p>
    <w:p>
      <w:pPr>
        <w:spacing w:before="80" w:after="320"/>
        <w:ind w:left="432" w:right="432"/>
        <w:jc w:val="center"/>
        <w:shd w:fill="FFF7E6"/>
      </w:pPr>
      <w:r>
        <w:rPr>
          <w:rFonts w:ascii="Calibri" w:hAnsi="Calibri"/>
          <w:b/>
          <w:color w:val="7A5A00"/>
          <w:sz w:val="19"/>
        </w:rPr>
        <w:t>FICTIONAL SAMPLE FOR PRODUCT DEMONSTRATION ONLY. No real parties, employees, payroll records, or legal advice.</w:t>
      </w:r>
    </w:p>
    <w:tbl>
      <w:tblPr>
        <w:tblW w:type="dxa" w:w="9360"/>
        <w:jc w:val="left"/>
        <w:tblLayout w:type="fixed"/>
        <w:tblLook w:firstColumn="1" w:firstRow="1" w:lastColumn="0" w:lastRow="0" w:noHBand="0" w:noVBand="1" w:val="04A0"/>
        <w:tblInd w:type="dxa" w:w="120"/>
      </w:tblPr>
      <w:tblGrid>
        <w:gridCol w:w="1500"/>
        <w:gridCol w:w="3180"/>
        <w:gridCol w:w="1500"/>
        <w:gridCol w:w="3180"/>
      </w:tblGrid>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Reference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DEMO-DPA-2026-009</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Effective date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1 November 2026</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A</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Cedarfield Manufacturing SE (Controller)</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B</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LumenPay Services B.V. (Processor)</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Term</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Co-terminous with the payroll services agreement</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Contract value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No separate fee</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Governing law</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Belgium</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Document state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Draft for review</w:t>
            </w:r>
          </w:p>
        </w:tc>
      </w:tr>
    </w:tbl>
    <w:p>
      <w:pPr>
        <w:spacing w:before="320" w:after="200"/>
        <w:jc w:val="both"/>
      </w:pPr>
      <w:r>
        <w:rPr>
          <w:rFonts w:ascii="Calibri" w:hAnsi="Calibri"/>
          <w:color w:val="13243A"/>
          <w:sz w:val="22"/>
        </w:rPr>
        <w:t>This Data Processing Agreement (DPA) forms part of the fictional payroll services agreement between Cedarfield Manufacturing SE as Controller and LumenPay Services B.V. as Processor. It governs processing of personal data for payroll calculation, payment files, statutory reporting, employee support, hosting, and service administration.</w:t>
      </w:r>
    </w:p>
    <w:p>
      <w:pPr>
        <w:spacing w:before="80" w:after="240"/>
        <w:jc w:val="both"/>
      </w:pPr>
      <w:r>
        <w:rPr>
          <w:rFonts w:ascii="Calibri" w:hAnsi="Calibri"/>
          <w:b/>
          <w:color w:val="13243A"/>
          <w:sz w:val="22"/>
        </w:rPr>
        <w:t>In consideration of the mutual promises in this Agreement, the parties agree as follows.</w:t>
      </w:r>
    </w:p>
    <w:p>
      <w:pPr>
        <w:pStyle w:val="Heading1"/>
        <w:keepNext/>
      </w:pPr>
      <w:r>
        <w:t>1. Processing instructions</w:t>
      </w:r>
    </w:p>
    <w:p>
      <w:pPr>
        <w:keepLines/>
        <w:jc w:val="both"/>
      </w:pPr>
      <w:r>
        <w:rPr>
          <w:rFonts w:ascii="Calibri" w:hAnsi="Calibri"/>
          <w:color w:val="13243A"/>
          <w:sz w:val="22"/>
        </w:rPr>
        <w:t>LumenPay will process personal data only on documented instructions from Cedarfield, including instructions regarding transfers, unless processing is required by applicable law.</w:t>
      </w:r>
    </w:p>
    <w:p>
      <w:pPr>
        <w:keepLines/>
        <w:jc w:val="both"/>
      </w:pPr>
      <w:r>
        <w:rPr>
          <w:rFonts w:ascii="Calibri" w:hAnsi="Calibri"/>
          <w:color w:val="13243A"/>
          <w:sz w:val="22"/>
        </w:rPr>
        <w:t>LumenPay must promptly notify Cedarfield if it believes an instruction infringes applicable data protection law.</w:t>
      </w:r>
    </w:p>
    <w:p>
      <w:r>
        <w:br w:type="page"/>
      </w:r>
    </w:p>
    <w:p>
      <w:pPr>
        <w:pStyle w:val="Heading1"/>
        <w:keepNext/>
      </w:pPr>
      <w:r>
        <w:t>2. Confidentiality and security</w:t>
      </w:r>
    </w:p>
    <w:p>
      <w:pPr>
        <w:keepLines/>
        <w:jc w:val="both"/>
      </w:pPr>
      <w:r>
        <w:rPr>
          <w:rFonts w:ascii="Calibri" w:hAnsi="Calibri"/>
          <w:color w:val="13243A"/>
          <w:sz w:val="22"/>
        </w:rPr>
        <w:t>Personnel authorised to process personal data must be bound by confidentiality obligations. LumenPay will maintain measures appropriate to the risk, including access control, encryption in transit and at rest, logging, backup testing, vulnerability management, and incident response.</w:t>
      </w:r>
    </w:p>
    <w:p>
      <w:pPr>
        <w:pStyle w:val="Heading1"/>
        <w:keepNext/>
      </w:pPr>
      <w:r>
        <w:t>3. Subprocessors</w:t>
      </w:r>
    </w:p>
    <w:p>
      <w:pPr>
        <w:keepLines/>
        <w:jc w:val="both"/>
      </w:pPr>
      <w:r>
        <w:rPr>
          <w:rFonts w:ascii="Calibri" w:hAnsi="Calibri"/>
          <w:color w:val="13243A"/>
          <w:sz w:val="22"/>
        </w:rPr>
        <w:t>Cedarfield gives general authorisation for the subprocessors listed in Schedule 2. LumenPay will give at least 15 days' prior notice of a new or replacement subprocessor.</w:t>
      </w:r>
    </w:p>
    <w:p>
      <w:pPr>
        <w:keepLines/>
        <w:jc w:val="both"/>
      </w:pPr>
      <w:r>
        <w:rPr>
          <w:rFonts w:ascii="Calibri" w:hAnsi="Calibri"/>
          <w:color w:val="13243A"/>
          <w:sz w:val="22"/>
        </w:rPr>
        <w:t>Cedarfield may object on reasonable data protection grounds. If no commercially reasonable alternative is available, either party may terminate the affected Service on 30 days' notice.</w:t>
      </w:r>
    </w:p>
    <w:p>
      <w:pPr>
        <w:pStyle w:val="Heading1"/>
        <w:keepNext/>
      </w:pPr>
      <w:r>
        <w:t>4. International transfers</w:t>
      </w:r>
    </w:p>
    <w:p>
      <w:pPr>
        <w:keepLines/>
        <w:jc w:val="both"/>
      </w:pPr>
      <w:r>
        <w:rPr>
          <w:rFonts w:ascii="Calibri" w:hAnsi="Calibri"/>
          <w:color w:val="13243A"/>
          <w:sz w:val="22"/>
        </w:rPr>
        <w:t>Primary hosting will remain in the European Union. Remote support may be provided from Canada and India.</w:t>
      </w:r>
    </w:p>
    <w:p>
      <w:pPr>
        <w:keepLines/>
        <w:jc w:val="both"/>
      </w:pPr>
      <w:r>
        <w:rPr>
          <w:rFonts w:ascii="Calibri" w:hAnsi="Calibri"/>
          <w:color w:val="13243A"/>
          <w:sz w:val="22"/>
        </w:rPr>
        <w:t>For transfers not covered by an adequacy decision, the parties incorporate the applicable 2021 European Commission Standard Contractual Clauses. LumenPay will support a transfer impact assessment and supplementary measures where reasonably required.</w:t>
      </w:r>
    </w:p>
    <w:p>
      <w:pPr>
        <w:pStyle w:val="Heading1"/>
        <w:keepNext/>
      </w:pPr>
      <w:r>
        <w:t>5. Personal data incidents</w:t>
      </w:r>
    </w:p>
    <w:p>
      <w:pPr>
        <w:keepLines/>
        <w:jc w:val="both"/>
      </w:pPr>
      <w:r>
        <w:rPr>
          <w:rFonts w:ascii="Calibri" w:hAnsi="Calibri"/>
          <w:color w:val="13243A"/>
          <w:sz w:val="22"/>
        </w:rPr>
        <w:t>LumenPay will notify Cedarfield without undue delay and no later than 36 hours after becoming aware of a confirmed Personal Data Breach.</w:t>
      </w:r>
    </w:p>
    <w:p>
      <w:pPr>
        <w:keepLines/>
        <w:jc w:val="both"/>
      </w:pPr>
      <w:r>
        <w:rPr>
          <w:rFonts w:ascii="Calibri" w:hAnsi="Calibri"/>
          <w:color w:val="13243A"/>
          <w:sz w:val="22"/>
        </w:rPr>
        <w:t>The notice will describe the nature of the incident, affected data and individuals, likely consequences, containment measures, and a contact point. LumenPay will provide reasonable cooperation for regulatory and data-subject notifications.</w:t>
      </w:r>
    </w:p>
    <w:p>
      <w:r>
        <w:br w:type="page"/>
      </w:r>
    </w:p>
    <w:p>
      <w:pPr>
        <w:pStyle w:val="Heading1"/>
        <w:keepNext/>
      </w:pPr>
      <w:r>
        <w:t>6. Data subject and regulator assistance</w:t>
      </w:r>
    </w:p>
    <w:p>
      <w:pPr>
        <w:keepLines/>
        <w:jc w:val="both"/>
      </w:pPr>
      <w:r>
        <w:rPr>
          <w:rFonts w:ascii="Calibri" w:hAnsi="Calibri"/>
          <w:color w:val="13243A"/>
          <w:sz w:val="22"/>
        </w:rPr>
        <w:t>Taking into account the nature of processing, LumenPay will assist Cedarfield with data-subject requests, data protection impact assessments, prior consultations, and regulatory enquiries.</w:t>
      </w:r>
    </w:p>
    <w:p>
      <w:pPr>
        <w:pStyle w:val="Heading1"/>
        <w:keepNext/>
      </w:pPr>
      <w:r>
        <w:t>7. Audit rights</w:t>
      </w:r>
    </w:p>
    <w:p>
      <w:pPr>
        <w:keepLines/>
        <w:jc w:val="both"/>
      </w:pPr>
      <w:r>
        <w:rPr>
          <w:rFonts w:ascii="Calibri" w:hAnsi="Calibri"/>
          <w:color w:val="13243A"/>
          <w:sz w:val="22"/>
        </w:rPr>
        <w:t>Once per calendar year, LumenPay will provide current independent assurance reports and security summaries. Cedarfield may conduct an on-site audit on 30 days' notice if those materials are insufficient or following a material incident.</w:t>
      </w:r>
    </w:p>
    <w:p>
      <w:pPr>
        <w:keepLines/>
        <w:jc w:val="both"/>
      </w:pPr>
      <w:r>
        <w:rPr>
          <w:rFonts w:ascii="Calibri" w:hAnsi="Calibri"/>
          <w:color w:val="13243A"/>
          <w:sz w:val="22"/>
        </w:rPr>
        <w:t>Cedarfield bears the reasonable cost of an audit unless it identifies a material breach by LumenPay.</w:t>
      </w:r>
    </w:p>
    <w:p>
      <w:pPr>
        <w:pStyle w:val="Heading1"/>
        <w:keepNext/>
      </w:pPr>
      <w:r>
        <w:t>8. Return and deletion</w:t>
      </w:r>
    </w:p>
    <w:p>
      <w:pPr>
        <w:keepLines/>
        <w:jc w:val="both"/>
      </w:pPr>
      <w:r>
        <w:rPr>
          <w:rFonts w:ascii="Calibri" w:hAnsi="Calibri"/>
          <w:color w:val="13243A"/>
          <w:sz w:val="22"/>
        </w:rPr>
        <w:t>On termination, LumenPay will return personal data in a commonly used format and delete remaining copies within 30 days, unless retention is required by law. Backup copies will be isolated and deleted within 90 days.</w:t>
      </w:r>
    </w:p>
    <w:p>
      <w:pPr>
        <w:pStyle w:val="Heading1"/>
        <w:keepNext/>
      </w:pPr>
      <w:r>
        <w:t>9. Liability and priority</w:t>
      </w:r>
    </w:p>
    <w:p>
      <w:pPr>
        <w:keepLines/>
        <w:jc w:val="both"/>
      </w:pPr>
      <w:r>
        <w:rPr>
          <w:rFonts w:ascii="Calibri" w:hAnsi="Calibri"/>
          <w:color w:val="13243A"/>
          <w:sz w:val="22"/>
        </w:rPr>
        <w:t>Liability is governed by the main services agreement. If there is a conflict concerning personal data, this DPA prevails.</w:t>
      </w:r>
    </w:p>
    <w:p>
      <w:r>
        <w:br w:type="page"/>
      </w:r>
    </w:p>
    <w:p>
      <w:pPr>
        <w:pStyle w:val="Heading1"/>
        <w:keepNext/>
      </w:pPr>
      <w:r>
        <w:t>10. Governing law</w:t>
      </w:r>
    </w:p>
    <w:p>
      <w:pPr>
        <w:keepLines/>
        <w:jc w:val="both"/>
      </w:pPr>
      <w:r>
        <w:rPr>
          <w:rFonts w:ascii="Calibri" w:hAnsi="Calibri"/>
          <w:color w:val="13243A"/>
          <w:sz w:val="22"/>
        </w:rPr>
        <w:t>This DPA is governed by Belgian law. Courts in Brussels have exclusive jurisdiction, without limiting either party's rights under the Standard Contractual Clauses.</w:t>
      </w:r>
    </w:p>
    <w:p>
      <w:pPr>
        <w:pStyle w:val="Heading1"/>
        <w:keepNext/>
      </w:pPr>
      <w:r>
        <w:t>Schedule 1. Processing description</w:t>
      </w:r>
    </w:p>
    <w:tbl>
      <w:tblPr>
        <w:tblW w:type="dxa" w:w="9360"/>
        <w:jc w:val="left"/>
        <w:tblLayout w:type="fixed"/>
        <w:tblLook w:firstColumn="1" w:firstRow="1" w:lastColumn="0" w:lastRow="0" w:noHBand="0" w:noVBand="1" w:val="04A0"/>
        <w:tblInd w:type="dxa" w:w="120"/>
      </w:tblPr>
      <w:tblGrid>
        <w:gridCol w:w="2200"/>
        <w:gridCol w:w="4280"/>
        <w:gridCol w:w="2880"/>
      </w:tblGrid>
      <w:tr>
        <w:trPr>
          <w:tblHeader w:val="true"/>
        </w:trPr>
        <w:tc>
          <w:tcPr>
            <w:tcW w:type="dxa" w:w="220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Category</w:t>
            </w:r>
          </w:p>
        </w:tc>
        <w:tc>
          <w:tcPr>
            <w:tcW w:type="dxa" w:w="42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Details</w:t>
            </w:r>
          </w:p>
        </w:tc>
        <w:tc>
          <w:tcPr>
            <w:tcW w:type="dxa" w:w="28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Retention / location</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Data subjects</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Employees, contractors, dependants, former workers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Service term plus statutory retention</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Personal data</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Identity, contact, bank, tax, salary, absence, benefits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 primary hosting</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Special categories</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Health-related absence and union deductions where required</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Restricted payroll roles</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Support access</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Troubleshooting and service administration</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Canada and India</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Incident notice</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Confirmed Personal Data Breach</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Within 36 hours</w:t>
            </w:r>
          </w:p>
        </w:tc>
      </w:tr>
    </w:tbl>
    <w:p>
      <w:pPr>
        <w:pStyle w:val="Heading1"/>
        <w:keepNext/>
      </w:pPr>
      <w:r>
        <w:t>Signatures</w:t>
      </w:r>
    </w:p>
    <w:p>
      <w:pPr>
        <w:spacing w:after="240"/>
      </w:pPr>
      <w:r>
        <w:rPr>
          <w:rFonts w:ascii="Calibri" w:hAnsi="Calibri"/>
          <w:color w:val="13243A"/>
          <w:sz w:val="22"/>
        </w:rPr>
        <w:t>The parties intend to be legally bound when this Agreement is signed by their authorised representatives.</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Cedarfield Manufacturing SE (Controller)</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LumenPay Services B.V. (Processor)</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r>
    </w:tbl>
    <w:p>
      <w:pPr>
        <w:spacing w:before="240"/>
        <w:jc w:val="center"/>
      </w:pPr>
      <w:r>
        <w:rPr>
          <w:rFonts w:ascii="Calibri" w:hAnsi="Calibri"/>
          <w:i/>
          <w:color w:val="596576"/>
          <w:sz w:val="18"/>
        </w:rPr>
        <w:t>End of fictional sample agreement. All entities, dates, and commercial terms are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96576"/>
        <w:sz w:val="18"/>
      </w:rPr>
      <w:t xml:space="preserve">DEMO-DPA-2026-009  |  Fictional sample  |  Page </w:t>
    </w:r>
    <w:r>
      <w:rPr>
        <w:rFonts w:ascii="Calibri" w:hAnsi="Calibri"/>
        <w:color w:val="5965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96576"/>
        <w:sz w:val="17"/>
      </w:rPr>
      <w:t>FICTIONAL DEMO AGREEMENT  |  CLM ONE TEST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3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60"/>
      <w:contextualSpacing/>
      <w:jc w:val="center"/>
    </w:pPr>
    <w:rPr>
      <w:rFonts w:asciiTheme="majorHAnsi" w:eastAsiaTheme="majorEastAsia" w:hAnsiTheme="majorHAnsi" w:cstheme="majorBidi" w:ascii="Calibri" w:hAnsi="Calibri"/>
      <w:b/>
      <w:color w:val="132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Calibri" w:hAnsi="Calibri"/>
      <w:i w:val="0"/>
      <w:iCs/>
      <w:color w:val="5965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subject>Fictional CLM One upload and review sample</dc:subject>
  <dc:creator>CLM One Demo Data</dc:creator>
  <cp:keywords>fictional, demo, contract, CLM One</cp:keywords>
  <dc:description>Contains no real client, employee, payroll, or personal data.</dc:description>
  <cp:lastModifiedBy/>
  <cp:revision>1</cp:revision>
  <dcterms:created xsi:type="dcterms:W3CDTF">2013-12-23T23:15:00Z</dcterms:created>
  <dcterms:modified xsi:type="dcterms:W3CDTF">2013-12-23T23:15:00Z</dcterms:modified>
  <cp:category/>
</cp:coreProperties>
</file>