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Subscription Agreement</w:t>
      </w:r>
    </w:p>
    <w:p>
      <w:pPr>
        <w:pStyle w:val="Subtitle"/>
      </w:pPr>
      <w:r>
        <w:t>Cloud payroll orchestration platform and support services</w:t>
      </w:r>
    </w:p>
    <w:p>
      <w:pPr>
        <w:spacing w:before="80" w:after="320"/>
        <w:ind w:left="432" w:right="432"/>
        <w:jc w:val="center"/>
        <w:shd w:fill="FFF7E6"/>
      </w:pPr>
      <w:r>
        <w:rPr>
          <w:rFonts w:ascii="Calibri" w:hAnsi="Calibri"/>
          <w:b/>
          <w:color w:val="7A5A00"/>
          <w:sz w:val="19"/>
        </w:rPr>
        <w:t>FICTIONAL SAMPLE FOR PRODUCT DEMONSTRATION ONLY. No real parties, employees, payroll records, or legal advice.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180"/>
        <w:gridCol w:w="1500"/>
        <w:gridCol w:w="3180"/>
      </w:tblGrid>
      <w:tr>
        <w:trPr/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Reference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DEMO-SAAS-2026-033</w:t>
            </w:r>
          </w:p>
        </w:tc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Effective date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1 December 2026</w:t>
            </w:r>
          </w:p>
        </w:tc>
      </w:tr>
      <w:tr>
        <w:trPr/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Party A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QuillHR Cloud Ltd.</w:t>
            </w:r>
          </w:p>
        </w:tc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Party B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Mariner Logistics Group AB</w:t>
            </w:r>
          </w:p>
        </w:tc>
      </w:tr>
      <w:tr>
        <w:trPr/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Term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3 years; automatic 12-month renewals</w:t>
            </w:r>
          </w:p>
        </w:tc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Contract value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Annual subscription: EUR 180,000</w:t>
            </w:r>
          </w:p>
        </w:tc>
      </w:tr>
      <w:tr>
        <w:trPr/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Governing law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Sweden</w:t>
            </w:r>
          </w:p>
        </w:tc>
        <w:tc>
          <w:tcPr>
            <w:tcW w:type="dxa" w:w="1500"/>
            <w:vAlign w:val="center"/>
            <w:shd w:fill="E8EEF5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 state</w:t>
            </w:r>
          </w:p>
        </w:tc>
        <w:tc>
          <w:tcPr>
            <w:tcW w:type="dxa" w:w="3180"/>
            <w:vAlign w:val="center"/>
            <w:shd w:fill="FFFFFF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Draft for review</w:t>
            </w:r>
          </w:p>
        </w:tc>
      </w:tr>
    </w:tbl>
    <w:p>
      <w:pPr>
        <w:spacing w:before="320" w:after="200"/>
        <w:jc w:val="both"/>
      </w:pPr>
      <w:r>
        <w:rPr>
          <w:rFonts w:ascii="Calibri" w:hAnsi="Calibri"/>
          <w:color w:val="13243A"/>
          <w:sz w:val="22"/>
        </w:rPr>
        <w:t>This Software Subscription Agreement is made between QuillHR Cloud Ltd., a fictional cloud software provider, and Mariner Logistics Group AB, a fictional logistics enterprise. It governs access to QuillHR's payroll orchestration platform, implementation support, maintenance, and technical support for up to 18,000 active worker records.</w:t>
      </w:r>
    </w:p>
    <w:p>
      <w:pPr>
        <w:spacing w:before="80" w:after="240"/>
        <w:jc w:val="both"/>
      </w:pPr>
      <w:r>
        <w:rPr>
          <w:rFonts w:ascii="Calibri" w:hAnsi="Calibri"/>
          <w:b/>
          <w:color w:val="13243A"/>
          <w:sz w:val="22"/>
        </w:rPr>
        <w:t>In consideration of the mutual promises in this Agreement, the parties agree as follows.</w:t>
      </w:r>
    </w:p>
    <w:p>
      <w:pPr>
        <w:pStyle w:val="Heading1"/>
        <w:keepNext/>
      </w:pPr>
      <w:r>
        <w:t>1. Subscription rights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QuillHR grants Mariner a non-exclusive, non-transferable right during the Subscription Term to permit authorised users to access the hosted platform for Mariner's internal payroll operations.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Mariner must not resell the service, circumvent usage controls, scrape the platform, or use it to develop a competing product.</w:t>
      </w:r>
    </w:p>
    <w:p>
      <w:pPr>
        <w:pStyle w:val="Heading1"/>
        <w:keepNext/>
      </w:pPr>
      <w:r>
        <w:t>2. Implementation and support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Implementation services are limited to standard configuration, two production interfaces, administrator training, and migration of agreed configuration data.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Support is available during European business hours. Severity 1 incidents have a one-hour response target and continuous efforts until a workaround is available.</w:t>
      </w:r>
    </w:p>
    <w:p>
      <w:r>
        <w:br w:type="page"/>
      </w:r>
    </w:p>
    <w:p>
      <w:pPr>
        <w:pStyle w:val="Heading1"/>
        <w:keepNext/>
      </w:pPr>
      <w:r>
        <w:t>3. Fees and price adjustment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The annual subscription fee is EUR 180,000 excluding VAT, payable annually in advance within 30 days of invoice.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At each renewal, QuillHR may increase the subscription fee by 7 percent by giving at least 60 days' notice.</w:t>
      </w:r>
    </w:p>
    <w:p>
      <w:pPr>
        <w:pStyle w:val="Heading1"/>
        <w:keepNext/>
      </w:pPr>
      <w:r>
        <w:t>4. Availability and service credits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QuillHR targets 99.5 percent monthly availability, excluding planned maintenance, force majeure, customer systems, and emergency security maintenance.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Service credits of up to 10 percent of the affected monthly fee are Mariner's sole and exclusive remedy for failure to meet the availability target.</w:t>
      </w:r>
    </w:p>
    <w:p>
      <w:pPr>
        <w:pStyle w:val="Heading1"/>
        <w:keepNext/>
      </w:pPr>
      <w:r>
        <w:t>5. Data location and support access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Customer data will be hosted in the European Union. QuillHR support personnel in India and Canada may access limited customer data remotely when necessary to resolve incidents.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The parties will execute a Data Processing Agreement and appropriate transfer mechanism before production use.</w:t>
      </w:r>
    </w:p>
    <w:p>
      <w:pPr>
        <w:pStyle w:val="Heading1"/>
        <w:keepNext/>
      </w:pPr>
      <w:r>
        <w:t>6. Security and audit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QuillHR will maintain an information security programme aligned to recognised industry practices and will provide an annual independent assurance report on request.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Mariner may request one additional audit each year at its own cost on 30 days' notice, subject to reasonable confidentiality and operational safeguards.</w:t>
      </w:r>
    </w:p>
    <w:p>
      <w:r>
        <w:br w:type="page"/>
      </w:r>
    </w:p>
    <w:p>
      <w:pPr>
        <w:pStyle w:val="Heading1"/>
        <w:keepNext/>
      </w:pPr>
      <w:r>
        <w:t>7. Intellectual property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QuillHR retains all rights in the platform, documentation, configurations, and improvements. Mariner owns its data and grants QuillHR a limited right to process it to provide and secure the Services.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QuillHR may use aggregated and irreversibly de-identified service telemetry to improve the platform.</w:t>
      </w:r>
    </w:p>
    <w:p>
      <w:pPr>
        <w:pStyle w:val="Heading1"/>
        <w:keepNext/>
      </w:pPr>
      <w:r>
        <w:t>8. Liability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Each party's aggregate liability is capped at fees paid or payable in the 12 months preceding the event giving rise to the claim.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The cap does not apply to fraud, wilful misconduct, breach of confidentiality, or infringement claims. Data protection liability is subject to a separate cap of 150 percent of annual fees.</w:t>
      </w:r>
    </w:p>
    <w:p>
      <w:pPr>
        <w:pStyle w:val="Heading1"/>
        <w:keepNext/>
      </w:pPr>
      <w:r>
        <w:t>9. Term, renewal, and suspension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The initial Subscription Term is three years and renews automatically for 12-month periods unless either party gives 120 days' written notice before expiry.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QuillHR may suspend access for undisputed fees more than 30 days overdue, a material security threat, or unlawful use. Mariner has no termination-for-convenience right.</w:t>
      </w:r>
    </w:p>
    <w:p>
      <w:r>
        <w:br w:type="page"/>
      </w:r>
    </w:p>
    <w:p>
      <w:pPr>
        <w:pStyle w:val="Heading1"/>
        <w:keepNext/>
      </w:pPr>
      <w:r>
        <w:t>10. Exit and data export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For 30 days after termination, Mariner may export customer data using standard platform tools. Additional transition assistance is charged at QuillHR's then-current rates.</w:t>
      </w:r>
    </w:p>
    <w:p>
      <w:pPr>
        <w:pStyle w:val="Heading1"/>
        <w:keepNext/>
      </w:pPr>
      <w:r>
        <w:t>11. Governing law</w:t>
      </w:r>
    </w:p>
    <w:p>
      <w:pPr>
        <w:keepLines/>
        <w:jc w:val="both"/>
      </w:pPr>
      <w:r>
        <w:rPr>
          <w:rFonts w:ascii="Calibri" w:hAnsi="Calibri"/>
          <w:color w:val="13243A"/>
          <w:sz w:val="22"/>
        </w:rPr>
        <w:t>This Agreement is governed by Swedish law. The courts of Stockholm have exclusive jurisdiction.</w:t>
      </w:r>
    </w:p>
    <w:p>
      <w:pPr>
        <w:pStyle w:val="Heading1"/>
        <w:keepNext/>
      </w:pPr>
      <w:r>
        <w:t>Schedule 1. Subscription order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4280"/>
        <w:gridCol w:w="2880"/>
      </w:tblGrid>
      <w:tr>
        <w:trPr>
          <w:tblHeader w:val="true"/>
        </w:trPr>
        <w:tc>
          <w:tcPr>
            <w:tcW w:type="dxa" w:w="2200"/>
            <w:shd w:fill="F2F4F7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3243A"/>
                <w:sz w:val="19"/>
              </w:rPr>
              <w:t>Order item</w:t>
            </w:r>
          </w:p>
        </w:tc>
        <w:tc>
          <w:tcPr>
            <w:tcW w:type="dxa" w:w="4280"/>
            <w:shd w:fill="F2F4F7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3243A"/>
                <w:sz w:val="19"/>
              </w:rPr>
              <w:t>Committed level</w:t>
            </w:r>
          </w:p>
        </w:tc>
        <w:tc>
          <w:tcPr>
            <w:tcW w:type="dxa" w:w="2880"/>
            <w:shd w:fill="F2F4F7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3243A"/>
                <w:sz w:val="19"/>
              </w:rPr>
              <w:t>Commercial term</w:t>
            </w:r>
          </w:p>
        </w:tc>
      </w:tr>
      <w:tr>
        <w:trPr/>
        <w:tc>
          <w:tcPr>
            <w:tcW w:type="dxa" w:w="220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Active worker records</w:t>
            </w:r>
          </w:p>
        </w:tc>
        <w:tc>
          <w:tcPr>
            <w:tcW w:type="dxa" w:w="42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Up to 18,000</w:t>
            </w:r>
          </w:p>
        </w:tc>
        <w:tc>
          <w:tcPr>
            <w:tcW w:type="dxa" w:w="28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Included</w:t>
            </w:r>
          </w:p>
        </w:tc>
      </w:tr>
      <w:tr>
        <w:trPr/>
        <w:tc>
          <w:tcPr>
            <w:tcW w:type="dxa" w:w="220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Production interfaces</w:t>
            </w:r>
          </w:p>
        </w:tc>
        <w:tc>
          <w:tcPr>
            <w:tcW w:type="dxa" w:w="42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Included</w:t>
            </w:r>
          </w:p>
        </w:tc>
      </w:tr>
      <w:tr>
        <w:trPr/>
        <w:tc>
          <w:tcPr>
            <w:tcW w:type="dxa" w:w="220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Monthly availability</w:t>
            </w:r>
          </w:p>
        </w:tc>
        <w:tc>
          <w:tcPr>
            <w:tcW w:type="dxa" w:w="42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99.5 percent</w:t>
            </w:r>
          </w:p>
        </w:tc>
        <w:tc>
          <w:tcPr>
            <w:tcW w:type="dxa" w:w="28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Credits capped at 10 percent</w:t>
            </w:r>
          </w:p>
        </w:tc>
      </w:tr>
      <w:tr>
        <w:trPr/>
        <w:tc>
          <w:tcPr>
            <w:tcW w:type="dxa" w:w="220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Initial term</w:t>
            </w:r>
          </w:p>
        </w:tc>
        <w:tc>
          <w:tcPr>
            <w:tcW w:type="dxa" w:w="42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3 years</w:t>
            </w:r>
          </w:p>
        </w:tc>
        <w:tc>
          <w:tcPr>
            <w:tcW w:type="dxa" w:w="28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No convenience termination</w:t>
            </w:r>
          </w:p>
        </w:tc>
      </w:tr>
      <w:tr>
        <w:trPr/>
        <w:tc>
          <w:tcPr>
            <w:tcW w:type="dxa" w:w="220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Renewal notice</w:t>
            </w:r>
          </w:p>
        </w:tc>
        <w:tc>
          <w:tcPr>
            <w:tcW w:type="dxa" w:w="42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120 days before expiry</w:t>
            </w:r>
          </w:p>
        </w:tc>
        <w:tc>
          <w:tcPr>
            <w:tcW w:type="dxa" w:w="2880"/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3243A"/>
                <w:sz w:val="19"/>
              </w:rPr>
              <w:t>12-month renewals</w:t>
            </w:r>
          </w:p>
        </w:tc>
      </w:tr>
    </w:tbl>
    <w:p>
      <w:pPr>
        <w:pStyle w:val="Heading1"/>
        <w:keepNext/>
      </w:pPr>
      <w:r>
        <w:t>Signatures</w:t>
      </w:r>
    </w:p>
    <w:p>
      <w:pPr>
        <w:spacing w:after="240"/>
      </w:pPr>
      <w:r>
        <w:rPr>
          <w:rFonts w:ascii="Calibri" w:hAnsi="Calibri"/>
          <w:color w:val="13243A"/>
          <w:sz w:val="22"/>
        </w:rPr>
        <w:t>The parties intend to be legally bound when this Agreement is signed by their authorised representatives.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/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3243A"/>
                <w:sz w:val="20"/>
              </w:rPr>
              <w:t>QuillHR Cloud Ltd.</w:t>
            </w:r>
          </w:p>
        </w:tc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3243A"/>
                <w:sz w:val="20"/>
              </w:rPr>
              <w:t>Mariner Logistics Group AB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Signature: __________________________</w:t>
            </w:r>
          </w:p>
        </w:tc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Signature: __________________________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Name: Authorised Signatory</w:t>
            </w:r>
          </w:p>
        </w:tc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Name: Authorised Signatory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Title: ______________________________</w:t>
            </w:r>
          </w:p>
        </w:tc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Title: ______________________________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Date: _______________________________</w:t>
            </w:r>
          </w:p>
        </w:tc>
        <w:tc>
          <w:tcPr>
            <w:tcW w:type="dxa" w:w="468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3243A"/>
                <w:sz w:val="20"/>
              </w:rPr>
              <w:t>Date: _______________________________</w:t>
            </w:r>
          </w:p>
        </w:tc>
      </w:tr>
    </w:tbl>
    <w:p>
      <w:pPr>
        <w:spacing w:before="240"/>
        <w:jc w:val="center"/>
      </w:pPr>
      <w:r>
        <w:rPr>
          <w:rFonts w:ascii="Calibri" w:hAnsi="Calibri"/>
          <w:i/>
          <w:color w:val="596576"/>
          <w:sz w:val="18"/>
        </w:rPr>
        <w:t>End of fictional sample agreement. All entities, dates, and commercial terms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96576"/>
        <w:sz w:val="18"/>
      </w:rPr>
      <w:t xml:space="preserve">DEMO-SAAS-2026-033  |  Fictional sample  |  Page </w:t>
    </w:r>
    <w:r>
      <w:rPr>
        <w:rFonts w:ascii="Calibri" w:hAnsi="Calibri"/>
        <w:color w:val="5965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596576"/>
        <w:sz w:val="17"/>
      </w:rPr>
      <w:t>FICTIONAL DEMO AGREEMENT  |  CLM ONE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32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36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324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jc w:val="center"/>
    </w:pPr>
    <w:rPr>
      <w:rFonts w:asciiTheme="majorHAnsi" w:eastAsiaTheme="majorEastAsia" w:hAnsiTheme="majorHAnsi" w:cstheme="majorBidi" w:ascii="Calibri" w:hAnsi="Calibri"/>
      <w:i w:val="0"/>
      <w:iCs/>
      <w:color w:val="59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Subscription Agreement</dc:title>
  <dc:subject>Fictional CLM One upload and review sample</dc:subject>
  <dc:creator>CLM One Demo Data</dc:creator>
  <cp:keywords>fictional, demo, contract, CLM One</cp:keywords>
  <dc:description>Contains no real client, employee, payroll, or personal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