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Mutual Non-Disclosure Agreement</w:t>
      </w:r>
    </w:p>
    <w:p>
      <w:pPr>
        <w:pStyle w:val="Subtitle"/>
      </w:pPr>
      <w:r>
        <w:t>Evaluation of a cross-border payroll transformation programme</w:t>
      </w:r>
    </w:p>
    <w:p>
      <w:pPr>
        <w:spacing w:before="80" w:after="320"/>
        <w:ind w:left="432" w:right="432"/>
        <w:jc w:val="center"/>
        <w:shd w:fill="FFF7E6"/>
      </w:pPr>
      <w:r>
        <w:rPr>
          <w:rFonts w:ascii="Calibri" w:hAnsi="Calibri"/>
          <w:b/>
          <w:color w:val="7A5A00"/>
          <w:sz w:val="19"/>
        </w:rPr>
        <w:t>FICTIONAL SAMPLE FOR PRODUCT DEMONSTRATION ONLY. No real parties, employees, payroll records, or legal advice.</w:t>
      </w:r>
    </w:p>
    <w:tbl>
      <w:tblPr>
        <w:tblW w:type="dxa" w:w="9360"/>
        <w:jc w:val="left"/>
        <w:tblLayout w:type="fixed"/>
        <w:tblLook w:firstColumn="1" w:firstRow="1" w:lastColumn="0" w:lastRow="0" w:noHBand="0" w:noVBand="1" w:val="04A0"/>
        <w:tblInd w:type="dxa" w:w="120"/>
      </w:tblPr>
      <w:tblGrid>
        <w:gridCol w:w="1500"/>
        <w:gridCol w:w="3180"/>
        <w:gridCol w:w="1500"/>
        <w:gridCol w:w="3180"/>
      </w:tblGrid>
      <w:tr>
        <w:trPr/>
        <w:tc>
          <w:tcPr>
            <w:tcW w:type="dxa" w:w="1500"/>
            <w:vAlign w:val="center"/>
            <w:shd w:fill="E8EEF5"/>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color w:val="1F4D78"/>
                <w:sz w:val="19"/>
              </w:rPr>
              <w:t>Reference</w:t>
            </w:r>
          </w:p>
        </w:tc>
        <w:tc>
          <w:tcPr>
            <w:tcW w:type="dxa" w:w="3180"/>
            <w:vAlign w:val="center"/>
            <w:shd w:fill="FFFFFF"/>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val="0"/>
                <w:color w:val="13243A"/>
                <w:sz w:val="20"/>
              </w:rPr>
              <w:t>DEMO-NDA-2026-001</w:t>
            </w:r>
          </w:p>
        </w:tc>
        <w:tc>
          <w:tcPr>
            <w:tcW w:type="dxa" w:w="1500"/>
            <w:vAlign w:val="center"/>
            <w:shd w:fill="E8EEF5"/>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color w:val="1F4D78"/>
                <w:sz w:val="19"/>
              </w:rPr>
              <w:t>Effective date</w:t>
            </w:r>
          </w:p>
        </w:tc>
        <w:tc>
          <w:tcPr>
            <w:tcW w:type="dxa" w:w="3180"/>
            <w:vAlign w:val="center"/>
            <w:shd w:fill="FFFFFF"/>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val="0"/>
                <w:color w:val="13243A"/>
                <w:sz w:val="20"/>
              </w:rPr>
              <w:t>1 September 2026</w:t>
            </w:r>
          </w:p>
        </w:tc>
      </w:tr>
      <w:tr>
        <w:trPr/>
        <w:tc>
          <w:tcPr>
            <w:tcW w:type="dxa" w:w="1500"/>
            <w:vAlign w:val="center"/>
            <w:shd w:fill="E8EEF5"/>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color w:val="1F4D78"/>
                <w:sz w:val="19"/>
              </w:rPr>
              <w:t>Party A</w:t>
            </w:r>
          </w:p>
        </w:tc>
        <w:tc>
          <w:tcPr>
            <w:tcW w:type="dxa" w:w="3180"/>
            <w:vAlign w:val="center"/>
            <w:shd w:fill="FFFFFF"/>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val="0"/>
                <w:color w:val="13243A"/>
                <w:sz w:val="20"/>
              </w:rPr>
              <w:t>Aurora Payroll Labs B.V.</w:t>
            </w:r>
          </w:p>
        </w:tc>
        <w:tc>
          <w:tcPr>
            <w:tcW w:type="dxa" w:w="1500"/>
            <w:vAlign w:val="center"/>
            <w:shd w:fill="E8EEF5"/>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color w:val="1F4D78"/>
                <w:sz w:val="19"/>
              </w:rPr>
              <w:t>Party B</w:t>
            </w:r>
          </w:p>
        </w:tc>
        <w:tc>
          <w:tcPr>
            <w:tcW w:type="dxa" w:w="3180"/>
            <w:vAlign w:val="center"/>
            <w:shd w:fill="FFFFFF"/>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val="0"/>
                <w:color w:val="13243A"/>
                <w:sz w:val="20"/>
              </w:rPr>
              <w:t>Northstar Retail Group GmbH</w:t>
            </w:r>
          </w:p>
        </w:tc>
      </w:tr>
      <w:tr>
        <w:trPr/>
        <w:tc>
          <w:tcPr>
            <w:tcW w:type="dxa" w:w="1500"/>
            <w:vAlign w:val="center"/>
            <w:shd w:fill="E8EEF5"/>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color w:val="1F4D78"/>
                <w:sz w:val="19"/>
              </w:rPr>
              <w:t>Term</w:t>
            </w:r>
          </w:p>
        </w:tc>
        <w:tc>
          <w:tcPr>
            <w:tcW w:type="dxa" w:w="3180"/>
            <w:vAlign w:val="center"/>
            <w:shd w:fill="FFFFFF"/>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val="0"/>
                <w:color w:val="13243A"/>
                <w:sz w:val="20"/>
              </w:rPr>
              <w:t>3 years; confidentiality survives for 5 years</w:t>
            </w:r>
          </w:p>
        </w:tc>
        <w:tc>
          <w:tcPr>
            <w:tcW w:type="dxa" w:w="1500"/>
            <w:vAlign w:val="center"/>
            <w:shd w:fill="E8EEF5"/>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color w:val="1F4D78"/>
                <w:sz w:val="19"/>
              </w:rPr>
              <w:t>Contract value</w:t>
            </w:r>
          </w:p>
        </w:tc>
        <w:tc>
          <w:tcPr>
            <w:tcW w:type="dxa" w:w="3180"/>
            <w:vAlign w:val="center"/>
            <w:shd w:fill="FFFFFF"/>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val="0"/>
                <w:color w:val="13243A"/>
                <w:sz w:val="20"/>
              </w:rPr>
              <w:t>No committed contract value</w:t>
            </w:r>
          </w:p>
        </w:tc>
      </w:tr>
      <w:tr>
        <w:trPr/>
        <w:tc>
          <w:tcPr>
            <w:tcW w:type="dxa" w:w="1500"/>
            <w:vAlign w:val="center"/>
            <w:shd w:fill="E8EEF5"/>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color w:val="1F4D78"/>
                <w:sz w:val="19"/>
              </w:rPr>
              <w:t>Governing law</w:t>
            </w:r>
          </w:p>
        </w:tc>
        <w:tc>
          <w:tcPr>
            <w:tcW w:type="dxa" w:w="3180"/>
            <w:vAlign w:val="center"/>
            <w:shd w:fill="FFFFFF"/>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val="0"/>
                <w:color w:val="13243A"/>
                <w:sz w:val="20"/>
              </w:rPr>
              <w:t>The Netherlands</w:t>
            </w:r>
          </w:p>
        </w:tc>
        <w:tc>
          <w:tcPr>
            <w:tcW w:type="dxa" w:w="1500"/>
            <w:vAlign w:val="center"/>
            <w:shd w:fill="E8EEF5"/>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color w:val="1F4D78"/>
                <w:sz w:val="19"/>
              </w:rPr>
              <w:t>Document state</w:t>
            </w:r>
          </w:p>
        </w:tc>
        <w:tc>
          <w:tcPr>
            <w:tcW w:type="dxa" w:w="3180"/>
            <w:vAlign w:val="center"/>
            <w:shd w:fill="FFFFFF"/>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val="0"/>
                <w:color w:val="13243A"/>
                <w:sz w:val="20"/>
              </w:rPr>
              <w:t>Draft for review</w:t>
            </w:r>
          </w:p>
        </w:tc>
      </w:tr>
    </w:tbl>
    <w:p>
      <w:pPr>
        <w:spacing w:before="320" w:after="200"/>
        <w:jc w:val="both"/>
      </w:pPr>
      <w:r>
        <w:rPr>
          <w:rFonts w:ascii="Calibri" w:hAnsi="Calibri"/>
          <w:color w:val="13243A"/>
          <w:sz w:val="22"/>
        </w:rPr>
        <w:t>This Mutual Non-Disclosure Agreement (the Agreement) is entered into by Aurora Payroll Labs B.V., a fictional Dutch private company, and Northstar Retail Group GmbH, a fictional German company. The parties wish to evaluate a potential global payroll transformation programme and may exchange confidential commercial, technical, security, pricing, workforce, and implementation information.</w:t>
      </w:r>
    </w:p>
    <w:p>
      <w:pPr>
        <w:spacing w:before="80" w:after="240"/>
        <w:jc w:val="both"/>
      </w:pPr>
      <w:r>
        <w:rPr>
          <w:rFonts w:ascii="Calibri" w:hAnsi="Calibri"/>
          <w:b/>
          <w:color w:val="13243A"/>
          <w:sz w:val="22"/>
        </w:rPr>
        <w:t>In consideration of the mutual promises in this Agreement, the parties agree as follows.</w:t>
      </w:r>
    </w:p>
    <w:p>
      <w:pPr>
        <w:pStyle w:val="Heading1"/>
        <w:keepNext/>
      </w:pPr>
      <w:r>
        <w:t>1. Definitions</w:t>
      </w:r>
    </w:p>
    <w:p>
      <w:pPr>
        <w:keepLines/>
        <w:jc w:val="both"/>
      </w:pPr>
      <w:r>
        <w:rPr>
          <w:rFonts w:ascii="Calibri" w:hAnsi="Calibri"/>
          <w:color w:val="13243A"/>
          <w:sz w:val="22"/>
        </w:rPr>
        <w:t>Confidential Information means non-public information disclosed in any form that is marked confidential or that a reasonable recipient should understand to be confidential in the circumstances.</w:t>
      </w:r>
    </w:p>
    <w:p>
      <w:pPr>
        <w:keepLines/>
        <w:jc w:val="both"/>
      </w:pPr>
      <w:r>
        <w:rPr>
          <w:rFonts w:ascii="Calibri" w:hAnsi="Calibri"/>
          <w:color w:val="13243A"/>
          <w:sz w:val="22"/>
        </w:rPr>
        <w:t>Representatives means a party's employees, professional advisers, affiliates, and subcontractors who need the information for the Permitted Purpose and are bound by confidentiality duties.</w:t>
      </w:r>
    </w:p>
    <w:p>
      <w:pPr>
        <w:pStyle w:val="Heading1"/>
        <w:keepNext/>
      </w:pPr>
      <w:r>
        <w:t>2. Permitted Purpose and use restrictions</w:t>
      </w:r>
    </w:p>
    <w:p>
      <w:pPr>
        <w:keepLines/>
        <w:jc w:val="both"/>
      </w:pPr>
      <w:r>
        <w:rPr>
          <w:rFonts w:ascii="Calibri" w:hAnsi="Calibri"/>
          <w:color w:val="13243A"/>
          <w:sz w:val="22"/>
        </w:rPr>
        <w:t>The recipient may use Confidential Information solely to evaluate, plan, and negotiate the proposed payroll transformation programme.</w:t>
      </w:r>
    </w:p>
    <w:p>
      <w:pPr>
        <w:keepLines/>
        <w:jc w:val="both"/>
      </w:pPr>
      <w:r>
        <w:rPr>
          <w:rFonts w:ascii="Calibri" w:hAnsi="Calibri"/>
          <w:color w:val="13243A"/>
          <w:sz w:val="22"/>
        </w:rPr>
        <w:t>The recipient must not reverse engineer prototypes, use pricing to benchmark a competing procurement, or disclose Confidential Information to any person except its Representatives.</w:t>
      </w:r>
    </w:p>
    <w:p>
      <w:r>
        <w:br w:type="page"/>
      </w:r>
    </w:p>
    <w:p>
      <w:pPr>
        <w:pStyle w:val="Heading1"/>
        <w:keepNext/>
      </w:pPr>
      <w:r>
        <w:t>3. Exclusions</w:t>
      </w:r>
    </w:p>
    <w:p>
      <w:pPr>
        <w:keepLines/>
        <w:jc w:val="both"/>
      </w:pPr>
      <w:r>
        <w:rPr>
          <w:rFonts w:ascii="Calibri" w:hAnsi="Calibri"/>
          <w:color w:val="13243A"/>
          <w:sz w:val="22"/>
        </w:rPr>
        <w:t>Confidential Information does not include information that the recipient can demonstrate was lawfully known without restriction, becomes public without breach, is received lawfully from a third party, or is independently developed without use of the disclosed information.</w:t>
      </w:r>
    </w:p>
    <w:p>
      <w:pPr>
        <w:keepLines/>
        <w:jc w:val="both"/>
      </w:pPr>
      <w:r>
        <w:rPr>
          <w:rFonts w:ascii="Calibri" w:hAnsi="Calibri"/>
          <w:color w:val="13243A"/>
          <w:sz w:val="22"/>
        </w:rPr>
        <w:t>General ideas, skills, and experience retained in unaided memory may be used, provided that no source code, personal data, customer list, pricing schedule, or identifiable business plan is disclosed or reconstructed.</w:t>
      </w:r>
    </w:p>
    <w:p>
      <w:pPr>
        <w:pStyle w:val="Heading1"/>
        <w:keepNext/>
      </w:pPr>
      <w:r>
        <w:t>4. Required disclosure</w:t>
      </w:r>
    </w:p>
    <w:p>
      <w:pPr>
        <w:keepLines/>
        <w:jc w:val="both"/>
      </w:pPr>
      <w:r>
        <w:rPr>
          <w:rFonts w:ascii="Calibri" w:hAnsi="Calibri"/>
          <w:color w:val="13243A"/>
          <w:sz w:val="22"/>
        </w:rPr>
        <w:t>If disclosure is required by law or a competent authority, the recipient must, where legally permitted, give prompt written notice and reasonably cooperate to limit the scope of disclosure.</w:t>
      </w:r>
    </w:p>
    <w:p>
      <w:pPr>
        <w:pStyle w:val="Heading1"/>
        <w:keepNext/>
      </w:pPr>
      <w:r>
        <w:t>5. Security and personal data</w:t>
      </w:r>
    </w:p>
    <w:p>
      <w:pPr>
        <w:keepLines/>
        <w:jc w:val="both"/>
      </w:pPr>
      <w:r>
        <w:rPr>
          <w:rFonts w:ascii="Calibri" w:hAnsi="Calibri"/>
          <w:color w:val="13243A"/>
          <w:sz w:val="22"/>
        </w:rPr>
        <w:t>Each recipient must apply reasonable technical and organisational safeguards. Personal data may be exchanged only after the parties execute an appropriate data processing agreement and document the relevant transfer mechanism.</w:t>
      </w:r>
    </w:p>
    <w:p>
      <w:pPr>
        <w:keepLines/>
        <w:jc w:val="both"/>
      </w:pPr>
      <w:r>
        <w:rPr>
          <w:rFonts w:ascii="Calibri" w:hAnsi="Calibri"/>
          <w:color w:val="13243A"/>
          <w:sz w:val="22"/>
        </w:rPr>
        <w:t>A suspected unauthorised disclosure must be reported to the disclosing party without undue delay and in any event within 48 hours after confirmation.</w:t>
      </w:r>
    </w:p>
    <w:p>
      <w:pPr>
        <w:pStyle w:val="Heading1"/>
        <w:keepNext/>
      </w:pPr>
      <w:r>
        <w:t>6. Return, deletion, and retention</w:t>
      </w:r>
    </w:p>
    <w:p>
      <w:pPr>
        <w:keepLines/>
        <w:jc w:val="both"/>
      </w:pPr>
      <w:r>
        <w:rPr>
          <w:rFonts w:ascii="Calibri" w:hAnsi="Calibri"/>
          <w:color w:val="13243A"/>
          <w:sz w:val="22"/>
        </w:rPr>
        <w:t>On written request or termination of discussions, the recipient must return or securely delete Confidential Information within 30 days, except for one archival copy retained solely to meet legal or professional obligations.</w:t>
      </w:r>
    </w:p>
    <w:p>
      <w:r>
        <w:br w:type="page"/>
      </w:r>
    </w:p>
    <w:p>
      <w:pPr>
        <w:pStyle w:val="Heading1"/>
        <w:keepNext/>
      </w:pPr>
      <w:r>
        <w:t>7. Term and remedies</w:t>
      </w:r>
    </w:p>
    <w:p>
      <w:pPr>
        <w:keepLines/>
        <w:jc w:val="both"/>
      </w:pPr>
      <w:r>
        <w:rPr>
          <w:rFonts w:ascii="Calibri" w:hAnsi="Calibri"/>
          <w:color w:val="13243A"/>
          <w:sz w:val="22"/>
        </w:rPr>
        <w:t>This Agreement continues for three years from the Effective Date. Confidentiality duties continue for five years after each disclosure; trade secrets remain protected while they qualify as trade secrets.</w:t>
      </w:r>
    </w:p>
    <w:p>
      <w:pPr>
        <w:keepLines/>
        <w:jc w:val="both"/>
      </w:pPr>
      <w:r>
        <w:rPr>
          <w:rFonts w:ascii="Calibri" w:hAnsi="Calibri"/>
          <w:color w:val="13243A"/>
          <w:sz w:val="22"/>
        </w:rPr>
        <w:t>The parties acknowledge that damages may be inadequate for a material breach and that equitable relief may be available in addition to other remedies.</w:t>
      </w:r>
    </w:p>
    <w:p>
      <w:pPr>
        <w:pStyle w:val="Heading1"/>
        <w:keepNext/>
      </w:pPr>
      <w:r>
        <w:t>8. Governing law and disputes</w:t>
      </w:r>
    </w:p>
    <w:p>
      <w:pPr>
        <w:keepLines/>
        <w:jc w:val="both"/>
      </w:pPr>
      <w:r>
        <w:rPr>
          <w:rFonts w:ascii="Calibri" w:hAnsi="Calibri"/>
          <w:color w:val="13243A"/>
          <w:sz w:val="22"/>
        </w:rPr>
        <w:t>This Agreement is governed by the laws of the Netherlands. The courts of Amsterdam have exclusive jurisdiction.</w:t>
      </w:r>
    </w:p>
    <w:p>
      <w:pPr>
        <w:pStyle w:val="Heading1"/>
        <w:keepNext/>
      </w:pPr>
      <w:r>
        <w:t>Schedule 1. Disclosure and review details</w:t>
      </w:r>
    </w:p>
    <w:tbl>
      <w:tblPr>
        <w:tblW w:type="dxa" w:w="9360"/>
        <w:jc w:val="left"/>
        <w:tblLayout w:type="fixed"/>
        <w:tblLook w:firstColumn="1" w:firstRow="1" w:lastColumn="0" w:lastRow="0" w:noHBand="0" w:noVBand="1" w:val="04A0"/>
        <w:tblInd w:type="dxa" w:w="120"/>
      </w:tblPr>
      <w:tblGrid>
        <w:gridCol w:w="2200"/>
        <w:gridCol w:w="4280"/>
        <w:gridCol w:w="2880"/>
      </w:tblGrid>
      <w:tr>
        <w:trPr>
          <w:tblHeader w:val="true"/>
        </w:trPr>
        <w:tc>
          <w:tcPr>
            <w:tcW w:type="dxa" w:w="2200"/>
            <w:shd w:fill="F2F4F7"/>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jc w:val="left"/>
            </w:pPr>
            <w:r>
              <w:rPr>
                <w:rFonts w:ascii="Calibri" w:hAnsi="Calibri"/>
                <w:b/>
                <w:color w:val="13243A"/>
                <w:sz w:val="19"/>
              </w:rPr>
              <w:t>Topic</w:t>
            </w:r>
          </w:p>
        </w:tc>
        <w:tc>
          <w:tcPr>
            <w:tcW w:type="dxa" w:w="4280"/>
            <w:shd w:fill="F2F4F7"/>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jc w:val="left"/>
            </w:pPr>
            <w:r>
              <w:rPr>
                <w:rFonts w:ascii="Calibri" w:hAnsi="Calibri"/>
                <w:b/>
                <w:color w:val="13243A"/>
                <w:sz w:val="19"/>
              </w:rPr>
              <w:t>Agreed position</w:t>
            </w:r>
          </w:p>
        </w:tc>
        <w:tc>
          <w:tcPr>
            <w:tcW w:type="dxa" w:w="2880"/>
            <w:shd w:fill="F2F4F7"/>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jc w:val="left"/>
            </w:pPr>
            <w:r>
              <w:rPr>
                <w:rFonts w:ascii="Calibri" w:hAnsi="Calibri"/>
                <w:b/>
                <w:color w:val="13243A"/>
                <w:sz w:val="19"/>
              </w:rPr>
              <w:t>Operational owner</w:t>
            </w:r>
          </w:p>
        </w:tc>
      </w:tr>
      <w:tr>
        <w:trPr/>
        <w:tc>
          <w:tcPr>
            <w:tcW w:type="dxa" w:w="220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Primary purpose</w:t>
            </w:r>
          </w:p>
        </w:tc>
        <w:tc>
          <w:tcPr>
            <w:tcW w:type="dxa" w:w="428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Payroll transformation evaluation</w:t>
            </w:r>
          </w:p>
        </w:tc>
        <w:tc>
          <w:tcPr>
            <w:tcW w:type="dxa" w:w="288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Programme Director</w:t>
            </w:r>
          </w:p>
        </w:tc>
      </w:tr>
      <w:tr>
        <w:trPr/>
        <w:tc>
          <w:tcPr>
            <w:tcW w:type="dxa" w:w="220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Permitted recipients</w:t>
            </w:r>
          </w:p>
        </w:tc>
        <w:tc>
          <w:tcPr>
            <w:tcW w:type="dxa" w:w="428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Need-to-know Representatives</w:t>
            </w:r>
          </w:p>
        </w:tc>
        <w:tc>
          <w:tcPr>
            <w:tcW w:type="dxa" w:w="288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Legal Operations</w:t>
            </w:r>
          </w:p>
        </w:tc>
      </w:tr>
      <w:tr>
        <w:trPr/>
        <w:tc>
          <w:tcPr>
            <w:tcW w:type="dxa" w:w="220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Incident notice</w:t>
            </w:r>
          </w:p>
        </w:tc>
        <w:tc>
          <w:tcPr>
            <w:tcW w:type="dxa" w:w="428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Within 48 hours after confirmation</w:t>
            </w:r>
          </w:p>
        </w:tc>
        <w:tc>
          <w:tcPr>
            <w:tcW w:type="dxa" w:w="288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Security Lead</w:t>
            </w:r>
          </w:p>
        </w:tc>
      </w:tr>
      <w:tr>
        <w:trPr/>
        <w:tc>
          <w:tcPr>
            <w:tcW w:type="dxa" w:w="220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Deletion deadline</w:t>
            </w:r>
          </w:p>
        </w:tc>
        <w:tc>
          <w:tcPr>
            <w:tcW w:type="dxa" w:w="428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30 days after request</w:t>
            </w:r>
          </w:p>
        </w:tc>
        <w:tc>
          <w:tcPr>
            <w:tcW w:type="dxa" w:w="288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Information Governance</w:t>
            </w:r>
          </w:p>
        </w:tc>
      </w:tr>
    </w:tbl>
    <w:p>
      <w:pPr>
        <w:pStyle w:val="Heading1"/>
        <w:keepNext/>
      </w:pPr>
      <w:r>
        <w:t>Signatures</w:t>
      </w:r>
    </w:p>
    <w:p>
      <w:pPr>
        <w:spacing w:after="240"/>
      </w:pPr>
      <w:r>
        <w:rPr>
          <w:rFonts w:ascii="Calibri" w:hAnsi="Calibri"/>
          <w:color w:val="13243A"/>
          <w:sz w:val="22"/>
        </w:rPr>
        <w:t>The parties intend to be legally bound when this Agreement is signed by their authorised representatives.</w:t>
      </w:r>
    </w:p>
    <w:tbl>
      <w:tblPr>
        <w:tblW w:type="dxa" w:w="9360"/>
        <w:jc w:val="left"/>
        <w:tblLayout w:type="fixed"/>
        <w:tblLook w:firstColumn="1" w:firstRow="1" w:lastColumn="0" w:lastRow="0" w:noHBand="0" w:noVBand="1" w:val="04A0"/>
        <w:tblInd w:type="dxa" w:w="120"/>
      </w:tblPr>
      <w:tblGrid>
        <w:gridCol w:w="4680"/>
        <w:gridCol w:w="4680"/>
      </w:tblGrid>
      <w:tr>
        <w:trPr/>
        <w:tc>
          <w:tcPr>
            <w:tcW w:type="dxa" w:w="4680"/>
            <w:vAlign w:val="center"/>
            <w:tcBorders>
              <w:top w:val="single" w:sz="0" w:color="FFFFFF"/>
              <w:left w:val="single" w:sz="0" w:color="FFFFFF"/>
              <w:bottom w:val="single" w:sz="0" w:color="FFFFFF"/>
              <w:right w:val="single" w:sz="0" w:color="FFFFFF"/>
              <w:insideH w:val="single" w:sz="0" w:color="FFFFFF"/>
              <w:insideV w:val="single" w:sz="0" w:color="FFFFFF"/>
            </w:tcBorders>
            <w:shd w:fill="E8EEF5"/>
            <w:tcMar>
              <w:top w:w="80" w:type="dxa"/>
              <w:bottom w:w="80" w:type="dxa"/>
              <w:start w:w="120" w:type="dxa"/>
              <w:end w:w="120" w:type="dxa"/>
            </w:tcMar>
          </w:tcPr>
          <w:p>
            <w:pPr>
              <w:spacing w:after="0"/>
            </w:pPr>
            <w:r>
              <w:rPr>
                <w:rFonts w:ascii="Calibri" w:hAnsi="Calibri"/>
                <w:b/>
                <w:color w:val="13243A"/>
                <w:sz w:val="20"/>
              </w:rPr>
              <w:t>Aurora Payroll Labs B.V.</w:t>
            </w:r>
          </w:p>
        </w:tc>
        <w:tc>
          <w:tcPr>
            <w:tcW w:type="dxa" w:w="4680"/>
            <w:vAlign w:val="center"/>
            <w:tcBorders>
              <w:top w:val="single" w:sz="0" w:color="FFFFFF"/>
              <w:left w:val="single" w:sz="0" w:color="FFFFFF"/>
              <w:bottom w:val="single" w:sz="0" w:color="FFFFFF"/>
              <w:right w:val="single" w:sz="0" w:color="FFFFFF"/>
              <w:insideH w:val="single" w:sz="0" w:color="FFFFFF"/>
              <w:insideV w:val="single" w:sz="0" w:color="FFFFFF"/>
            </w:tcBorders>
            <w:shd w:fill="E8EEF5"/>
            <w:tcMar>
              <w:top w:w="80" w:type="dxa"/>
              <w:bottom w:w="80" w:type="dxa"/>
              <w:start w:w="120" w:type="dxa"/>
              <w:end w:w="120" w:type="dxa"/>
            </w:tcMar>
          </w:tcPr>
          <w:p>
            <w:pPr>
              <w:spacing w:after="0"/>
            </w:pPr>
            <w:r>
              <w:rPr>
                <w:rFonts w:ascii="Calibri" w:hAnsi="Calibri"/>
                <w:b/>
                <w:color w:val="13243A"/>
                <w:sz w:val="20"/>
              </w:rPr>
              <w:t>Northstar Retail Group GmbH</w:t>
            </w:r>
          </w:p>
        </w:tc>
      </w:tr>
      <w:tr>
        <w:trPr/>
        <w:tc>
          <w:tcPr>
            <w:tcW w:type="dxa" w:w="4680"/>
            <w:vAlign w:val="center"/>
            <w:tcBorders>
              <w:top w:val="single" w:sz="0" w:color="FFFFFF"/>
              <w:left w:val="single" w:sz="0" w:color="FFFFFF"/>
              <w:bottom w:val="single" w:sz="0" w:color="FFFFFF"/>
              <w:right w:val="single" w:sz="0" w:color="FFFFFF"/>
              <w:insideH w:val="single" w:sz="0" w:color="FFFFFF"/>
              <w:insideV w:val="single" w:sz="0" w:color="FFFFFF"/>
            </w:tcBorders>
            <w:tcMar>
              <w:top w:w="80" w:type="dxa"/>
              <w:bottom w:w="80" w:type="dxa"/>
              <w:start w:w="120" w:type="dxa"/>
              <w:end w:w="120" w:type="dxa"/>
            </w:tcMar>
          </w:tcPr>
          <w:p>
            <w:pPr>
              <w:spacing w:after="60"/>
            </w:pPr>
            <w:r>
              <w:rPr>
                <w:rFonts w:ascii="Calibri" w:hAnsi="Calibri"/>
                <w:b w:val="0"/>
                <w:color w:val="13243A"/>
                <w:sz w:val="20"/>
              </w:rPr>
              <w:t>Signature: __________________________</w:t>
            </w:r>
          </w:p>
        </w:tc>
        <w:tc>
          <w:tcPr>
            <w:tcW w:type="dxa" w:w="4680"/>
            <w:vAlign w:val="center"/>
            <w:tcBorders>
              <w:top w:val="single" w:sz="0" w:color="FFFFFF"/>
              <w:left w:val="single" w:sz="0" w:color="FFFFFF"/>
              <w:bottom w:val="single" w:sz="0" w:color="FFFFFF"/>
              <w:right w:val="single" w:sz="0" w:color="FFFFFF"/>
              <w:insideH w:val="single" w:sz="0" w:color="FFFFFF"/>
              <w:insideV w:val="single" w:sz="0" w:color="FFFFFF"/>
            </w:tcBorders>
            <w:tcMar>
              <w:top w:w="80" w:type="dxa"/>
              <w:bottom w:w="80" w:type="dxa"/>
              <w:start w:w="120" w:type="dxa"/>
              <w:end w:w="120" w:type="dxa"/>
            </w:tcMar>
          </w:tcPr>
          <w:p>
            <w:pPr>
              <w:spacing w:after="60"/>
            </w:pPr>
            <w:r>
              <w:rPr>
                <w:rFonts w:ascii="Calibri" w:hAnsi="Calibri"/>
                <w:b w:val="0"/>
                <w:color w:val="13243A"/>
                <w:sz w:val="20"/>
              </w:rPr>
              <w:t>Signature: __________________________</w:t>
            </w:r>
          </w:p>
        </w:tc>
      </w:tr>
      <w:tr>
        <w:trPr/>
        <w:tc>
          <w:tcPr>
            <w:tcW w:type="dxa" w:w="4680"/>
            <w:vAlign w:val="center"/>
            <w:tcBorders>
              <w:top w:val="single" w:sz="0" w:color="FFFFFF"/>
              <w:left w:val="single" w:sz="0" w:color="FFFFFF"/>
              <w:bottom w:val="single" w:sz="0" w:color="FFFFFF"/>
              <w:right w:val="single" w:sz="0" w:color="FFFFFF"/>
              <w:insideH w:val="single" w:sz="0" w:color="FFFFFF"/>
              <w:insideV w:val="single" w:sz="0" w:color="FFFFFF"/>
            </w:tcBorders>
            <w:tcMar>
              <w:top w:w="80" w:type="dxa"/>
              <w:bottom w:w="80" w:type="dxa"/>
              <w:start w:w="120" w:type="dxa"/>
              <w:end w:w="120" w:type="dxa"/>
            </w:tcMar>
          </w:tcPr>
          <w:p>
            <w:pPr>
              <w:spacing w:after="60"/>
            </w:pPr>
            <w:r>
              <w:rPr>
                <w:rFonts w:ascii="Calibri" w:hAnsi="Calibri"/>
                <w:b w:val="0"/>
                <w:color w:val="13243A"/>
                <w:sz w:val="20"/>
              </w:rPr>
              <w:t>Name: Authorised Signatory</w:t>
            </w:r>
          </w:p>
        </w:tc>
        <w:tc>
          <w:tcPr>
            <w:tcW w:type="dxa" w:w="4680"/>
            <w:vAlign w:val="center"/>
            <w:tcBorders>
              <w:top w:val="single" w:sz="0" w:color="FFFFFF"/>
              <w:left w:val="single" w:sz="0" w:color="FFFFFF"/>
              <w:bottom w:val="single" w:sz="0" w:color="FFFFFF"/>
              <w:right w:val="single" w:sz="0" w:color="FFFFFF"/>
              <w:insideH w:val="single" w:sz="0" w:color="FFFFFF"/>
              <w:insideV w:val="single" w:sz="0" w:color="FFFFFF"/>
            </w:tcBorders>
            <w:tcMar>
              <w:top w:w="80" w:type="dxa"/>
              <w:bottom w:w="80" w:type="dxa"/>
              <w:start w:w="120" w:type="dxa"/>
              <w:end w:w="120" w:type="dxa"/>
            </w:tcMar>
          </w:tcPr>
          <w:p>
            <w:pPr>
              <w:spacing w:after="60"/>
            </w:pPr>
            <w:r>
              <w:rPr>
                <w:rFonts w:ascii="Calibri" w:hAnsi="Calibri"/>
                <w:b w:val="0"/>
                <w:color w:val="13243A"/>
                <w:sz w:val="20"/>
              </w:rPr>
              <w:t>Name: Authorised Signatory</w:t>
            </w:r>
          </w:p>
        </w:tc>
      </w:tr>
      <w:tr>
        <w:trPr/>
        <w:tc>
          <w:tcPr>
            <w:tcW w:type="dxa" w:w="4680"/>
            <w:vAlign w:val="center"/>
            <w:tcBorders>
              <w:top w:val="single" w:sz="0" w:color="FFFFFF"/>
              <w:left w:val="single" w:sz="0" w:color="FFFFFF"/>
              <w:bottom w:val="single" w:sz="0" w:color="FFFFFF"/>
              <w:right w:val="single" w:sz="0" w:color="FFFFFF"/>
              <w:insideH w:val="single" w:sz="0" w:color="FFFFFF"/>
              <w:insideV w:val="single" w:sz="0" w:color="FFFFFF"/>
            </w:tcBorders>
            <w:tcMar>
              <w:top w:w="80" w:type="dxa"/>
              <w:bottom w:w="80" w:type="dxa"/>
              <w:start w:w="120" w:type="dxa"/>
              <w:end w:w="120" w:type="dxa"/>
            </w:tcMar>
          </w:tcPr>
          <w:p>
            <w:pPr>
              <w:spacing w:after="60"/>
            </w:pPr>
            <w:r>
              <w:rPr>
                <w:rFonts w:ascii="Calibri" w:hAnsi="Calibri"/>
                <w:b w:val="0"/>
                <w:color w:val="13243A"/>
                <w:sz w:val="20"/>
              </w:rPr>
              <w:t>Title: ______________________________</w:t>
            </w:r>
          </w:p>
        </w:tc>
        <w:tc>
          <w:tcPr>
            <w:tcW w:type="dxa" w:w="4680"/>
            <w:vAlign w:val="center"/>
            <w:tcBorders>
              <w:top w:val="single" w:sz="0" w:color="FFFFFF"/>
              <w:left w:val="single" w:sz="0" w:color="FFFFFF"/>
              <w:bottom w:val="single" w:sz="0" w:color="FFFFFF"/>
              <w:right w:val="single" w:sz="0" w:color="FFFFFF"/>
              <w:insideH w:val="single" w:sz="0" w:color="FFFFFF"/>
              <w:insideV w:val="single" w:sz="0" w:color="FFFFFF"/>
            </w:tcBorders>
            <w:tcMar>
              <w:top w:w="80" w:type="dxa"/>
              <w:bottom w:w="80" w:type="dxa"/>
              <w:start w:w="120" w:type="dxa"/>
              <w:end w:w="120" w:type="dxa"/>
            </w:tcMar>
          </w:tcPr>
          <w:p>
            <w:pPr>
              <w:spacing w:after="60"/>
            </w:pPr>
            <w:r>
              <w:rPr>
                <w:rFonts w:ascii="Calibri" w:hAnsi="Calibri"/>
                <w:b w:val="0"/>
                <w:color w:val="13243A"/>
                <w:sz w:val="20"/>
              </w:rPr>
              <w:t>Title: ______________________________</w:t>
            </w:r>
          </w:p>
        </w:tc>
      </w:tr>
      <w:tr>
        <w:trPr/>
        <w:tc>
          <w:tcPr>
            <w:tcW w:type="dxa" w:w="4680"/>
            <w:vAlign w:val="center"/>
            <w:tcBorders>
              <w:top w:val="single" w:sz="0" w:color="FFFFFF"/>
              <w:left w:val="single" w:sz="0" w:color="FFFFFF"/>
              <w:bottom w:val="single" w:sz="0" w:color="FFFFFF"/>
              <w:right w:val="single" w:sz="0" w:color="FFFFFF"/>
              <w:insideH w:val="single" w:sz="0" w:color="FFFFFF"/>
              <w:insideV w:val="single" w:sz="0" w:color="FFFFFF"/>
            </w:tcBorders>
            <w:tcMar>
              <w:top w:w="80" w:type="dxa"/>
              <w:bottom w:w="80" w:type="dxa"/>
              <w:start w:w="120" w:type="dxa"/>
              <w:end w:w="120" w:type="dxa"/>
            </w:tcMar>
          </w:tcPr>
          <w:p>
            <w:pPr>
              <w:spacing w:after="60"/>
            </w:pPr>
            <w:r>
              <w:rPr>
                <w:rFonts w:ascii="Calibri" w:hAnsi="Calibri"/>
                <w:b w:val="0"/>
                <w:color w:val="13243A"/>
                <w:sz w:val="20"/>
              </w:rPr>
              <w:t>Date: _______________________________</w:t>
            </w:r>
          </w:p>
        </w:tc>
        <w:tc>
          <w:tcPr>
            <w:tcW w:type="dxa" w:w="4680"/>
            <w:vAlign w:val="center"/>
            <w:tcBorders>
              <w:top w:val="single" w:sz="0" w:color="FFFFFF"/>
              <w:left w:val="single" w:sz="0" w:color="FFFFFF"/>
              <w:bottom w:val="single" w:sz="0" w:color="FFFFFF"/>
              <w:right w:val="single" w:sz="0" w:color="FFFFFF"/>
              <w:insideH w:val="single" w:sz="0" w:color="FFFFFF"/>
              <w:insideV w:val="single" w:sz="0" w:color="FFFFFF"/>
            </w:tcBorders>
            <w:tcMar>
              <w:top w:w="80" w:type="dxa"/>
              <w:bottom w:w="80" w:type="dxa"/>
              <w:start w:w="120" w:type="dxa"/>
              <w:end w:w="120" w:type="dxa"/>
            </w:tcMar>
          </w:tcPr>
          <w:p>
            <w:pPr>
              <w:spacing w:after="60"/>
            </w:pPr>
            <w:r>
              <w:rPr>
                <w:rFonts w:ascii="Calibri" w:hAnsi="Calibri"/>
                <w:b w:val="0"/>
                <w:color w:val="13243A"/>
                <w:sz w:val="20"/>
              </w:rPr>
              <w:t>Date: _______________________________</w:t>
            </w:r>
          </w:p>
        </w:tc>
      </w:tr>
    </w:tbl>
    <w:p>
      <w:pPr>
        <w:spacing w:before="240"/>
        <w:jc w:val="center"/>
      </w:pPr>
      <w:r>
        <w:rPr>
          <w:rFonts w:ascii="Calibri" w:hAnsi="Calibri"/>
          <w:i/>
          <w:color w:val="596576"/>
          <w:sz w:val="18"/>
        </w:rPr>
        <w:t>End of fictional sample agreement. All entities, dates, and commercial terms are synthetic.</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596576"/>
        <w:sz w:val="18"/>
      </w:rPr>
      <w:t xml:space="preserve">DEMO-NDA-2026-001  |  Fictional sample  |  Page </w:t>
    </w:r>
    <w:r>
      <w:rPr>
        <w:rFonts w:ascii="Calibri" w:hAnsi="Calibri"/>
        <w:color w:val="59657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b/>
        <w:color w:val="596576"/>
        <w:sz w:val="17"/>
      </w:rPr>
      <w:t>FICTIONAL DEMO AGREEMENT  |  CLM ONE TEST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1324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360"/>
      <w:contextualSpacing/>
      <w:jc w:val="center"/>
    </w:pPr>
    <w:rPr>
      <w:rFonts w:asciiTheme="majorHAnsi" w:eastAsiaTheme="majorEastAsia" w:hAnsiTheme="majorHAnsi" w:cstheme="majorBidi" w:ascii="Calibri" w:hAnsi="Calibri"/>
      <w:b/>
      <w:color w:val="13243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jc w:val="center"/>
    </w:pPr>
    <w:rPr>
      <w:rFonts w:asciiTheme="majorHAnsi" w:eastAsiaTheme="majorEastAsia" w:hAnsiTheme="majorHAnsi" w:cstheme="majorBidi" w:ascii="Calibri" w:hAnsi="Calibri"/>
      <w:i w:val="0"/>
      <w:iCs/>
      <w:color w:val="59657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Non-Disclosure Agreement</dc:title>
  <dc:subject>Fictional CLM One upload and review sample</dc:subject>
  <dc:creator>CLM One Demo Data</dc:creator>
  <cp:keywords>fictional, demo, contract, CLM One</cp:keywords>
  <dc:description>Contains no real client, employee, payroll, or personal data.</dc:description>
  <cp:lastModifiedBy/>
  <cp:revision>1</cp:revision>
  <dcterms:created xsi:type="dcterms:W3CDTF">2013-12-23T23:15:00Z</dcterms:created>
  <dcterms:modified xsi:type="dcterms:W3CDTF">2013-12-23T23:15:00Z</dcterms:modified>
  <cp:category/>
</cp:coreProperties>
</file>