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Statement of Work</w:t>
      </w:r>
    </w:p>
    <w:p>
      <w:pPr>
        <w:pStyle w:val="Subtitle"/>
      </w:pPr>
      <w:r>
        <w:t>Global Payroll Transformation - implementation across five countries</w:t>
      </w:r>
    </w:p>
    <w:p>
      <w:pPr>
        <w:spacing w:before="80" w:after="320"/>
        <w:ind w:left="432" w:right="432"/>
        <w:jc w:val="center"/>
        <w:shd w:fill="FFF7E6"/>
      </w:pPr>
      <w:r>
        <w:rPr>
          <w:rFonts w:ascii="Calibri" w:hAnsi="Calibri"/>
          <w:b/>
          <w:color w:val="7A5A00"/>
          <w:sz w:val="19"/>
        </w:rPr>
        <w:t>FICTIONAL SAMPLE FOR PRODUCT DEMONSTRATION ONLY. No real parties, employees, payroll records, or legal advice.</w:t>
      </w:r>
    </w:p>
    <w:tbl>
      <w:tblPr>
        <w:tblW w:type="dxa" w:w="9360"/>
        <w:jc w:val="left"/>
        <w:tblLayout w:type="fixed"/>
        <w:tblLook w:firstColumn="1" w:firstRow="1" w:lastColumn="0" w:lastRow="0" w:noHBand="0" w:noVBand="1" w:val="04A0"/>
        <w:tblInd w:type="dxa" w:w="120"/>
      </w:tblPr>
      <w:tblGrid>
        <w:gridCol w:w="1500"/>
        <w:gridCol w:w="3180"/>
        <w:gridCol w:w="1500"/>
        <w:gridCol w:w="3180"/>
      </w:tblGrid>
      <w:tr>
        <w:trPr/>
        <w:tc>
          <w:tcPr>
            <w:tcW w:type="dxa" w:w="1500"/>
            <w:vAlign w:val="center"/>
            <w:shd w:fill="E8EEF5"/>
            <w:tcBorders>
              <w:top w:val="single" w:sz="6" w:color="D7DDE5"/>
              <w:left w:val="single" w:sz="6" w:color="D7DDE5"/>
              <w:bottom w:val="single" w:sz="6" w:color="D7DDE5"/>
              <w:right w:val="single" w:sz="6" w:color="D7DDE5"/>
              <w:insideH w:val="single" w:sz="6" w:color="D7DDE5"/>
              <w:insideV w:val="single" w:sz="6" w:color="D7DDE5"/>
            </w:tcBorders>
            <w:tcMar>
              <w:top w:w="80" w:type="dxa"/>
              <w:bottom w:w="80" w:type="dxa"/>
              <w:start w:w="120" w:type="dxa"/>
              <w:end w:w="120" w:type="dxa"/>
            </w:tcMar>
          </w:tcPr>
          <w:p>
            <w:pPr>
              <w:spacing w:after="0"/>
            </w:pPr>
            <w:r>
              <w:rPr>
                <w:rFonts w:ascii="Calibri" w:hAnsi="Calibri"/>
                <w:b/>
                <w:color w:val="1F4D78"/>
                <w:sz w:val="19"/>
              </w:rPr>
              <w:t>Reference</w:t>
            </w:r>
          </w:p>
        </w:tc>
        <w:tc>
          <w:tcPr>
            <w:tcW w:type="dxa" w:w="3180"/>
            <w:vAlign w:val="center"/>
            <w:shd w:fill="FFFFFF"/>
            <w:tcBorders>
              <w:top w:val="single" w:sz="6" w:color="D7DDE5"/>
              <w:left w:val="single" w:sz="6" w:color="D7DDE5"/>
              <w:bottom w:val="single" w:sz="6" w:color="D7DDE5"/>
              <w:right w:val="single" w:sz="6" w:color="D7DDE5"/>
              <w:insideH w:val="single" w:sz="6" w:color="D7DDE5"/>
              <w:insideV w:val="single" w:sz="6" w:color="D7DDE5"/>
            </w:tcBorders>
            <w:tcMar>
              <w:top w:w="80" w:type="dxa"/>
              <w:bottom w:w="80" w:type="dxa"/>
              <w:start w:w="120" w:type="dxa"/>
              <w:end w:w="120" w:type="dxa"/>
            </w:tcMar>
          </w:tcPr>
          <w:p>
            <w:pPr>
              <w:spacing w:after="0"/>
            </w:pPr>
            <w:r>
              <w:rPr>
                <w:rFonts w:ascii="Calibri" w:hAnsi="Calibri"/>
                <w:b w:val="0"/>
                <w:color w:val="13243A"/>
                <w:sz w:val="20"/>
              </w:rPr>
              <w:t>DEMO-SOW-2026-027</w:t>
            </w:r>
          </w:p>
        </w:tc>
        <w:tc>
          <w:tcPr>
            <w:tcW w:type="dxa" w:w="1500"/>
            <w:vAlign w:val="center"/>
            <w:shd w:fill="E8EEF5"/>
            <w:tcBorders>
              <w:top w:val="single" w:sz="6" w:color="D7DDE5"/>
              <w:left w:val="single" w:sz="6" w:color="D7DDE5"/>
              <w:bottom w:val="single" w:sz="6" w:color="D7DDE5"/>
              <w:right w:val="single" w:sz="6" w:color="D7DDE5"/>
              <w:insideH w:val="single" w:sz="6" w:color="D7DDE5"/>
              <w:insideV w:val="single" w:sz="6" w:color="D7DDE5"/>
            </w:tcBorders>
            <w:tcMar>
              <w:top w:w="80" w:type="dxa"/>
              <w:bottom w:w="80" w:type="dxa"/>
              <w:start w:w="120" w:type="dxa"/>
              <w:end w:w="120" w:type="dxa"/>
            </w:tcMar>
          </w:tcPr>
          <w:p>
            <w:pPr>
              <w:spacing w:after="0"/>
            </w:pPr>
            <w:r>
              <w:rPr>
                <w:rFonts w:ascii="Calibri" w:hAnsi="Calibri"/>
                <w:b/>
                <w:color w:val="1F4D78"/>
                <w:sz w:val="19"/>
              </w:rPr>
              <w:t>Effective date</w:t>
            </w:r>
          </w:p>
        </w:tc>
        <w:tc>
          <w:tcPr>
            <w:tcW w:type="dxa" w:w="3180"/>
            <w:vAlign w:val="center"/>
            <w:shd w:fill="FFFFFF"/>
            <w:tcBorders>
              <w:top w:val="single" w:sz="6" w:color="D7DDE5"/>
              <w:left w:val="single" w:sz="6" w:color="D7DDE5"/>
              <w:bottom w:val="single" w:sz="6" w:color="D7DDE5"/>
              <w:right w:val="single" w:sz="6" w:color="D7DDE5"/>
              <w:insideH w:val="single" w:sz="6" w:color="D7DDE5"/>
              <w:insideV w:val="single" w:sz="6" w:color="D7DDE5"/>
            </w:tcBorders>
            <w:tcMar>
              <w:top w:w="80" w:type="dxa"/>
              <w:bottom w:w="80" w:type="dxa"/>
              <w:start w:w="120" w:type="dxa"/>
              <w:end w:w="120" w:type="dxa"/>
            </w:tcMar>
          </w:tcPr>
          <w:p>
            <w:pPr>
              <w:spacing w:after="0"/>
            </w:pPr>
            <w:r>
              <w:rPr>
                <w:rFonts w:ascii="Calibri" w:hAnsi="Calibri"/>
                <w:b w:val="0"/>
                <w:color w:val="13243A"/>
                <w:sz w:val="20"/>
              </w:rPr>
              <w:t>15 October 2026</w:t>
            </w:r>
          </w:p>
        </w:tc>
      </w:tr>
      <w:tr>
        <w:trPr/>
        <w:tc>
          <w:tcPr>
            <w:tcW w:type="dxa" w:w="1500"/>
            <w:vAlign w:val="center"/>
            <w:shd w:fill="E8EEF5"/>
            <w:tcBorders>
              <w:top w:val="single" w:sz="6" w:color="D7DDE5"/>
              <w:left w:val="single" w:sz="6" w:color="D7DDE5"/>
              <w:bottom w:val="single" w:sz="6" w:color="D7DDE5"/>
              <w:right w:val="single" w:sz="6" w:color="D7DDE5"/>
              <w:insideH w:val="single" w:sz="6" w:color="D7DDE5"/>
              <w:insideV w:val="single" w:sz="6" w:color="D7DDE5"/>
            </w:tcBorders>
            <w:tcMar>
              <w:top w:w="80" w:type="dxa"/>
              <w:bottom w:w="80" w:type="dxa"/>
              <w:start w:w="120" w:type="dxa"/>
              <w:end w:w="120" w:type="dxa"/>
            </w:tcMar>
          </w:tcPr>
          <w:p>
            <w:pPr>
              <w:spacing w:after="0"/>
            </w:pPr>
            <w:r>
              <w:rPr>
                <w:rFonts w:ascii="Calibri" w:hAnsi="Calibri"/>
                <w:b/>
                <w:color w:val="1F4D78"/>
                <w:sz w:val="19"/>
              </w:rPr>
              <w:t>Party A</w:t>
            </w:r>
          </w:p>
        </w:tc>
        <w:tc>
          <w:tcPr>
            <w:tcW w:type="dxa" w:w="3180"/>
            <w:vAlign w:val="center"/>
            <w:shd w:fill="FFFFFF"/>
            <w:tcBorders>
              <w:top w:val="single" w:sz="6" w:color="D7DDE5"/>
              <w:left w:val="single" w:sz="6" w:color="D7DDE5"/>
              <w:bottom w:val="single" w:sz="6" w:color="D7DDE5"/>
              <w:right w:val="single" w:sz="6" w:color="D7DDE5"/>
              <w:insideH w:val="single" w:sz="6" w:color="D7DDE5"/>
              <w:insideV w:val="single" w:sz="6" w:color="D7DDE5"/>
            </w:tcBorders>
            <w:tcMar>
              <w:top w:w="80" w:type="dxa"/>
              <w:bottom w:w="80" w:type="dxa"/>
              <w:start w:w="120" w:type="dxa"/>
              <w:end w:w="120" w:type="dxa"/>
            </w:tcMar>
          </w:tcPr>
          <w:p>
            <w:pPr>
              <w:spacing w:after="0"/>
            </w:pPr>
            <w:r>
              <w:rPr>
                <w:rFonts w:ascii="Calibri" w:hAnsi="Calibri"/>
                <w:b w:val="0"/>
                <w:color w:val="13243A"/>
                <w:sz w:val="20"/>
              </w:rPr>
              <w:t>Atlas Workforce B.V.</w:t>
            </w:r>
          </w:p>
        </w:tc>
        <w:tc>
          <w:tcPr>
            <w:tcW w:type="dxa" w:w="1500"/>
            <w:vAlign w:val="center"/>
            <w:shd w:fill="E8EEF5"/>
            <w:tcBorders>
              <w:top w:val="single" w:sz="6" w:color="D7DDE5"/>
              <w:left w:val="single" w:sz="6" w:color="D7DDE5"/>
              <w:bottom w:val="single" w:sz="6" w:color="D7DDE5"/>
              <w:right w:val="single" w:sz="6" w:color="D7DDE5"/>
              <w:insideH w:val="single" w:sz="6" w:color="D7DDE5"/>
              <w:insideV w:val="single" w:sz="6" w:color="D7DDE5"/>
            </w:tcBorders>
            <w:tcMar>
              <w:top w:w="80" w:type="dxa"/>
              <w:bottom w:w="80" w:type="dxa"/>
              <w:start w:w="120" w:type="dxa"/>
              <w:end w:w="120" w:type="dxa"/>
            </w:tcMar>
          </w:tcPr>
          <w:p>
            <w:pPr>
              <w:spacing w:after="0"/>
            </w:pPr>
            <w:r>
              <w:rPr>
                <w:rFonts w:ascii="Calibri" w:hAnsi="Calibri"/>
                <w:b/>
                <w:color w:val="1F4D78"/>
                <w:sz w:val="19"/>
              </w:rPr>
              <w:t>Party B</w:t>
            </w:r>
          </w:p>
        </w:tc>
        <w:tc>
          <w:tcPr>
            <w:tcW w:type="dxa" w:w="3180"/>
            <w:vAlign w:val="center"/>
            <w:shd w:fill="FFFFFF"/>
            <w:tcBorders>
              <w:top w:val="single" w:sz="6" w:color="D7DDE5"/>
              <w:left w:val="single" w:sz="6" w:color="D7DDE5"/>
              <w:bottom w:val="single" w:sz="6" w:color="D7DDE5"/>
              <w:right w:val="single" w:sz="6" w:color="D7DDE5"/>
              <w:insideH w:val="single" w:sz="6" w:color="D7DDE5"/>
              <w:insideV w:val="single" w:sz="6" w:color="D7DDE5"/>
            </w:tcBorders>
            <w:tcMar>
              <w:top w:w="80" w:type="dxa"/>
              <w:bottom w:w="80" w:type="dxa"/>
              <w:start w:w="120" w:type="dxa"/>
              <w:end w:w="120" w:type="dxa"/>
            </w:tcMar>
          </w:tcPr>
          <w:p>
            <w:pPr>
              <w:spacing w:after="0"/>
            </w:pPr>
            <w:r>
              <w:rPr>
                <w:rFonts w:ascii="Calibri" w:hAnsi="Calibri"/>
                <w:b w:val="0"/>
                <w:color w:val="13243A"/>
                <w:sz w:val="20"/>
              </w:rPr>
              <w:t>Redwood Mobility S.A.</w:t>
            </w:r>
          </w:p>
        </w:tc>
      </w:tr>
      <w:tr>
        <w:trPr/>
        <w:tc>
          <w:tcPr>
            <w:tcW w:type="dxa" w:w="1500"/>
            <w:vAlign w:val="center"/>
            <w:shd w:fill="E8EEF5"/>
            <w:tcBorders>
              <w:top w:val="single" w:sz="6" w:color="D7DDE5"/>
              <w:left w:val="single" w:sz="6" w:color="D7DDE5"/>
              <w:bottom w:val="single" w:sz="6" w:color="D7DDE5"/>
              <w:right w:val="single" w:sz="6" w:color="D7DDE5"/>
              <w:insideH w:val="single" w:sz="6" w:color="D7DDE5"/>
              <w:insideV w:val="single" w:sz="6" w:color="D7DDE5"/>
            </w:tcBorders>
            <w:tcMar>
              <w:top w:w="80" w:type="dxa"/>
              <w:bottom w:w="80" w:type="dxa"/>
              <w:start w:w="120" w:type="dxa"/>
              <w:end w:w="120" w:type="dxa"/>
            </w:tcMar>
          </w:tcPr>
          <w:p>
            <w:pPr>
              <w:spacing w:after="0"/>
            </w:pPr>
            <w:r>
              <w:rPr>
                <w:rFonts w:ascii="Calibri" w:hAnsi="Calibri"/>
                <w:b/>
                <w:color w:val="1F4D78"/>
                <w:sz w:val="19"/>
              </w:rPr>
              <w:t>Term</w:t>
            </w:r>
          </w:p>
        </w:tc>
        <w:tc>
          <w:tcPr>
            <w:tcW w:type="dxa" w:w="3180"/>
            <w:vAlign w:val="center"/>
            <w:shd w:fill="FFFFFF"/>
            <w:tcBorders>
              <w:top w:val="single" w:sz="6" w:color="D7DDE5"/>
              <w:left w:val="single" w:sz="6" w:color="D7DDE5"/>
              <w:bottom w:val="single" w:sz="6" w:color="D7DDE5"/>
              <w:right w:val="single" w:sz="6" w:color="D7DDE5"/>
              <w:insideH w:val="single" w:sz="6" w:color="D7DDE5"/>
              <w:insideV w:val="single" w:sz="6" w:color="D7DDE5"/>
            </w:tcBorders>
            <w:tcMar>
              <w:top w:w="80" w:type="dxa"/>
              <w:bottom w:w="80" w:type="dxa"/>
              <w:start w:w="120" w:type="dxa"/>
              <w:end w:w="120" w:type="dxa"/>
            </w:tcMar>
          </w:tcPr>
          <w:p>
            <w:pPr>
              <w:spacing w:after="0"/>
            </w:pPr>
            <w:r>
              <w:rPr>
                <w:rFonts w:ascii="Calibri" w:hAnsi="Calibri"/>
                <w:b w:val="0"/>
                <w:color w:val="13243A"/>
                <w:sz w:val="20"/>
              </w:rPr>
              <w:t>Implementation through 30 June 2027</w:t>
            </w:r>
          </w:p>
        </w:tc>
        <w:tc>
          <w:tcPr>
            <w:tcW w:type="dxa" w:w="1500"/>
            <w:vAlign w:val="center"/>
            <w:shd w:fill="E8EEF5"/>
            <w:tcBorders>
              <w:top w:val="single" w:sz="6" w:color="D7DDE5"/>
              <w:left w:val="single" w:sz="6" w:color="D7DDE5"/>
              <w:bottom w:val="single" w:sz="6" w:color="D7DDE5"/>
              <w:right w:val="single" w:sz="6" w:color="D7DDE5"/>
              <w:insideH w:val="single" w:sz="6" w:color="D7DDE5"/>
              <w:insideV w:val="single" w:sz="6" w:color="D7DDE5"/>
            </w:tcBorders>
            <w:tcMar>
              <w:top w:w="80" w:type="dxa"/>
              <w:bottom w:w="80" w:type="dxa"/>
              <w:start w:w="120" w:type="dxa"/>
              <w:end w:w="120" w:type="dxa"/>
            </w:tcMar>
          </w:tcPr>
          <w:p>
            <w:pPr>
              <w:spacing w:after="0"/>
            </w:pPr>
            <w:r>
              <w:rPr>
                <w:rFonts w:ascii="Calibri" w:hAnsi="Calibri"/>
                <w:b/>
                <w:color w:val="1F4D78"/>
                <w:sz w:val="19"/>
              </w:rPr>
              <w:t>Contract value</w:t>
            </w:r>
          </w:p>
        </w:tc>
        <w:tc>
          <w:tcPr>
            <w:tcW w:type="dxa" w:w="3180"/>
            <w:vAlign w:val="center"/>
            <w:shd w:fill="FFFFFF"/>
            <w:tcBorders>
              <w:top w:val="single" w:sz="6" w:color="D7DDE5"/>
              <w:left w:val="single" w:sz="6" w:color="D7DDE5"/>
              <w:bottom w:val="single" w:sz="6" w:color="D7DDE5"/>
              <w:right w:val="single" w:sz="6" w:color="D7DDE5"/>
              <w:insideH w:val="single" w:sz="6" w:color="D7DDE5"/>
              <w:insideV w:val="single" w:sz="6" w:color="D7DDE5"/>
            </w:tcBorders>
            <w:tcMar>
              <w:top w:w="80" w:type="dxa"/>
              <w:bottom w:w="80" w:type="dxa"/>
              <w:start w:w="120" w:type="dxa"/>
              <w:end w:w="120" w:type="dxa"/>
            </w:tcMar>
          </w:tcPr>
          <w:p>
            <w:pPr>
              <w:spacing w:after="0"/>
            </w:pPr>
            <w:r>
              <w:rPr>
                <w:rFonts w:ascii="Calibri" w:hAnsi="Calibri"/>
                <w:b w:val="0"/>
                <w:color w:val="13243A"/>
                <w:sz w:val="20"/>
              </w:rPr>
              <w:t>Fixed implementation fee: EUR 240,000</w:t>
            </w:r>
          </w:p>
        </w:tc>
      </w:tr>
      <w:tr>
        <w:trPr/>
        <w:tc>
          <w:tcPr>
            <w:tcW w:type="dxa" w:w="1500"/>
            <w:vAlign w:val="center"/>
            <w:shd w:fill="E8EEF5"/>
            <w:tcBorders>
              <w:top w:val="single" w:sz="6" w:color="D7DDE5"/>
              <w:left w:val="single" w:sz="6" w:color="D7DDE5"/>
              <w:bottom w:val="single" w:sz="6" w:color="D7DDE5"/>
              <w:right w:val="single" w:sz="6" w:color="D7DDE5"/>
              <w:insideH w:val="single" w:sz="6" w:color="D7DDE5"/>
              <w:insideV w:val="single" w:sz="6" w:color="D7DDE5"/>
            </w:tcBorders>
            <w:tcMar>
              <w:top w:w="80" w:type="dxa"/>
              <w:bottom w:w="80" w:type="dxa"/>
              <w:start w:w="120" w:type="dxa"/>
              <w:end w:w="120" w:type="dxa"/>
            </w:tcMar>
          </w:tcPr>
          <w:p>
            <w:pPr>
              <w:spacing w:after="0"/>
            </w:pPr>
            <w:r>
              <w:rPr>
                <w:rFonts w:ascii="Calibri" w:hAnsi="Calibri"/>
                <w:b/>
                <w:color w:val="1F4D78"/>
                <w:sz w:val="19"/>
              </w:rPr>
              <w:t>Governing law</w:t>
            </w:r>
          </w:p>
        </w:tc>
        <w:tc>
          <w:tcPr>
            <w:tcW w:type="dxa" w:w="3180"/>
            <w:vAlign w:val="center"/>
            <w:shd w:fill="FFFFFF"/>
            <w:tcBorders>
              <w:top w:val="single" w:sz="6" w:color="D7DDE5"/>
              <w:left w:val="single" w:sz="6" w:color="D7DDE5"/>
              <w:bottom w:val="single" w:sz="6" w:color="D7DDE5"/>
              <w:right w:val="single" w:sz="6" w:color="D7DDE5"/>
              <w:insideH w:val="single" w:sz="6" w:color="D7DDE5"/>
              <w:insideV w:val="single" w:sz="6" w:color="D7DDE5"/>
            </w:tcBorders>
            <w:tcMar>
              <w:top w:w="80" w:type="dxa"/>
              <w:bottom w:w="80" w:type="dxa"/>
              <w:start w:w="120" w:type="dxa"/>
              <w:end w:w="120" w:type="dxa"/>
            </w:tcMar>
          </w:tcPr>
          <w:p>
            <w:pPr>
              <w:spacing w:after="0"/>
            </w:pPr>
            <w:r>
              <w:rPr>
                <w:rFonts w:ascii="Calibri" w:hAnsi="Calibri"/>
                <w:b w:val="0"/>
                <w:color w:val="13243A"/>
                <w:sz w:val="20"/>
              </w:rPr>
              <w:t>The Netherlands</w:t>
            </w:r>
          </w:p>
        </w:tc>
        <w:tc>
          <w:tcPr>
            <w:tcW w:type="dxa" w:w="1500"/>
            <w:vAlign w:val="center"/>
            <w:shd w:fill="E8EEF5"/>
            <w:tcBorders>
              <w:top w:val="single" w:sz="6" w:color="D7DDE5"/>
              <w:left w:val="single" w:sz="6" w:color="D7DDE5"/>
              <w:bottom w:val="single" w:sz="6" w:color="D7DDE5"/>
              <w:right w:val="single" w:sz="6" w:color="D7DDE5"/>
              <w:insideH w:val="single" w:sz="6" w:color="D7DDE5"/>
              <w:insideV w:val="single" w:sz="6" w:color="D7DDE5"/>
            </w:tcBorders>
            <w:tcMar>
              <w:top w:w="80" w:type="dxa"/>
              <w:bottom w:w="80" w:type="dxa"/>
              <w:start w:w="120" w:type="dxa"/>
              <w:end w:w="120" w:type="dxa"/>
            </w:tcMar>
          </w:tcPr>
          <w:p>
            <w:pPr>
              <w:spacing w:after="0"/>
            </w:pPr>
            <w:r>
              <w:rPr>
                <w:rFonts w:ascii="Calibri" w:hAnsi="Calibri"/>
                <w:b/>
                <w:color w:val="1F4D78"/>
                <w:sz w:val="19"/>
              </w:rPr>
              <w:t>Document state</w:t>
            </w:r>
          </w:p>
        </w:tc>
        <w:tc>
          <w:tcPr>
            <w:tcW w:type="dxa" w:w="3180"/>
            <w:vAlign w:val="center"/>
            <w:shd w:fill="FFFFFF"/>
            <w:tcBorders>
              <w:top w:val="single" w:sz="6" w:color="D7DDE5"/>
              <w:left w:val="single" w:sz="6" w:color="D7DDE5"/>
              <w:bottom w:val="single" w:sz="6" w:color="D7DDE5"/>
              <w:right w:val="single" w:sz="6" w:color="D7DDE5"/>
              <w:insideH w:val="single" w:sz="6" w:color="D7DDE5"/>
              <w:insideV w:val="single" w:sz="6" w:color="D7DDE5"/>
            </w:tcBorders>
            <w:tcMar>
              <w:top w:w="80" w:type="dxa"/>
              <w:bottom w:w="80" w:type="dxa"/>
              <w:start w:w="120" w:type="dxa"/>
              <w:end w:w="120" w:type="dxa"/>
            </w:tcMar>
          </w:tcPr>
          <w:p>
            <w:pPr>
              <w:spacing w:after="0"/>
            </w:pPr>
            <w:r>
              <w:rPr>
                <w:rFonts w:ascii="Calibri" w:hAnsi="Calibri"/>
                <w:b w:val="0"/>
                <w:color w:val="13243A"/>
                <w:sz w:val="20"/>
              </w:rPr>
              <w:t>Draft for review</w:t>
            </w:r>
          </w:p>
        </w:tc>
      </w:tr>
    </w:tbl>
    <w:p>
      <w:pPr>
        <w:spacing w:before="320" w:after="200"/>
        <w:jc w:val="both"/>
      </w:pPr>
      <w:r>
        <w:rPr>
          <w:rFonts w:ascii="Calibri" w:hAnsi="Calibri"/>
          <w:color w:val="13243A"/>
          <w:sz w:val="22"/>
        </w:rPr>
        <w:t>This Statement of Work (SOW) is entered into under the fictional Master Services Agreement between Atlas Workforce B.V. and Redwood Mobility S.A. It covers the design and implementation of a standardised payroll operating model for the Netherlands, Germany, France, Spain, and Poland.</w:t>
      </w:r>
    </w:p>
    <w:p>
      <w:pPr>
        <w:spacing w:before="80" w:after="240"/>
        <w:jc w:val="both"/>
      </w:pPr>
      <w:r>
        <w:rPr>
          <w:rFonts w:ascii="Calibri" w:hAnsi="Calibri"/>
          <w:b/>
          <w:color w:val="13243A"/>
          <w:sz w:val="22"/>
        </w:rPr>
        <w:t>In consideration of the mutual promises in this Agreement, the parties agree as follows.</w:t>
      </w:r>
    </w:p>
    <w:p>
      <w:pPr>
        <w:pStyle w:val="Heading1"/>
        <w:keepNext/>
      </w:pPr>
      <w:r>
        <w:t>1. Objectives and scope</w:t>
      </w:r>
    </w:p>
    <w:p>
      <w:pPr>
        <w:keepLines/>
        <w:jc w:val="both"/>
      </w:pPr>
      <w:r>
        <w:rPr>
          <w:rFonts w:ascii="Calibri" w:hAnsi="Calibri"/>
          <w:color w:val="13243A"/>
          <w:sz w:val="22"/>
        </w:rPr>
        <w:t>Atlas will configure country payroll workbooks, employee-data interfaces, validation controls, reporting packs, and cutover support for the five in-scope countries.</w:t>
      </w:r>
    </w:p>
    <w:p>
      <w:pPr>
        <w:keepLines/>
        <w:jc w:val="both"/>
      </w:pPr>
      <w:r>
        <w:rPr>
          <w:rFonts w:ascii="Calibri" w:hAnsi="Calibri"/>
          <w:color w:val="13243A"/>
          <w:sz w:val="22"/>
        </w:rPr>
        <w:t>The Services include discovery, solution design, configuration, parallel payroll testing, training, go-live, and a 30-day hypercare period.</w:t>
      </w:r>
    </w:p>
    <w:p>
      <w:pPr>
        <w:keepLines/>
        <w:jc w:val="both"/>
      </w:pPr>
      <w:r>
        <w:rPr>
          <w:rFonts w:ascii="Calibri" w:hAnsi="Calibri"/>
          <w:color w:val="13243A"/>
          <w:sz w:val="22"/>
        </w:rPr>
        <w:t>Statutory tax advice, works-council consultation, employee communications, and remediation of historic payroll errors are excluded unless added through change control.</w:t>
      </w:r>
    </w:p>
    <w:p>
      <w:pPr>
        <w:pStyle w:val="Heading1"/>
        <w:keepNext/>
      </w:pPr>
      <w:r>
        <w:t>2. Client dependencies</w:t>
      </w:r>
    </w:p>
    <w:p>
      <w:pPr>
        <w:keepLines/>
        <w:jc w:val="both"/>
      </w:pPr>
      <w:r>
        <w:rPr>
          <w:rFonts w:ascii="Calibri" w:hAnsi="Calibri"/>
          <w:color w:val="13243A"/>
          <w:sz w:val="22"/>
        </w:rPr>
        <w:t>Redwood will provide complete employee master data, country calendars, collective agreement summaries, prior payroll results, and authorised decision-makers by the dates in the implementation plan.</w:t>
      </w:r>
    </w:p>
    <w:p>
      <w:pPr>
        <w:keepLines/>
        <w:jc w:val="both"/>
      </w:pPr>
      <w:r>
        <w:rPr>
          <w:rFonts w:ascii="Calibri" w:hAnsi="Calibri"/>
          <w:color w:val="13243A"/>
          <w:sz w:val="22"/>
        </w:rPr>
        <w:t>A delay in a client dependency may move the milestone dates and result in reasonable additional fees through the change-control process.</w:t>
      </w:r>
    </w:p>
    <w:p>
      <w:r>
        <w:br w:type="page"/>
      </w:r>
    </w:p>
    <w:p>
      <w:pPr>
        <w:pStyle w:val="Heading1"/>
        <w:keepNext/>
      </w:pPr>
      <w:r>
        <w:t>3. Vendors and integrations</w:t>
      </w:r>
    </w:p>
    <w:p>
      <w:pPr>
        <w:keepLines/>
        <w:jc w:val="both"/>
      </w:pPr>
      <w:r>
        <w:rPr>
          <w:rFonts w:ascii="Calibri" w:hAnsi="Calibri"/>
          <w:color w:val="13243A"/>
          <w:sz w:val="22"/>
        </w:rPr>
        <w:t>Atlas may coordinate with the fictional vendors CloudLedger Europe S.A., BalticPay Services sp. z o.o., and Kestrel HR Connect Ltd. Redwood remains responsible for its licences and direct vendor contracts.</w:t>
      </w:r>
    </w:p>
    <w:p>
      <w:pPr>
        <w:keepLines/>
        <w:jc w:val="both"/>
      </w:pPr>
      <w:r>
        <w:rPr>
          <w:rFonts w:ascii="Calibri" w:hAnsi="Calibri"/>
          <w:color w:val="13243A"/>
          <w:sz w:val="22"/>
        </w:rPr>
        <w:t>No production employee data may be transferred to a vendor until the applicable security review, data processing terms, and transfer mechanism are approved.</w:t>
      </w:r>
    </w:p>
    <w:p>
      <w:pPr>
        <w:pStyle w:val="Heading1"/>
        <w:keepNext/>
      </w:pPr>
      <w:r>
        <w:t>4. Fees and payment</w:t>
      </w:r>
    </w:p>
    <w:p>
      <w:pPr>
        <w:keepLines/>
        <w:jc w:val="both"/>
      </w:pPr>
      <w:r>
        <w:rPr>
          <w:rFonts w:ascii="Calibri" w:hAnsi="Calibri"/>
          <w:color w:val="13243A"/>
          <w:sz w:val="22"/>
        </w:rPr>
        <w:t>The fixed implementation fee is EUR 240,000 excluding VAT and approved travel. Invoices are payable within 30 days.</w:t>
      </w:r>
    </w:p>
    <w:p>
      <w:pPr>
        <w:keepLines/>
        <w:jc w:val="both"/>
      </w:pPr>
      <w:r>
        <w:rPr>
          <w:rFonts w:ascii="Calibri" w:hAnsi="Calibri"/>
          <w:color w:val="13243A"/>
          <w:sz w:val="22"/>
        </w:rPr>
        <w:t>Twenty percent is invoiced on signature, 25 percent after design approval, 30 percent after completion of parallel testing, 15 percent at go-live, and 10 percent after hypercare acceptance.</w:t>
      </w:r>
    </w:p>
    <w:p>
      <w:pPr>
        <w:pStyle w:val="Heading1"/>
        <w:keepNext/>
      </w:pPr>
      <w:r>
        <w:t>5. Acceptance</w:t>
      </w:r>
    </w:p>
    <w:p>
      <w:pPr>
        <w:keepLines/>
        <w:jc w:val="both"/>
      </w:pPr>
      <w:r>
        <w:rPr>
          <w:rFonts w:ascii="Calibri" w:hAnsi="Calibri"/>
          <w:color w:val="13243A"/>
          <w:sz w:val="22"/>
        </w:rPr>
        <w:t>Redwood will accept or reject each deliverable within five business days. A rejection must identify a material failure against the agreed acceptance criteria.</w:t>
      </w:r>
    </w:p>
    <w:p>
      <w:pPr>
        <w:keepLines/>
        <w:jc w:val="both"/>
      </w:pPr>
      <w:r>
        <w:rPr>
          <w:rFonts w:ascii="Calibri" w:hAnsi="Calibri"/>
          <w:color w:val="13243A"/>
          <w:sz w:val="22"/>
        </w:rPr>
        <w:t>A deliverable is deemed accepted if Redwood does not respond within the acceptance period. Atlas will correct a valid rejection and resubmit the deliverable.</w:t>
      </w:r>
    </w:p>
    <w:p>
      <w:pPr>
        <w:pStyle w:val="Heading1"/>
        <w:keepNext/>
      </w:pPr>
      <w:r>
        <w:t>6. Privacy, security, and data transfers</w:t>
      </w:r>
    </w:p>
    <w:p>
      <w:pPr>
        <w:keepLines/>
        <w:jc w:val="both"/>
      </w:pPr>
      <w:r>
        <w:rPr>
          <w:rFonts w:ascii="Calibri" w:hAnsi="Calibri"/>
          <w:color w:val="13243A"/>
          <w:sz w:val="22"/>
        </w:rPr>
        <w:t>The parties must execute a Data Processing Agreement before any production personal data is processed. Test environments must use masked or synthetic data unless the Privacy Lead approves an exception.</w:t>
      </w:r>
    </w:p>
    <w:p>
      <w:pPr>
        <w:keepLines/>
        <w:jc w:val="both"/>
      </w:pPr>
      <w:r>
        <w:rPr>
          <w:rFonts w:ascii="Calibri" w:hAnsi="Calibri"/>
          <w:color w:val="13243A"/>
          <w:sz w:val="22"/>
        </w:rPr>
        <w:t>Support access from outside the European Economic Area requires an approved transfer impact assessment and Standard Contractual Clauses where applicable.</w:t>
      </w:r>
    </w:p>
    <w:p>
      <w:pPr>
        <w:keepLines/>
        <w:jc w:val="both"/>
      </w:pPr>
      <w:r>
        <w:rPr>
          <w:rFonts w:ascii="Calibri" w:hAnsi="Calibri"/>
          <w:color w:val="13243A"/>
          <w:sz w:val="22"/>
        </w:rPr>
        <w:t>Atlas must notify Redwood of a confirmed personal data incident within 24 hours and provide material updates until containment.</w:t>
      </w:r>
    </w:p>
    <w:p>
      <w:r>
        <w:br w:type="page"/>
      </w:r>
    </w:p>
    <w:p>
      <w:pPr>
        <w:pStyle w:val="Heading1"/>
        <w:keepNext/>
      </w:pPr>
      <w:r>
        <w:t>7. Conditional approval</w:t>
      </w:r>
    </w:p>
    <w:p>
      <w:pPr>
        <w:keepLines/>
        <w:jc w:val="both"/>
      </w:pPr>
      <w:r>
        <w:rPr>
          <w:rFonts w:ascii="Calibri" w:hAnsi="Calibri"/>
          <w:color w:val="13243A"/>
          <w:sz w:val="22"/>
        </w:rPr>
        <w:t>Signature and production access are conditional on Finance approval of the implementation fee, Legal approval of the MSA and this SOW, Privacy approval of the DPA and transfer approach, and completion of vendor security reviews.</w:t>
      </w:r>
    </w:p>
    <w:p>
      <w:pPr>
        <w:pStyle w:val="Heading1"/>
        <w:keepNext/>
      </w:pPr>
      <w:r>
        <w:t>8. Change control</w:t>
      </w:r>
    </w:p>
    <w:p>
      <w:pPr>
        <w:keepLines/>
        <w:jc w:val="both"/>
      </w:pPr>
      <w:r>
        <w:rPr>
          <w:rFonts w:ascii="Calibri" w:hAnsi="Calibri"/>
          <w:color w:val="13243A"/>
          <w:sz w:val="22"/>
        </w:rPr>
        <w:t>Either party may request a change. Atlas will document the impact on scope, timing, resources, risks, and fees. No change is effective until a change order is signed by both parties.</w:t>
      </w:r>
    </w:p>
    <w:p>
      <w:pPr>
        <w:pStyle w:val="Heading1"/>
        <w:keepNext/>
      </w:pPr>
      <w:r>
        <w:t>9. Term and termination</w:t>
      </w:r>
    </w:p>
    <w:p>
      <w:pPr>
        <w:keepLines/>
        <w:jc w:val="both"/>
      </w:pPr>
      <w:r>
        <w:rPr>
          <w:rFonts w:ascii="Calibri" w:hAnsi="Calibri"/>
          <w:color w:val="13243A"/>
          <w:sz w:val="22"/>
        </w:rPr>
        <w:t>This SOW begins on the Effective Date and continues through completion of hypercare, expected by 30 June 2027.</w:t>
      </w:r>
    </w:p>
    <w:p>
      <w:pPr>
        <w:keepLines/>
        <w:jc w:val="both"/>
      </w:pPr>
      <w:r>
        <w:rPr>
          <w:rFonts w:ascii="Calibri" w:hAnsi="Calibri"/>
          <w:color w:val="13243A"/>
          <w:sz w:val="22"/>
        </w:rPr>
        <w:t>Either party may terminate this SOW for uncured material breach under the MSA. If Redwood terminates for convenience after design approval, it must pay fees for work performed plus 40 percent of the remaining fixed fees.</w:t>
      </w:r>
    </w:p>
    <w:p>
      <w:pPr>
        <w:pStyle w:val="Heading1"/>
        <w:keepNext/>
      </w:pPr>
      <w:r>
        <w:t>10. Order of precedence</w:t>
      </w:r>
    </w:p>
    <w:p>
      <w:pPr>
        <w:keepLines/>
        <w:jc w:val="both"/>
      </w:pPr>
      <w:r>
        <w:rPr>
          <w:rFonts w:ascii="Calibri" w:hAnsi="Calibri"/>
          <w:color w:val="13243A"/>
          <w:sz w:val="22"/>
        </w:rPr>
        <w:t>The Data Processing Agreement prevails for personal-data matters, the MSA prevails for general legal terms, and this SOW prevails for scope, milestones, and fees.</w:t>
      </w:r>
    </w:p>
    <w:p>
      <w:pPr>
        <w:pStyle w:val="Heading1"/>
        <w:keepNext/>
      </w:pPr>
      <w:r>
        <w:t>Schedule 1. Milestones and payment plan</w:t>
      </w:r>
    </w:p>
    <w:tbl>
      <w:tblPr>
        <w:tblW w:type="dxa" w:w="9360"/>
        <w:jc w:val="left"/>
        <w:tblLayout w:type="fixed"/>
        <w:tblLook w:firstColumn="1" w:firstRow="1" w:lastColumn="0" w:lastRow="0" w:noHBand="0" w:noVBand="1" w:val="04A0"/>
        <w:tblInd w:type="dxa" w:w="120"/>
      </w:tblPr>
      <w:tblGrid>
        <w:gridCol w:w="2880"/>
        <w:gridCol w:w="1900"/>
        <w:gridCol w:w="1900"/>
        <w:gridCol w:w="2680"/>
      </w:tblGrid>
      <w:tr>
        <w:trPr>
          <w:tblHeader w:val="true"/>
        </w:trPr>
        <w:tc>
          <w:tcPr>
            <w:tcW w:type="dxa" w:w="2880"/>
            <w:shd w:fill="F2F4F7"/>
            <w:tcBorders>
              <w:top w:val="single" w:sz="6" w:color="D7DDE5"/>
              <w:left w:val="single" w:sz="6" w:color="D7DDE5"/>
              <w:bottom w:val="single" w:sz="6" w:color="D7DDE5"/>
              <w:right w:val="single" w:sz="6" w:color="D7DDE5"/>
              <w:insideH w:val="single" w:sz="6" w:color="D7DDE5"/>
              <w:insideV w:val="single" w:sz="6" w:color="D7DDE5"/>
            </w:tcBorders>
            <w:vAlign w:val="center"/>
            <w:tcMar>
              <w:top w:w="80" w:type="dxa"/>
              <w:bottom w:w="80" w:type="dxa"/>
              <w:start w:w="120" w:type="dxa"/>
              <w:end w:w="120" w:type="dxa"/>
            </w:tcMar>
          </w:tcPr>
          <w:p>
            <w:pPr>
              <w:spacing w:after="0"/>
              <w:jc w:val="left"/>
            </w:pPr>
            <w:r>
              <w:rPr>
                <w:rFonts w:ascii="Calibri" w:hAnsi="Calibri"/>
                <w:b/>
                <w:color w:val="13243A"/>
                <w:sz w:val="19"/>
              </w:rPr>
              <w:t>Milestone</w:t>
            </w:r>
          </w:p>
        </w:tc>
        <w:tc>
          <w:tcPr>
            <w:tcW w:type="dxa" w:w="1900"/>
            <w:shd w:fill="F2F4F7"/>
            <w:tcBorders>
              <w:top w:val="single" w:sz="6" w:color="D7DDE5"/>
              <w:left w:val="single" w:sz="6" w:color="D7DDE5"/>
              <w:bottom w:val="single" w:sz="6" w:color="D7DDE5"/>
              <w:right w:val="single" w:sz="6" w:color="D7DDE5"/>
              <w:insideH w:val="single" w:sz="6" w:color="D7DDE5"/>
              <w:insideV w:val="single" w:sz="6" w:color="D7DDE5"/>
            </w:tcBorders>
            <w:vAlign w:val="center"/>
            <w:tcMar>
              <w:top w:w="80" w:type="dxa"/>
              <w:bottom w:w="80" w:type="dxa"/>
              <w:start w:w="120" w:type="dxa"/>
              <w:end w:w="120" w:type="dxa"/>
            </w:tcMar>
          </w:tcPr>
          <w:p>
            <w:pPr>
              <w:spacing w:after="0"/>
              <w:jc w:val="left"/>
            </w:pPr>
            <w:r>
              <w:rPr>
                <w:rFonts w:ascii="Calibri" w:hAnsi="Calibri"/>
                <w:b/>
                <w:color w:val="13243A"/>
                <w:sz w:val="19"/>
              </w:rPr>
              <w:t>Target date</w:t>
            </w:r>
          </w:p>
        </w:tc>
        <w:tc>
          <w:tcPr>
            <w:tcW w:type="dxa" w:w="1900"/>
            <w:shd w:fill="F2F4F7"/>
            <w:tcBorders>
              <w:top w:val="single" w:sz="6" w:color="D7DDE5"/>
              <w:left w:val="single" w:sz="6" w:color="D7DDE5"/>
              <w:bottom w:val="single" w:sz="6" w:color="D7DDE5"/>
              <w:right w:val="single" w:sz="6" w:color="D7DDE5"/>
              <w:insideH w:val="single" w:sz="6" w:color="D7DDE5"/>
              <w:insideV w:val="single" w:sz="6" w:color="D7DDE5"/>
            </w:tcBorders>
            <w:vAlign w:val="center"/>
            <w:tcMar>
              <w:top w:w="80" w:type="dxa"/>
              <w:bottom w:w="80" w:type="dxa"/>
              <w:start w:w="120" w:type="dxa"/>
              <w:end w:w="120" w:type="dxa"/>
            </w:tcMar>
          </w:tcPr>
          <w:p>
            <w:pPr>
              <w:spacing w:after="0"/>
              <w:jc w:val="left"/>
            </w:pPr>
            <w:r>
              <w:rPr>
                <w:rFonts w:ascii="Calibri" w:hAnsi="Calibri"/>
                <w:b/>
                <w:color w:val="13243A"/>
                <w:sz w:val="19"/>
              </w:rPr>
              <w:t>Fee</w:t>
            </w:r>
          </w:p>
        </w:tc>
        <w:tc>
          <w:tcPr>
            <w:tcW w:type="dxa" w:w="2680"/>
            <w:shd w:fill="F2F4F7"/>
            <w:tcBorders>
              <w:top w:val="single" w:sz="6" w:color="D7DDE5"/>
              <w:left w:val="single" w:sz="6" w:color="D7DDE5"/>
              <w:bottom w:val="single" w:sz="6" w:color="D7DDE5"/>
              <w:right w:val="single" w:sz="6" w:color="D7DDE5"/>
              <w:insideH w:val="single" w:sz="6" w:color="D7DDE5"/>
              <w:insideV w:val="single" w:sz="6" w:color="D7DDE5"/>
            </w:tcBorders>
            <w:vAlign w:val="center"/>
            <w:tcMar>
              <w:top w:w="80" w:type="dxa"/>
              <w:bottom w:w="80" w:type="dxa"/>
              <w:start w:w="120" w:type="dxa"/>
              <w:end w:w="120" w:type="dxa"/>
            </w:tcMar>
          </w:tcPr>
          <w:p>
            <w:pPr>
              <w:spacing w:after="0"/>
              <w:jc w:val="left"/>
            </w:pPr>
            <w:r>
              <w:rPr>
                <w:rFonts w:ascii="Calibri" w:hAnsi="Calibri"/>
                <w:b/>
                <w:color w:val="13243A"/>
                <w:sz w:val="19"/>
              </w:rPr>
              <w:t>Acceptance owner</w:t>
            </w:r>
          </w:p>
        </w:tc>
      </w:tr>
      <w:tr>
        <w:trPr/>
        <w:tc>
          <w:tcPr>
            <w:tcW w:type="dxa" w:w="2880"/>
            <w:tcBorders>
              <w:top w:val="single" w:sz="6" w:color="D7DDE5"/>
              <w:left w:val="single" w:sz="6" w:color="D7DDE5"/>
              <w:bottom w:val="single" w:sz="6" w:color="D7DDE5"/>
              <w:right w:val="single" w:sz="6" w:color="D7DDE5"/>
              <w:insideH w:val="single" w:sz="6" w:color="D7DDE5"/>
              <w:insideV w:val="single" w:sz="6" w:color="D7DDE5"/>
            </w:tcBorders>
            <w:vAlign w:val="center"/>
            <w:tcMar>
              <w:top w:w="80" w:type="dxa"/>
              <w:bottom w:w="80" w:type="dxa"/>
              <w:start w:w="120" w:type="dxa"/>
              <w:end w:w="120" w:type="dxa"/>
            </w:tcMar>
          </w:tcPr>
          <w:p>
            <w:pPr>
              <w:spacing w:after="0"/>
            </w:pPr>
            <w:r>
              <w:rPr>
                <w:rFonts w:ascii="Calibri" w:hAnsi="Calibri"/>
                <w:color w:val="13243A"/>
                <w:sz w:val="19"/>
              </w:rPr>
              <w:t>Contract signature and mobilisation</w:t>
            </w:r>
          </w:p>
        </w:tc>
        <w:tc>
          <w:tcPr>
            <w:tcW w:type="dxa" w:w="1900"/>
            <w:tcBorders>
              <w:top w:val="single" w:sz="6" w:color="D7DDE5"/>
              <w:left w:val="single" w:sz="6" w:color="D7DDE5"/>
              <w:bottom w:val="single" w:sz="6" w:color="D7DDE5"/>
              <w:right w:val="single" w:sz="6" w:color="D7DDE5"/>
              <w:insideH w:val="single" w:sz="6" w:color="D7DDE5"/>
              <w:insideV w:val="single" w:sz="6" w:color="D7DDE5"/>
            </w:tcBorders>
            <w:vAlign w:val="center"/>
            <w:tcMar>
              <w:top w:w="80" w:type="dxa"/>
              <w:bottom w:w="80" w:type="dxa"/>
              <w:start w:w="120" w:type="dxa"/>
              <w:end w:w="120" w:type="dxa"/>
            </w:tcMar>
          </w:tcPr>
          <w:p>
            <w:pPr>
              <w:spacing w:after="0"/>
            </w:pPr>
            <w:r>
              <w:rPr>
                <w:rFonts w:ascii="Calibri" w:hAnsi="Calibri"/>
                <w:color w:val="13243A"/>
                <w:sz w:val="19"/>
              </w:rPr>
              <w:t>15 Oct 2026</w:t>
            </w:r>
          </w:p>
        </w:tc>
        <w:tc>
          <w:tcPr>
            <w:tcW w:type="dxa" w:w="1900"/>
            <w:tcBorders>
              <w:top w:val="single" w:sz="6" w:color="D7DDE5"/>
              <w:left w:val="single" w:sz="6" w:color="D7DDE5"/>
              <w:bottom w:val="single" w:sz="6" w:color="D7DDE5"/>
              <w:right w:val="single" w:sz="6" w:color="D7DDE5"/>
              <w:insideH w:val="single" w:sz="6" w:color="D7DDE5"/>
              <w:insideV w:val="single" w:sz="6" w:color="D7DDE5"/>
            </w:tcBorders>
            <w:vAlign w:val="center"/>
            <w:tcMar>
              <w:top w:w="80" w:type="dxa"/>
              <w:bottom w:w="80" w:type="dxa"/>
              <w:start w:w="120" w:type="dxa"/>
              <w:end w:w="120" w:type="dxa"/>
            </w:tcMar>
          </w:tcPr>
          <w:p>
            <w:pPr>
              <w:spacing w:after="0"/>
            </w:pPr>
            <w:r>
              <w:rPr>
                <w:rFonts w:ascii="Calibri" w:hAnsi="Calibri"/>
                <w:color w:val="13243A"/>
                <w:sz w:val="19"/>
              </w:rPr>
              <w:t>EUR 48,000</w:t>
            </w:r>
          </w:p>
        </w:tc>
        <w:tc>
          <w:tcPr>
            <w:tcW w:type="dxa" w:w="2680"/>
            <w:tcBorders>
              <w:top w:val="single" w:sz="6" w:color="D7DDE5"/>
              <w:left w:val="single" w:sz="6" w:color="D7DDE5"/>
              <w:bottom w:val="single" w:sz="6" w:color="D7DDE5"/>
              <w:right w:val="single" w:sz="6" w:color="D7DDE5"/>
              <w:insideH w:val="single" w:sz="6" w:color="D7DDE5"/>
              <w:insideV w:val="single" w:sz="6" w:color="D7DDE5"/>
            </w:tcBorders>
            <w:vAlign w:val="center"/>
            <w:tcMar>
              <w:top w:w="80" w:type="dxa"/>
              <w:bottom w:w="80" w:type="dxa"/>
              <w:start w:w="120" w:type="dxa"/>
              <w:end w:w="120" w:type="dxa"/>
            </w:tcMar>
          </w:tcPr>
          <w:p>
            <w:pPr>
              <w:spacing w:after="0"/>
            </w:pPr>
            <w:r>
              <w:rPr>
                <w:rFonts w:ascii="Calibri" w:hAnsi="Calibri"/>
                <w:color w:val="13243A"/>
                <w:sz w:val="19"/>
              </w:rPr>
              <w:t>Executive Sponsor</w:t>
            </w:r>
          </w:p>
        </w:tc>
      </w:tr>
      <w:tr>
        <w:trPr/>
        <w:tc>
          <w:tcPr>
            <w:tcW w:type="dxa" w:w="2880"/>
            <w:tcBorders>
              <w:top w:val="single" w:sz="6" w:color="D7DDE5"/>
              <w:left w:val="single" w:sz="6" w:color="D7DDE5"/>
              <w:bottom w:val="single" w:sz="6" w:color="D7DDE5"/>
              <w:right w:val="single" w:sz="6" w:color="D7DDE5"/>
              <w:insideH w:val="single" w:sz="6" w:color="D7DDE5"/>
              <w:insideV w:val="single" w:sz="6" w:color="D7DDE5"/>
            </w:tcBorders>
            <w:vAlign w:val="center"/>
            <w:tcMar>
              <w:top w:w="80" w:type="dxa"/>
              <w:bottom w:w="80" w:type="dxa"/>
              <w:start w:w="120" w:type="dxa"/>
              <w:end w:w="120" w:type="dxa"/>
            </w:tcMar>
          </w:tcPr>
          <w:p>
            <w:pPr>
              <w:spacing w:after="0"/>
            </w:pPr>
            <w:r>
              <w:rPr>
                <w:rFonts w:ascii="Calibri" w:hAnsi="Calibri"/>
                <w:color w:val="13243A"/>
                <w:sz w:val="19"/>
              </w:rPr>
              <w:t>Solution design approved</w:t>
            </w:r>
          </w:p>
        </w:tc>
        <w:tc>
          <w:tcPr>
            <w:tcW w:type="dxa" w:w="1900"/>
            <w:tcBorders>
              <w:top w:val="single" w:sz="6" w:color="D7DDE5"/>
              <w:left w:val="single" w:sz="6" w:color="D7DDE5"/>
              <w:bottom w:val="single" w:sz="6" w:color="D7DDE5"/>
              <w:right w:val="single" w:sz="6" w:color="D7DDE5"/>
              <w:insideH w:val="single" w:sz="6" w:color="D7DDE5"/>
              <w:insideV w:val="single" w:sz="6" w:color="D7DDE5"/>
            </w:tcBorders>
            <w:vAlign w:val="center"/>
            <w:tcMar>
              <w:top w:w="80" w:type="dxa"/>
              <w:bottom w:w="80" w:type="dxa"/>
              <w:start w:w="120" w:type="dxa"/>
              <w:end w:w="120" w:type="dxa"/>
            </w:tcMar>
          </w:tcPr>
          <w:p>
            <w:pPr>
              <w:spacing w:after="0"/>
            </w:pPr>
            <w:r>
              <w:rPr>
                <w:rFonts w:ascii="Calibri" w:hAnsi="Calibri"/>
                <w:color w:val="13243A"/>
                <w:sz w:val="19"/>
              </w:rPr>
              <w:t>15 Dec 2026</w:t>
            </w:r>
          </w:p>
        </w:tc>
        <w:tc>
          <w:tcPr>
            <w:tcW w:type="dxa" w:w="1900"/>
            <w:tcBorders>
              <w:top w:val="single" w:sz="6" w:color="D7DDE5"/>
              <w:left w:val="single" w:sz="6" w:color="D7DDE5"/>
              <w:bottom w:val="single" w:sz="6" w:color="D7DDE5"/>
              <w:right w:val="single" w:sz="6" w:color="D7DDE5"/>
              <w:insideH w:val="single" w:sz="6" w:color="D7DDE5"/>
              <w:insideV w:val="single" w:sz="6" w:color="D7DDE5"/>
            </w:tcBorders>
            <w:vAlign w:val="center"/>
            <w:tcMar>
              <w:top w:w="80" w:type="dxa"/>
              <w:bottom w:w="80" w:type="dxa"/>
              <w:start w:w="120" w:type="dxa"/>
              <w:end w:w="120" w:type="dxa"/>
            </w:tcMar>
          </w:tcPr>
          <w:p>
            <w:pPr>
              <w:spacing w:after="0"/>
            </w:pPr>
            <w:r>
              <w:rPr>
                <w:rFonts w:ascii="Calibri" w:hAnsi="Calibri"/>
                <w:color w:val="13243A"/>
                <w:sz w:val="19"/>
              </w:rPr>
              <w:t>EUR 60,000</w:t>
            </w:r>
          </w:p>
        </w:tc>
        <w:tc>
          <w:tcPr>
            <w:tcW w:type="dxa" w:w="2680"/>
            <w:tcBorders>
              <w:top w:val="single" w:sz="6" w:color="D7DDE5"/>
              <w:left w:val="single" w:sz="6" w:color="D7DDE5"/>
              <w:bottom w:val="single" w:sz="6" w:color="D7DDE5"/>
              <w:right w:val="single" w:sz="6" w:color="D7DDE5"/>
              <w:insideH w:val="single" w:sz="6" w:color="D7DDE5"/>
              <w:insideV w:val="single" w:sz="6" w:color="D7DDE5"/>
            </w:tcBorders>
            <w:vAlign w:val="center"/>
            <w:tcMar>
              <w:top w:w="80" w:type="dxa"/>
              <w:bottom w:w="80" w:type="dxa"/>
              <w:start w:w="120" w:type="dxa"/>
              <w:end w:w="120" w:type="dxa"/>
            </w:tcMar>
          </w:tcPr>
          <w:p>
            <w:pPr>
              <w:spacing w:after="0"/>
            </w:pPr>
            <w:r>
              <w:rPr>
                <w:rFonts w:ascii="Calibri" w:hAnsi="Calibri"/>
                <w:color w:val="13243A"/>
                <w:sz w:val="19"/>
              </w:rPr>
              <w:t>Programme Director</w:t>
            </w:r>
          </w:p>
        </w:tc>
      </w:tr>
      <w:tr>
        <w:trPr/>
        <w:tc>
          <w:tcPr>
            <w:tcW w:type="dxa" w:w="2880"/>
            <w:tcBorders>
              <w:top w:val="single" w:sz="6" w:color="D7DDE5"/>
              <w:left w:val="single" w:sz="6" w:color="D7DDE5"/>
              <w:bottom w:val="single" w:sz="6" w:color="D7DDE5"/>
              <w:right w:val="single" w:sz="6" w:color="D7DDE5"/>
              <w:insideH w:val="single" w:sz="6" w:color="D7DDE5"/>
              <w:insideV w:val="single" w:sz="6" w:color="D7DDE5"/>
            </w:tcBorders>
            <w:vAlign w:val="center"/>
            <w:tcMar>
              <w:top w:w="80" w:type="dxa"/>
              <w:bottom w:w="80" w:type="dxa"/>
              <w:start w:w="120" w:type="dxa"/>
              <w:end w:w="120" w:type="dxa"/>
            </w:tcMar>
          </w:tcPr>
          <w:p>
            <w:pPr>
              <w:spacing w:after="0"/>
            </w:pPr>
            <w:r>
              <w:rPr>
                <w:rFonts w:ascii="Calibri" w:hAnsi="Calibri"/>
                <w:color w:val="13243A"/>
                <w:sz w:val="19"/>
              </w:rPr>
              <w:t>Parallel payroll testing complete</w:t>
            </w:r>
          </w:p>
        </w:tc>
        <w:tc>
          <w:tcPr>
            <w:tcW w:type="dxa" w:w="1900"/>
            <w:tcBorders>
              <w:top w:val="single" w:sz="6" w:color="D7DDE5"/>
              <w:left w:val="single" w:sz="6" w:color="D7DDE5"/>
              <w:bottom w:val="single" w:sz="6" w:color="D7DDE5"/>
              <w:right w:val="single" w:sz="6" w:color="D7DDE5"/>
              <w:insideH w:val="single" w:sz="6" w:color="D7DDE5"/>
              <w:insideV w:val="single" w:sz="6" w:color="D7DDE5"/>
            </w:tcBorders>
            <w:vAlign w:val="center"/>
            <w:tcMar>
              <w:top w:w="80" w:type="dxa"/>
              <w:bottom w:w="80" w:type="dxa"/>
              <w:start w:w="120" w:type="dxa"/>
              <w:end w:w="120" w:type="dxa"/>
            </w:tcMar>
          </w:tcPr>
          <w:p>
            <w:pPr>
              <w:spacing w:after="0"/>
            </w:pPr>
            <w:r>
              <w:rPr>
                <w:rFonts w:ascii="Calibri" w:hAnsi="Calibri"/>
                <w:color w:val="13243A"/>
                <w:sz w:val="19"/>
              </w:rPr>
              <w:t>31 Mar 2027</w:t>
            </w:r>
          </w:p>
        </w:tc>
        <w:tc>
          <w:tcPr>
            <w:tcW w:type="dxa" w:w="1900"/>
            <w:tcBorders>
              <w:top w:val="single" w:sz="6" w:color="D7DDE5"/>
              <w:left w:val="single" w:sz="6" w:color="D7DDE5"/>
              <w:bottom w:val="single" w:sz="6" w:color="D7DDE5"/>
              <w:right w:val="single" w:sz="6" w:color="D7DDE5"/>
              <w:insideH w:val="single" w:sz="6" w:color="D7DDE5"/>
              <w:insideV w:val="single" w:sz="6" w:color="D7DDE5"/>
            </w:tcBorders>
            <w:vAlign w:val="center"/>
            <w:tcMar>
              <w:top w:w="80" w:type="dxa"/>
              <w:bottom w:w="80" w:type="dxa"/>
              <w:start w:w="120" w:type="dxa"/>
              <w:end w:w="120" w:type="dxa"/>
            </w:tcMar>
          </w:tcPr>
          <w:p>
            <w:pPr>
              <w:spacing w:after="0"/>
            </w:pPr>
            <w:r>
              <w:rPr>
                <w:rFonts w:ascii="Calibri" w:hAnsi="Calibri"/>
                <w:color w:val="13243A"/>
                <w:sz w:val="19"/>
              </w:rPr>
              <w:t>EUR 72,000</w:t>
            </w:r>
          </w:p>
        </w:tc>
        <w:tc>
          <w:tcPr>
            <w:tcW w:type="dxa" w:w="2680"/>
            <w:tcBorders>
              <w:top w:val="single" w:sz="6" w:color="D7DDE5"/>
              <w:left w:val="single" w:sz="6" w:color="D7DDE5"/>
              <w:bottom w:val="single" w:sz="6" w:color="D7DDE5"/>
              <w:right w:val="single" w:sz="6" w:color="D7DDE5"/>
              <w:insideH w:val="single" w:sz="6" w:color="D7DDE5"/>
              <w:insideV w:val="single" w:sz="6" w:color="D7DDE5"/>
            </w:tcBorders>
            <w:vAlign w:val="center"/>
            <w:tcMar>
              <w:top w:w="80" w:type="dxa"/>
              <w:bottom w:w="80" w:type="dxa"/>
              <w:start w:w="120" w:type="dxa"/>
              <w:end w:w="120" w:type="dxa"/>
            </w:tcMar>
          </w:tcPr>
          <w:p>
            <w:pPr>
              <w:spacing w:after="0"/>
            </w:pPr>
            <w:r>
              <w:rPr>
                <w:rFonts w:ascii="Calibri" w:hAnsi="Calibri"/>
                <w:color w:val="13243A"/>
                <w:sz w:val="19"/>
              </w:rPr>
              <w:t>Payroll Lead</w:t>
            </w:r>
          </w:p>
        </w:tc>
      </w:tr>
      <w:tr>
        <w:trPr/>
        <w:tc>
          <w:tcPr>
            <w:tcW w:type="dxa" w:w="2880"/>
            <w:tcBorders>
              <w:top w:val="single" w:sz="6" w:color="D7DDE5"/>
              <w:left w:val="single" w:sz="6" w:color="D7DDE5"/>
              <w:bottom w:val="single" w:sz="6" w:color="D7DDE5"/>
              <w:right w:val="single" w:sz="6" w:color="D7DDE5"/>
              <w:insideH w:val="single" w:sz="6" w:color="D7DDE5"/>
              <w:insideV w:val="single" w:sz="6" w:color="D7DDE5"/>
            </w:tcBorders>
            <w:vAlign w:val="center"/>
            <w:tcMar>
              <w:top w:w="80" w:type="dxa"/>
              <w:bottom w:w="80" w:type="dxa"/>
              <w:start w:w="120" w:type="dxa"/>
              <w:end w:w="120" w:type="dxa"/>
            </w:tcMar>
          </w:tcPr>
          <w:p>
            <w:pPr>
              <w:spacing w:after="0"/>
            </w:pPr>
            <w:r>
              <w:rPr>
                <w:rFonts w:ascii="Calibri" w:hAnsi="Calibri"/>
                <w:color w:val="13243A"/>
                <w:sz w:val="19"/>
              </w:rPr>
              <w:t>Production go-live</w:t>
            </w:r>
          </w:p>
        </w:tc>
        <w:tc>
          <w:tcPr>
            <w:tcW w:type="dxa" w:w="1900"/>
            <w:tcBorders>
              <w:top w:val="single" w:sz="6" w:color="D7DDE5"/>
              <w:left w:val="single" w:sz="6" w:color="D7DDE5"/>
              <w:bottom w:val="single" w:sz="6" w:color="D7DDE5"/>
              <w:right w:val="single" w:sz="6" w:color="D7DDE5"/>
              <w:insideH w:val="single" w:sz="6" w:color="D7DDE5"/>
              <w:insideV w:val="single" w:sz="6" w:color="D7DDE5"/>
            </w:tcBorders>
            <w:vAlign w:val="center"/>
            <w:tcMar>
              <w:top w:w="80" w:type="dxa"/>
              <w:bottom w:w="80" w:type="dxa"/>
              <w:start w:w="120" w:type="dxa"/>
              <w:end w:w="120" w:type="dxa"/>
            </w:tcMar>
          </w:tcPr>
          <w:p>
            <w:pPr>
              <w:spacing w:after="0"/>
            </w:pPr>
            <w:r>
              <w:rPr>
                <w:rFonts w:ascii="Calibri" w:hAnsi="Calibri"/>
                <w:color w:val="13243A"/>
                <w:sz w:val="19"/>
              </w:rPr>
              <w:t>31 May 2027</w:t>
            </w:r>
          </w:p>
        </w:tc>
        <w:tc>
          <w:tcPr>
            <w:tcW w:type="dxa" w:w="1900"/>
            <w:tcBorders>
              <w:top w:val="single" w:sz="6" w:color="D7DDE5"/>
              <w:left w:val="single" w:sz="6" w:color="D7DDE5"/>
              <w:bottom w:val="single" w:sz="6" w:color="D7DDE5"/>
              <w:right w:val="single" w:sz="6" w:color="D7DDE5"/>
              <w:insideH w:val="single" w:sz="6" w:color="D7DDE5"/>
              <w:insideV w:val="single" w:sz="6" w:color="D7DDE5"/>
            </w:tcBorders>
            <w:vAlign w:val="center"/>
            <w:tcMar>
              <w:top w:w="80" w:type="dxa"/>
              <w:bottom w:w="80" w:type="dxa"/>
              <w:start w:w="120" w:type="dxa"/>
              <w:end w:w="120" w:type="dxa"/>
            </w:tcMar>
          </w:tcPr>
          <w:p>
            <w:pPr>
              <w:spacing w:after="0"/>
            </w:pPr>
            <w:r>
              <w:rPr>
                <w:rFonts w:ascii="Calibri" w:hAnsi="Calibri"/>
                <w:color w:val="13243A"/>
                <w:sz w:val="19"/>
              </w:rPr>
              <w:t>EUR 36,000</w:t>
            </w:r>
          </w:p>
        </w:tc>
        <w:tc>
          <w:tcPr>
            <w:tcW w:type="dxa" w:w="2680"/>
            <w:tcBorders>
              <w:top w:val="single" w:sz="6" w:color="D7DDE5"/>
              <w:left w:val="single" w:sz="6" w:color="D7DDE5"/>
              <w:bottom w:val="single" w:sz="6" w:color="D7DDE5"/>
              <w:right w:val="single" w:sz="6" w:color="D7DDE5"/>
              <w:insideH w:val="single" w:sz="6" w:color="D7DDE5"/>
              <w:insideV w:val="single" w:sz="6" w:color="D7DDE5"/>
            </w:tcBorders>
            <w:vAlign w:val="center"/>
            <w:tcMar>
              <w:top w:w="80" w:type="dxa"/>
              <w:bottom w:w="80" w:type="dxa"/>
              <w:start w:w="120" w:type="dxa"/>
              <w:end w:w="120" w:type="dxa"/>
            </w:tcMar>
          </w:tcPr>
          <w:p>
            <w:pPr>
              <w:spacing w:after="0"/>
            </w:pPr>
            <w:r>
              <w:rPr>
                <w:rFonts w:ascii="Calibri" w:hAnsi="Calibri"/>
                <w:color w:val="13243A"/>
                <w:sz w:val="19"/>
              </w:rPr>
              <w:t>Country Leads</w:t>
            </w:r>
          </w:p>
        </w:tc>
      </w:tr>
      <w:tr>
        <w:trPr/>
        <w:tc>
          <w:tcPr>
            <w:tcW w:type="dxa" w:w="2880"/>
            <w:tcBorders>
              <w:top w:val="single" w:sz="6" w:color="D7DDE5"/>
              <w:left w:val="single" w:sz="6" w:color="D7DDE5"/>
              <w:bottom w:val="single" w:sz="6" w:color="D7DDE5"/>
              <w:right w:val="single" w:sz="6" w:color="D7DDE5"/>
              <w:insideH w:val="single" w:sz="6" w:color="D7DDE5"/>
              <w:insideV w:val="single" w:sz="6" w:color="D7DDE5"/>
            </w:tcBorders>
            <w:vAlign w:val="center"/>
            <w:tcMar>
              <w:top w:w="80" w:type="dxa"/>
              <w:bottom w:w="80" w:type="dxa"/>
              <w:start w:w="120" w:type="dxa"/>
              <w:end w:w="120" w:type="dxa"/>
            </w:tcMar>
          </w:tcPr>
          <w:p>
            <w:pPr>
              <w:spacing w:after="0"/>
            </w:pPr>
            <w:r>
              <w:rPr>
                <w:rFonts w:ascii="Calibri" w:hAnsi="Calibri"/>
                <w:color w:val="13243A"/>
                <w:sz w:val="19"/>
              </w:rPr>
              <w:t>Hypercare accepted</w:t>
            </w:r>
          </w:p>
        </w:tc>
        <w:tc>
          <w:tcPr>
            <w:tcW w:type="dxa" w:w="1900"/>
            <w:tcBorders>
              <w:top w:val="single" w:sz="6" w:color="D7DDE5"/>
              <w:left w:val="single" w:sz="6" w:color="D7DDE5"/>
              <w:bottom w:val="single" w:sz="6" w:color="D7DDE5"/>
              <w:right w:val="single" w:sz="6" w:color="D7DDE5"/>
              <w:insideH w:val="single" w:sz="6" w:color="D7DDE5"/>
              <w:insideV w:val="single" w:sz="6" w:color="D7DDE5"/>
            </w:tcBorders>
            <w:vAlign w:val="center"/>
            <w:tcMar>
              <w:top w:w="80" w:type="dxa"/>
              <w:bottom w:w="80" w:type="dxa"/>
              <w:start w:w="120" w:type="dxa"/>
              <w:end w:w="120" w:type="dxa"/>
            </w:tcMar>
          </w:tcPr>
          <w:p>
            <w:pPr>
              <w:spacing w:after="0"/>
            </w:pPr>
            <w:r>
              <w:rPr>
                <w:rFonts w:ascii="Calibri" w:hAnsi="Calibri"/>
                <w:color w:val="13243A"/>
                <w:sz w:val="19"/>
              </w:rPr>
              <w:t>30 Jun 2027</w:t>
            </w:r>
          </w:p>
        </w:tc>
        <w:tc>
          <w:tcPr>
            <w:tcW w:type="dxa" w:w="1900"/>
            <w:tcBorders>
              <w:top w:val="single" w:sz="6" w:color="D7DDE5"/>
              <w:left w:val="single" w:sz="6" w:color="D7DDE5"/>
              <w:bottom w:val="single" w:sz="6" w:color="D7DDE5"/>
              <w:right w:val="single" w:sz="6" w:color="D7DDE5"/>
              <w:insideH w:val="single" w:sz="6" w:color="D7DDE5"/>
              <w:insideV w:val="single" w:sz="6" w:color="D7DDE5"/>
            </w:tcBorders>
            <w:vAlign w:val="center"/>
            <w:tcMar>
              <w:top w:w="80" w:type="dxa"/>
              <w:bottom w:w="80" w:type="dxa"/>
              <w:start w:w="120" w:type="dxa"/>
              <w:end w:w="120" w:type="dxa"/>
            </w:tcMar>
          </w:tcPr>
          <w:p>
            <w:pPr>
              <w:spacing w:after="0"/>
            </w:pPr>
            <w:r>
              <w:rPr>
                <w:rFonts w:ascii="Calibri" w:hAnsi="Calibri"/>
                <w:color w:val="13243A"/>
                <w:sz w:val="19"/>
              </w:rPr>
              <w:t>EUR 24,000</w:t>
            </w:r>
          </w:p>
        </w:tc>
        <w:tc>
          <w:tcPr>
            <w:tcW w:type="dxa" w:w="2680"/>
            <w:tcBorders>
              <w:top w:val="single" w:sz="6" w:color="D7DDE5"/>
              <w:left w:val="single" w:sz="6" w:color="D7DDE5"/>
              <w:bottom w:val="single" w:sz="6" w:color="D7DDE5"/>
              <w:right w:val="single" w:sz="6" w:color="D7DDE5"/>
              <w:insideH w:val="single" w:sz="6" w:color="D7DDE5"/>
              <w:insideV w:val="single" w:sz="6" w:color="D7DDE5"/>
            </w:tcBorders>
            <w:vAlign w:val="center"/>
            <w:tcMar>
              <w:top w:w="80" w:type="dxa"/>
              <w:bottom w:w="80" w:type="dxa"/>
              <w:start w:w="120" w:type="dxa"/>
              <w:end w:w="120" w:type="dxa"/>
            </w:tcMar>
          </w:tcPr>
          <w:p>
            <w:pPr>
              <w:spacing w:after="0"/>
            </w:pPr>
            <w:r>
              <w:rPr>
                <w:rFonts w:ascii="Calibri" w:hAnsi="Calibri"/>
                <w:color w:val="13243A"/>
                <w:sz w:val="19"/>
              </w:rPr>
              <w:t>Programme Director</w:t>
            </w:r>
          </w:p>
        </w:tc>
      </w:tr>
    </w:tbl>
    <w:p>
      <w:r>
        <w:br w:type="page"/>
      </w:r>
    </w:p>
    <w:p>
      <w:pPr>
        <w:pStyle w:val="Heading1"/>
        <w:keepNext/>
      </w:pPr>
      <w:r>
        <w:t>Signatures</w:t>
      </w:r>
    </w:p>
    <w:p>
      <w:pPr>
        <w:spacing w:after="240"/>
      </w:pPr>
      <w:r>
        <w:rPr>
          <w:rFonts w:ascii="Calibri" w:hAnsi="Calibri"/>
          <w:color w:val="13243A"/>
          <w:sz w:val="22"/>
        </w:rPr>
        <w:t>The parties intend to be legally bound when this Agreement is signed by their authorised representatives.</w:t>
      </w:r>
    </w:p>
    <w:tbl>
      <w:tblPr>
        <w:tblW w:type="dxa" w:w="9360"/>
        <w:jc w:val="left"/>
        <w:tblLayout w:type="fixed"/>
        <w:tblLook w:firstColumn="1" w:firstRow="1" w:lastColumn="0" w:lastRow="0" w:noHBand="0" w:noVBand="1" w:val="04A0"/>
        <w:tblInd w:type="dxa" w:w="120"/>
      </w:tblPr>
      <w:tblGrid>
        <w:gridCol w:w="4680"/>
        <w:gridCol w:w="4680"/>
      </w:tblGrid>
      <w:tr>
        <w:trPr/>
        <w:tc>
          <w:tcPr>
            <w:tcW w:type="dxa" w:w="4680"/>
            <w:vAlign w:val="center"/>
            <w:tcBorders>
              <w:top w:val="single" w:sz="0" w:color="FFFFFF"/>
              <w:left w:val="single" w:sz="0" w:color="FFFFFF"/>
              <w:bottom w:val="single" w:sz="0" w:color="FFFFFF"/>
              <w:right w:val="single" w:sz="0" w:color="FFFFFF"/>
              <w:insideH w:val="single" w:sz="0" w:color="FFFFFF"/>
              <w:insideV w:val="single" w:sz="0" w:color="FFFFFF"/>
            </w:tcBorders>
            <w:shd w:fill="E8EEF5"/>
            <w:tcMar>
              <w:top w:w="80" w:type="dxa"/>
              <w:bottom w:w="80" w:type="dxa"/>
              <w:start w:w="120" w:type="dxa"/>
              <w:end w:w="120" w:type="dxa"/>
            </w:tcMar>
          </w:tcPr>
          <w:p>
            <w:pPr>
              <w:spacing w:after="0"/>
            </w:pPr>
            <w:r>
              <w:rPr>
                <w:rFonts w:ascii="Calibri" w:hAnsi="Calibri"/>
                <w:b/>
                <w:color w:val="13243A"/>
                <w:sz w:val="20"/>
              </w:rPr>
              <w:t>Atlas Workforce B.V.</w:t>
            </w:r>
          </w:p>
        </w:tc>
        <w:tc>
          <w:tcPr>
            <w:tcW w:type="dxa" w:w="4680"/>
            <w:vAlign w:val="center"/>
            <w:tcBorders>
              <w:top w:val="single" w:sz="0" w:color="FFFFFF"/>
              <w:left w:val="single" w:sz="0" w:color="FFFFFF"/>
              <w:bottom w:val="single" w:sz="0" w:color="FFFFFF"/>
              <w:right w:val="single" w:sz="0" w:color="FFFFFF"/>
              <w:insideH w:val="single" w:sz="0" w:color="FFFFFF"/>
              <w:insideV w:val="single" w:sz="0" w:color="FFFFFF"/>
            </w:tcBorders>
            <w:shd w:fill="E8EEF5"/>
            <w:tcMar>
              <w:top w:w="80" w:type="dxa"/>
              <w:bottom w:w="80" w:type="dxa"/>
              <w:start w:w="120" w:type="dxa"/>
              <w:end w:w="120" w:type="dxa"/>
            </w:tcMar>
          </w:tcPr>
          <w:p>
            <w:pPr>
              <w:spacing w:after="0"/>
            </w:pPr>
            <w:r>
              <w:rPr>
                <w:rFonts w:ascii="Calibri" w:hAnsi="Calibri"/>
                <w:b/>
                <w:color w:val="13243A"/>
                <w:sz w:val="20"/>
              </w:rPr>
              <w:t>Redwood Mobility S.A.</w:t>
            </w:r>
          </w:p>
        </w:tc>
      </w:tr>
      <w:tr>
        <w:trPr/>
        <w:tc>
          <w:tcPr>
            <w:tcW w:type="dxa" w:w="4680"/>
            <w:vAlign w:val="center"/>
            <w:tcBorders>
              <w:top w:val="single" w:sz="0" w:color="FFFFFF"/>
              <w:left w:val="single" w:sz="0" w:color="FFFFFF"/>
              <w:bottom w:val="single" w:sz="0" w:color="FFFFFF"/>
              <w:right w:val="single" w:sz="0" w:color="FFFFFF"/>
              <w:insideH w:val="single" w:sz="0" w:color="FFFFFF"/>
              <w:insideV w:val="single" w:sz="0" w:color="FFFFFF"/>
            </w:tcBorders>
            <w:tcMar>
              <w:top w:w="80" w:type="dxa"/>
              <w:bottom w:w="80" w:type="dxa"/>
              <w:start w:w="120" w:type="dxa"/>
              <w:end w:w="120" w:type="dxa"/>
            </w:tcMar>
          </w:tcPr>
          <w:p>
            <w:pPr>
              <w:spacing w:after="60"/>
            </w:pPr>
            <w:r>
              <w:rPr>
                <w:rFonts w:ascii="Calibri" w:hAnsi="Calibri"/>
                <w:b w:val="0"/>
                <w:color w:val="13243A"/>
                <w:sz w:val="20"/>
              </w:rPr>
              <w:t>Signature: __________________________</w:t>
            </w:r>
          </w:p>
        </w:tc>
        <w:tc>
          <w:tcPr>
            <w:tcW w:type="dxa" w:w="4680"/>
            <w:vAlign w:val="center"/>
            <w:tcBorders>
              <w:top w:val="single" w:sz="0" w:color="FFFFFF"/>
              <w:left w:val="single" w:sz="0" w:color="FFFFFF"/>
              <w:bottom w:val="single" w:sz="0" w:color="FFFFFF"/>
              <w:right w:val="single" w:sz="0" w:color="FFFFFF"/>
              <w:insideH w:val="single" w:sz="0" w:color="FFFFFF"/>
              <w:insideV w:val="single" w:sz="0" w:color="FFFFFF"/>
            </w:tcBorders>
            <w:tcMar>
              <w:top w:w="80" w:type="dxa"/>
              <w:bottom w:w="80" w:type="dxa"/>
              <w:start w:w="120" w:type="dxa"/>
              <w:end w:w="120" w:type="dxa"/>
            </w:tcMar>
          </w:tcPr>
          <w:p>
            <w:pPr>
              <w:spacing w:after="60"/>
            </w:pPr>
            <w:r>
              <w:rPr>
                <w:rFonts w:ascii="Calibri" w:hAnsi="Calibri"/>
                <w:b w:val="0"/>
                <w:color w:val="13243A"/>
                <w:sz w:val="20"/>
              </w:rPr>
              <w:t>Signature: __________________________</w:t>
            </w:r>
          </w:p>
        </w:tc>
      </w:tr>
      <w:tr>
        <w:trPr/>
        <w:tc>
          <w:tcPr>
            <w:tcW w:type="dxa" w:w="4680"/>
            <w:vAlign w:val="center"/>
            <w:tcBorders>
              <w:top w:val="single" w:sz="0" w:color="FFFFFF"/>
              <w:left w:val="single" w:sz="0" w:color="FFFFFF"/>
              <w:bottom w:val="single" w:sz="0" w:color="FFFFFF"/>
              <w:right w:val="single" w:sz="0" w:color="FFFFFF"/>
              <w:insideH w:val="single" w:sz="0" w:color="FFFFFF"/>
              <w:insideV w:val="single" w:sz="0" w:color="FFFFFF"/>
            </w:tcBorders>
            <w:tcMar>
              <w:top w:w="80" w:type="dxa"/>
              <w:bottom w:w="80" w:type="dxa"/>
              <w:start w:w="120" w:type="dxa"/>
              <w:end w:w="120" w:type="dxa"/>
            </w:tcMar>
          </w:tcPr>
          <w:p>
            <w:pPr>
              <w:spacing w:after="60"/>
            </w:pPr>
            <w:r>
              <w:rPr>
                <w:rFonts w:ascii="Calibri" w:hAnsi="Calibri"/>
                <w:b w:val="0"/>
                <w:color w:val="13243A"/>
                <w:sz w:val="20"/>
              </w:rPr>
              <w:t>Name: Authorised Signatory</w:t>
            </w:r>
          </w:p>
        </w:tc>
        <w:tc>
          <w:tcPr>
            <w:tcW w:type="dxa" w:w="4680"/>
            <w:vAlign w:val="center"/>
            <w:tcBorders>
              <w:top w:val="single" w:sz="0" w:color="FFFFFF"/>
              <w:left w:val="single" w:sz="0" w:color="FFFFFF"/>
              <w:bottom w:val="single" w:sz="0" w:color="FFFFFF"/>
              <w:right w:val="single" w:sz="0" w:color="FFFFFF"/>
              <w:insideH w:val="single" w:sz="0" w:color="FFFFFF"/>
              <w:insideV w:val="single" w:sz="0" w:color="FFFFFF"/>
            </w:tcBorders>
            <w:tcMar>
              <w:top w:w="80" w:type="dxa"/>
              <w:bottom w:w="80" w:type="dxa"/>
              <w:start w:w="120" w:type="dxa"/>
              <w:end w:w="120" w:type="dxa"/>
            </w:tcMar>
          </w:tcPr>
          <w:p>
            <w:pPr>
              <w:spacing w:after="60"/>
            </w:pPr>
            <w:r>
              <w:rPr>
                <w:rFonts w:ascii="Calibri" w:hAnsi="Calibri"/>
                <w:b w:val="0"/>
                <w:color w:val="13243A"/>
                <w:sz w:val="20"/>
              </w:rPr>
              <w:t>Name: Authorised Signatory</w:t>
            </w:r>
          </w:p>
        </w:tc>
      </w:tr>
      <w:tr>
        <w:trPr/>
        <w:tc>
          <w:tcPr>
            <w:tcW w:type="dxa" w:w="4680"/>
            <w:vAlign w:val="center"/>
            <w:tcBorders>
              <w:top w:val="single" w:sz="0" w:color="FFFFFF"/>
              <w:left w:val="single" w:sz="0" w:color="FFFFFF"/>
              <w:bottom w:val="single" w:sz="0" w:color="FFFFFF"/>
              <w:right w:val="single" w:sz="0" w:color="FFFFFF"/>
              <w:insideH w:val="single" w:sz="0" w:color="FFFFFF"/>
              <w:insideV w:val="single" w:sz="0" w:color="FFFFFF"/>
            </w:tcBorders>
            <w:tcMar>
              <w:top w:w="80" w:type="dxa"/>
              <w:bottom w:w="80" w:type="dxa"/>
              <w:start w:w="120" w:type="dxa"/>
              <w:end w:w="120" w:type="dxa"/>
            </w:tcMar>
          </w:tcPr>
          <w:p>
            <w:pPr>
              <w:spacing w:after="60"/>
            </w:pPr>
            <w:r>
              <w:rPr>
                <w:rFonts w:ascii="Calibri" w:hAnsi="Calibri"/>
                <w:b w:val="0"/>
                <w:color w:val="13243A"/>
                <w:sz w:val="20"/>
              </w:rPr>
              <w:t>Title: ______________________________</w:t>
            </w:r>
          </w:p>
        </w:tc>
        <w:tc>
          <w:tcPr>
            <w:tcW w:type="dxa" w:w="4680"/>
            <w:vAlign w:val="center"/>
            <w:tcBorders>
              <w:top w:val="single" w:sz="0" w:color="FFFFFF"/>
              <w:left w:val="single" w:sz="0" w:color="FFFFFF"/>
              <w:bottom w:val="single" w:sz="0" w:color="FFFFFF"/>
              <w:right w:val="single" w:sz="0" w:color="FFFFFF"/>
              <w:insideH w:val="single" w:sz="0" w:color="FFFFFF"/>
              <w:insideV w:val="single" w:sz="0" w:color="FFFFFF"/>
            </w:tcBorders>
            <w:tcMar>
              <w:top w:w="80" w:type="dxa"/>
              <w:bottom w:w="80" w:type="dxa"/>
              <w:start w:w="120" w:type="dxa"/>
              <w:end w:w="120" w:type="dxa"/>
            </w:tcMar>
          </w:tcPr>
          <w:p>
            <w:pPr>
              <w:spacing w:after="60"/>
            </w:pPr>
            <w:r>
              <w:rPr>
                <w:rFonts w:ascii="Calibri" w:hAnsi="Calibri"/>
                <w:b w:val="0"/>
                <w:color w:val="13243A"/>
                <w:sz w:val="20"/>
              </w:rPr>
              <w:t>Title: ______________________________</w:t>
            </w:r>
          </w:p>
        </w:tc>
      </w:tr>
      <w:tr>
        <w:trPr/>
        <w:tc>
          <w:tcPr>
            <w:tcW w:type="dxa" w:w="4680"/>
            <w:vAlign w:val="center"/>
            <w:tcBorders>
              <w:top w:val="single" w:sz="0" w:color="FFFFFF"/>
              <w:left w:val="single" w:sz="0" w:color="FFFFFF"/>
              <w:bottom w:val="single" w:sz="0" w:color="FFFFFF"/>
              <w:right w:val="single" w:sz="0" w:color="FFFFFF"/>
              <w:insideH w:val="single" w:sz="0" w:color="FFFFFF"/>
              <w:insideV w:val="single" w:sz="0" w:color="FFFFFF"/>
            </w:tcBorders>
            <w:tcMar>
              <w:top w:w="80" w:type="dxa"/>
              <w:bottom w:w="80" w:type="dxa"/>
              <w:start w:w="120" w:type="dxa"/>
              <w:end w:w="120" w:type="dxa"/>
            </w:tcMar>
          </w:tcPr>
          <w:p>
            <w:pPr>
              <w:spacing w:after="60"/>
            </w:pPr>
            <w:r>
              <w:rPr>
                <w:rFonts w:ascii="Calibri" w:hAnsi="Calibri"/>
                <w:b w:val="0"/>
                <w:color w:val="13243A"/>
                <w:sz w:val="20"/>
              </w:rPr>
              <w:t>Date: _______________________________</w:t>
            </w:r>
          </w:p>
        </w:tc>
        <w:tc>
          <w:tcPr>
            <w:tcW w:type="dxa" w:w="4680"/>
            <w:vAlign w:val="center"/>
            <w:tcBorders>
              <w:top w:val="single" w:sz="0" w:color="FFFFFF"/>
              <w:left w:val="single" w:sz="0" w:color="FFFFFF"/>
              <w:bottom w:val="single" w:sz="0" w:color="FFFFFF"/>
              <w:right w:val="single" w:sz="0" w:color="FFFFFF"/>
              <w:insideH w:val="single" w:sz="0" w:color="FFFFFF"/>
              <w:insideV w:val="single" w:sz="0" w:color="FFFFFF"/>
            </w:tcBorders>
            <w:tcMar>
              <w:top w:w="80" w:type="dxa"/>
              <w:bottom w:w="80" w:type="dxa"/>
              <w:start w:w="120" w:type="dxa"/>
              <w:end w:w="120" w:type="dxa"/>
            </w:tcMar>
          </w:tcPr>
          <w:p>
            <w:pPr>
              <w:spacing w:after="60"/>
            </w:pPr>
            <w:r>
              <w:rPr>
                <w:rFonts w:ascii="Calibri" w:hAnsi="Calibri"/>
                <w:b w:val="0"/>
                <w:color w:val="13243A"/>
                <w:sz w:val="20"/>
              </w:rPr>
              <w:t>Date: _______________________________</w:t>
            </w:r>
          </w:p>
        </w:tc>
      </w:tr>
    </w:tbl>
    <w:p>
      <w:pPr>
        <w:spacing w:before="240"/>
        <w:jc w:val="center"/>
      </w:pPr>
      <w:r>
        <w:rPr>
          <w:rFonts w:ascii="Calibri" w:hAnsi="Calibri"/>
          <w:i/>
          <w:color w:val="596576"/>
          <w:sz w:val="18"/>
        </w:rPr>
        <w:t>End of fictional sample agreement. All entities, dates, and commercial terms are synthetic.</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596576"/>
        <w:sz w:val="18"/>
      </w:rPr>
      <w:t xml:space="preserve">DEMO-SOW-2026-027  |  Fictional sample  |  Page </w:t>
    </w:r>
    <w:r>
      <w:rPr>
        <w:rFonts w:ascii="Calibri" w:hAnsi="Calibri"/>
        <w:color w:val="596576"/>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b/>
        <w:color w:val="596576"/>
        <w:sz w:val="17"/>
      </w:rPr>
      <w:t>FICTIONAL DEMO AGREEMENT  |  CLM ONE TEST DATA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color w:val="1324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360"/>
      <w:contextualSpacing/>
      <w:jc w:val="center"/>
    </w:pPr>
    <w:rPr>
      <w:rFonts w:asciiTheme="majorHAnsi" w:eastAsiaTheme="majorEastAsia" w:hAnsiTheme="majorHAnsi" w:cstheme="majorBidi" w:ascii="Calibri" w:hAnsi="Calibri"/>
      <w:b/>
      <w:color w:val="13243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jc w:val="center"/>
    </w:pPr>
    <w:rPr>
      <w:rFonts w:asciiTheme="majorHAnsi" w:eastAsiaTheme="majorEastAsia" w:hAnsiTheme="majorHAnsi" w:cstheme="majorBidi" w:ascii="Calibri" w:hAnsi="Calibri"/>
      <w:i w:val="0"/>
      <w:iCs/>
      <w:color w:val="59657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Work</dc:title>
  <dc:subject>Fictional CLM One upload and review sample</dc:subject>
  <dc:creator>CLM One Demo Data</dc:creator>
  <cp:keywords>fictional, demo, contract, CLM One</cp:keywords>
  <dc:description>Contains no real client, employee, payroll, or personal data.</dc:description>
  <cp:lastModifiedBy/>
  <cp:revision>1</cp:revision>
  <dcterms:created xsi:type="dcterms:W3CDTF">2013-12-23T23:15:00Z</dcterms:created>
  <dcterms:modified xsi:type="dcterms:W3CDTF">2013-12-23T23:15:00Z</dcterms:modified>
  <cp:category/>
</cp:coreProperties>
</file>