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A6FC5" w14:textId="77777777" w:rsidR="00F8359C" w:rsidRPr="009124E6" w:rsidRDefault="00000000" w:rsidP="009124E6">
      <w:pPr>
        <w:spacing w:before="1400"/>
        <w:jc w:val="center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>NATIONAL ASSEMBLY OF PAKISTAN</w:t>
      </w:r>
    </w:p>
    <w:p w14:paraId="7E7EBD6B" w14:textId="77777777" w:rsidR="00F8359C" w:rsidRPr="009124E6" w:rsidRDefault="00000000" w:rsidP="009124E6">
      <w:pPr>
        <w:spacing w:before="360"/>
        <w:jc w:val="center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>TECHNICAL MARKET CONSULTATION</w:t>
      </w:r>
      <w:r w:rsidRPr="009124E6">
        <w:rPr>
          <w:rFonts w:ascii="Times New Roman" w:hAnsi="Times New Roman" w:cs="Times New Roman"/>
          <w:b/>
          <w:sz w:val="24"/>
          <w:szCs w:val="24"/>
        </w:rPr>
        <w:br/>
        <w:t>AND CAPABILITY DEMONSTRATION PACKAGE</w:t>
      </w:r>
    </w:p>
    <w:p w14:paraId="5F359E71" w14:textId="77777777" w:rsidR="00F8359C" w:rsidRPr="009124E6" w:rsidRDefault="00000000" w:rsidP="009124E6">
      <w:pPr>
        <w:spacing w:before="160"/>
        <w:jc w:val="center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i/>
          <w:sz w:val="24"/>
          <w:szCs w:val="24"/>
        </w:rPr>
        <w:t>Digital and AI Enablement of the Honourable Speaker's Office</w:t>
      </w:r>
    </w:p>
    <w:p w14:paraId="5D2DE2BC" w14:textId="77777777" w:rsidR="00F8359C" w:rsidRPr="009124E6" w:rsidRDefault="00000000" w:rsidP="009124E6">
      <w:pPr>
        <w:spacing w:before="640"/>
        <w:jc w:val="center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>Prepared for</w:t>
      </w:r>
    </w:p>
    <w:p w14:paraId="44603ABC" w14:textId="77777777" w:rsidR="00F8359C" w:rsidRPr="009124E6" w:rsidRDefault="00000000" w:rsidP="009124E6">
      <w:pPr>
        <w:jc w:val="center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>Syeda Amnah Batool, MNA</w:t>
      </w:r>
    </w:p>
    <w:p w14:paraId="3ABA227A" w14:textId="77777777" w:rsidR="00F8359C" w:rsidRPr="009124E6" w:rsidRDefault="00000000" w:rsidP="009124E6">
      <w:pPr>
        <w:jc w:val="center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Convener, AI Working Group</w:t>
      </w:r>
      <w:r w:rsidRPr="009124E6">
        <w:rPr>
          <w:rFonts w:ascii="Times New Roman" w:hAnsi="Times New Roman" w:cs="Times New Roman"/>
          <w:sz w:val="24"/>
          <w:szCs w:val="24"/>
        </w:rPr>
        <w:br/>
        <w:t>National Assembly of Pakistan</w:t>
      </w:r>
    </w:p>
    <w:p w14:paraId="11C9768B" w14:textId="77777777" w:rsidR="00F8359C" w:rsidRPr="009124E6" w:rsidRDefault="00000000" w:rsidP="009124E6">
      <w:pPr>
        <w:spacing w:before="840"/>
        <w:jc w:val="center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>Purpose</w:t>
      </w:r>
    </w:p>
    <w:p w14:paraId="78D56C43" w14:textId="77777777" w:rsidR="00F8359C" w:rsidRPr="009124E6" w:rsidRDefault="00000000" w:rsidP="009124E6">
      <w:pPr>
        <w:ind w:left="1728" w:right="1728"/>
        <w:jc w:val="center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To identify and test a secure, integrated and practical technology solution for the Speaker's Office through a time-bound market consultation and working demonstration process, before any formal procurement decision.</w:t>
      </w:r>
    </w:p>
    <w:p w14:paraId="38748869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030D2717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09451174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61590929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28C581A1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032ACEC6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0D637BEA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4D736299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62284E75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012968C2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421A01F7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3C8D454B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597B15A0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3DE00D2C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06F5A1C6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32B203AD" w14:textId="77777777" w:rsidR="009124E6" w:rsidRPr="009124E6" w:rsidRDefault="009124E6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</w:p>
    <w:p w14:paraId="049D7882" w14:textId="77777777" w:rsidR="00F8359C" w:rsidRPr="009124E6" w:rsidRDefault="00000000" w:rsidP="009124E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TECHNICAL MARKET CONSULTATION AND CAPABILITY DEMONSTRATION</w:t>
      </w:r>
    </w:p>
    <w:p w14:paraId="2824D205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 xml:space="preserve">Project: </w:t>
      </w:r>
      <w:r w:rsidRPr="009124E6">
        <w:rPr>
          <w:rFonts w:ascii="Times New Roman" w:hAnsi="Times New Roman" w:cs="Times New Roman"/>
          <w:sz w:val="24"/>
          <w:szCs w:val="24"/>
        </w:rPr>
        <w:t>Digital and AI Enablement of the Honourable Speaker's Office, National Assembly of Pakistan</w:t>
      </w:r>
    </w:p>
    <w:p w14:paraId="2799C589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 xml:space="preserve">Nature of Exercise: </w:t>
      </w:r>
      <w:r w:rsidRPr="009124E6">
        <w:rPr>
          <w:rFonts w:ascii="Times New Roman" w:hAnsi="Times New Roman" w:cs="Times New Roman"/>
          <w:sz w:val="24"/>
          <w:szCs w:val="24"/>
        </w:rPr>
        <w:t>Non-binding technical market consultation, proof-of-concept assessment and implementation planning exercise</w:t>
      </w:r>
    </w:p>
    <w:p w14:paraId="513BE9B1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1. Background and Purpose</w:t>
      </w:r>
    </w:p>
    <w:p w14:paraId="02810BBD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Speaker's Office handles a continuous flow of official files, meeting requests, schedules, directions, correspondence, briefings, speeches and other parliamentary work. A significant part of this work is presently handled through separate files, registers, messages, emails and individual follow-up arrangements. This makes it difficult to see, in one place, what has been received, what is pending, what decision was taken, who is responsible and what requires the Speaker's attention.</w:t>
      </w:r>
    </w:p>
    <w:p w14:paraId="2BABFC5F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National Assembly therefore intends to move towards a secure, integrated digital working environment for the Speaker's Office. The objective is not simply to digitize documents. The system should improve visibility, accountability, retrieval, follow-up and institutional memory while preserving the confidentiality and authority of official processes.</w:t>
      </w:r>
    </w:p>
    <w:p w14:paraId="7FFD9084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This consultation is being undertaken to identify companies that can demonstrate a practical, secure and scalable solution. The National Assembly is interested in working capability and implementable architecture, not general corporate presentations.</w:t>
      </w:r>
    </w:p>
    <w:p w14:paraId="3D9E1E26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2. What the National Assembly Wants to Achieve</w:t>
      </w:r>
    </w:p>
    <w:p w14:paraId="75F77DEE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desired end-state is a secure digital workspace or command dashboard through which authorized Speaker's Office users can see and manage official work from receipt to closure. A suitable solution should make it possible to:</w:t>
      </w:r>
    </w:p>
    <w:p w14:paraId="32A70368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know what files, meeting requests, invitations and matters have been received and where they presently stand;</w:t>
      </w:r>
    </w:p>
    <w:p w14:paraId="4C3A6E7E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see the Speaker's directions and decisions, the responsible officer, due date, reminders and completion evidence;</w:t>
      </w:r>
    </w:p>
    <w:p w14:paraId="78ADBD13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search previous files, decisions, meetings, briefs and related official material without depending on one individual or one physical record;</w:t>
      </w:r>
    </w:p>
    <w:p w14:paraId="3C3B71EC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manage daily and long-term schedules, detect conflicts and track changes;</w:t>
      </w:r>
    </w:p>
    <w:p w14:paraId="4F8E337D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prepare or retrieve briefs, talking points and speeches from authorized source material, with clear source traceability and human review;</w:t>
      </w:r>
    </w:p>
    <w:p w14:paraId="1D5A2A90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maintain a secure history of meetings, visitors, action points and follow-up;</w:t>
      </w:r>
    </w:p>
    <w:p w14:paraId="271F9C39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generate dashboards showing pending, overdue, completed and priority work; and</w:t>
      </w:r>
    </w:p>
    <w:p w14:paraId="02B8FC3F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expand later into other approved Speaker's Office and parliamentary functions without having to replace the whole platform.</w:t>
      </w:r>
    </w:p>
    <w:p w14:paraId="2E531E64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br w:type="page"/>
      </w:r>
    </w:p>
    <w:p w14:paraId="45C1A04B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lastRenderedPageBreak/>
        <w:t>3. Priority Scope</w:t>
      </w:r>
    </w:p>
    <w:p w14:paraId="302F3F67" w14:textId="77777777" w:rsidR="00F8359C" w:rsidRPr="009124E6" w:rsidRDefault="00000000" w:rsidP="009124E6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3.1 Document and File Management</w:t>
      </w:r>
    </w:p>
    <w:p w14:paraId="1FA02A50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Digital receipt and registration of incoming and outgoing material.</w:t>
      </w:r>
    </w:p>
    <w:p w14:paraId="5E83F502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Attachment handling, metadata, subject classification, version history and full-text search.</w:t>
      </w:r>
    </w:p>
    <w:p w14:paraId="075B458A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Controlled movement/routing of files to authorized users.</w:t>
      </w:r>
    </w:p>
    <w:p w14:paraId="5387839E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Presentation of a file to the Speaker or authorized office user for review.</w:t>
      </w:r>
    </w:p>
    <w:p w14:paraId="10D11EFD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Recording of observations, approvals, directions and follow-up against the original source record.</w:t>
      </w:r>
    </w:p>
    <w:p w14:paraId="419E9A8A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Status view showing where a matter is, who has it and what remains pending.</w:t>
      </w:r>
    </w:p>
    <w:p w14:paraId="7C9B76AC" w14:textId="77777777" w:rsidR="00F8359C" w:rsidRPr="009124E6" w:rsidRDefault="00000000" w:rsidP="009124E6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3.2 Speaker's Decisions and Directions</w:t>
      </w:r>
    </w:p>
    <w:p w14:paraId="73249CD1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Capture each decision or direction in a structured form.</w:t>
      </w:r>
    </w:p>
    <w:p w14:paraId="5EA0F330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Link it to the relevant file, meeting, subject or correspondence.</w:t>
      </w:r>
    </w:p>
    <w:p w14:paraId="5F9E5C9D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Assign responsibility, due date, reminders and escalation.</w:t>
      </w:r>
    </w:p>
    <w:p w14:paraId="5953ED9E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Show pending, overdue and completed directions on a dashboard.</w:t>
      </w:r>
    </w:p>
    <w:p w14:paraId="03CFA689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Require completion evidence and preserve a searchable audit history.</w:t>
      </w:r>
    </w:p>
    <w:p w14:paraId="50348AF8" w14:textId="77777777" w:rsidR="00F8359C" w:rsidRPr="009124E6" w:rsidRDefault="00000000" w:rsidP="009124E6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3.3 Meeting and Visitor Management</w:t>
      </w:r>
    </w:p>
    <w:p w14:paraId="0AC42496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Record meeting requests, invitations, delegations, official visitors and other approved categories.</w:t>
      </w:r>
    </w:p>
    <w:p w14:paraId="21BC55D3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Maintain background material and briefing notes against the meeting record.</w:t>
      </w:r>
    </w:p>
    <w:p w14:paraId="5135567E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Record meeting outcomes, decisions and action points.</w:t>
      </w:r>
    </w:p>
    <w:p w14:paraId="06440D9F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Link follow-up actions to the directions tracker.</w:t>
      </w:r>
    </w:p>
    <w:p w14:paraId="7BCB4B2C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Provide a secure, searchable history for future reference.</w:t>
      </w:r>
    </w:p>
    <w:p w14:paraId="410FE2F3" w14:textId="77777777" w:rsidR="00F8359C" w:rsidRPr="009124E6" w:rsidRDefault="00000000" w:rsidP="009124E6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3.4 Daily and Long-Term Schedule Management</w:t>
      </w:r>
    </w:p>
    <w:p w14:paraId="198269CF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Manage the daily diary, meeting requests, invitations, tours and official engagements.</w:t>
      </w:r>
    </w:p>
    <w:p w14:paraId="3B21E265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Detect timing conflicts and suggest available alternatives.</w:t>
      </w:r>
    </w:p>
    <w:p w14:paraId="1DF71F60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Issue reminders and controlled change notifications.</w:t>
      </w:r>
    </w:p>
    <w:p w14:paraId="2C7B61D2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Allow different levels of access for staff according to their role.</w:t>
      </w:r>
    </w:p>
    <w:p w14:paraId="146474C2" w14:textId="77777777" w:rsidR="00F8359C" w:rsidRPr="009124E6" w:rsidRDefault="00000000" w:rsidP="009124E6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3.5 Expansion Capability</w:t>
      </w:r>
    </w:p>
    <w:p w14:paraId="6CDFE42E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architecture should be capable of later extension, subject to separate approval and prioritization, to functions such as:</w:t>
      </w:r>
    </w:p>
    <w:p w14:paraId="6441B145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questions, parliamentary business and agenda support;</w:t>
      </w:r>
    </w:p>
    <w:p w14:paraId="473A87F2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speeches, talking points, briefings and source-based drafting assistance;</w:t>
      </w:r>
    </w:p>
    <w:p w14:paraId="2B7E2DA0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official correspondence and protocol communications;</w:t>
      </w:r>
    </w:p>
    <w:p w14:paraId="22A91D62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digital call logging and authorized follow-up;</w:t>
      </w:r>
    </w:p>
    <w:p w14:paraId="4CD8EC4D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secure remote review and approval through official channels;</w:t>
      </w:r>
    </w:p>
    <w:p w14:paraId="38EE2C8D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press release, media and approved social-media review support;</w:t>
      </w:r>
    </w:p>
    <w:p w14:paraId="242FEA40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legislative and parliamentary search, bill tracking, debate summarization, Hansard/translation support and other approved institutional use cases.</w:t>
      </w:r>
    </w:p>
    <w:p w14:paraId="5D3A6899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lastRenderedPageBreak/>
        <w:t>4. Expected Solution Principles</w:t>
      </w:r>
    </w:p>
    <w:p w14:paraId="24CB9D23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Practical first: the platform should solve real Speaker's Office workflow problems before adding advanced AI features.</w:t>
      </w:r>
    </w:p>
    <w:p w14:paraId="3257FC3E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Secure by design: confidentiality, least privilege, encryption, audit logs and controlled administration must be built into the architecture.</w:t>
      </w:r>
    </w:p>
    <w:p w14:paraId="747496A9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Human controlled: AI may assist, but no AI output should become an official decision, direction or communication without authorized human review.</w:t>
      </w:r>
    </w:p>
    <w:p w14:paraId="37C4BDD1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Interoperable: the solution should integrate with existing National Assembly/NITB systems and future systems through documented APIs or connectors where technically feasible.</w:t>
      </w:r>
    </w:p>
    <w:p w14:paraId="11B2CE79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Urdu and English capable: the system should support both languages, including mixed-language records and search.</w:t>
      </w:r>
    </w:p>
    <w:p w14:paraId="13A7BFBE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Modular and scalable: the National Assembly should be able to start with a controlled pilot and add functions in phases.</w:t>
      </w:r>
    </w:p>
    <w:p w14:paraId="25738FF3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Portable: the National Assembly must be able to export its documents, metadata, audit records and configurations in a usable form and should not be trapped in an avoidable vendor lock-in.</w:t>
      </w:r>
    </w:p>
    <w:p w14:paraId="5D663265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Measurable: every claimed function should be capable of being tested against agreed acceptance criteria.</w:t>
      </w:r>
    </w:p>
    <w:p w14:paraId="34A833B8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5. What Participating Companies Must Submit</w:t>
      </w:r>
    </w:p>
    <w:p w14:paraId="33D4EA51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Participating companies should submit a concise, solution-focused response. The response should clearly explain how the proposed solution would work in the National Assembly environment and should identify all assumptions and dependencies. At a minimum, the submission should cover the following:</w:t>
      </w:r>
    </w:p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1856"/>
        <w:gridCol w:w="8012"/>
      </w:tblGrid>
      <w:tr w:rsidR="00F8359C" w:rsidRPr="009124E6" w14:paraId="28B08CAD" w14:textId="77777777" w:rsidTr="00912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0A2E026A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4117" w:type="pct"/>
          </w:tcPr>
          <w:p w14:paraId="221F5FF2" w14:textId="77777777" w:rsidR="00F8359C" w:rsidRPr="009124E6" w:rsidRDefault="00000000" w:rsidP="009124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Required Response</w:t>
            </w:r>
          </w:p>
        </w:tc>
      </w:tr>
      <w:tr w:rsidR="00F8359C" w:rsidRPr="009124E6" w14:paraId="36663107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18118072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Solution architecture</w:t>
            </w:r>
          </w:p>
        </w:tc>
        <w:tc>
          <w:tcPr>
            <w:tcW w:w="4117" w:type="pct"/>
          </w:tcPr>
          <w:p w14:paraId="727966B5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Major components, workflow engine, databases, AI models/services, APIs, administrative consoles and deployment topology.</w:t>
            </w:r>
          </w:p>
        </w:tc>
      </w:tr>
      <w:tr w:rsidR="00F8359C" w:rsidRPr="009124E6" w14:paraId="1E3B61B3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0973BC61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Deployment model</w:t>
            </w:r>
          </w:p>
        </w:tc>
        <w:tc>
          <w:tcPr>
            <w:tcW w:w="4117" w:type="pct"/>
          </w:tcPr>
          <w:p w14:paraId="380E78C1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Whether the solution can operate on premises, private/sovereign cloud or hybrid infrastructure; all external service dependencies must be identified.</w:t>
            </w:r>
          </w:p>
        </w:tc>
      </w:tr>
      <w:tr w:rsidR="00F8359C" w:rsidRPr="009124E6" w14:paraId="53C05B81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671FE4D8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Data location</w:t>
            </w:r>
          </w:p>
        </w:tc>
        <w:tc>
          <w:tcPr>
            <w:tcW w:w="4117" w:type="pct"/>
          </w:tcPr>
          <w:p w14:paraId="4D9B23FC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Where documents, logs, embeddings, prompts/responses, backups and telemetry are stored or processed, and whether any data leaves Pakistan or the National Assembly environment.</w:t>
            </w:r>
          </w:p>
        </w:tc>
      </w:tr>
      <w:tr w:rsidR="00F8359C" w:rsidRPr="009124E6" w14:paraId="25C6FCCC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15833F5B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AI models</w:t>
            </w:r>
          </w:p>
        </w:tc>
        <w:tc>
          <w:tcPr>
            <w:tcW w:w="4117" w:type="pct"/>
          </w:tcPr>
          <w:p w14:paraId="67223137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Models/services proposed; whether proprietary, open-source or third-party; model update controls; and measures preventing parliamentary data from being used for external model training without authorization.</w:t>
            </w:r>
          </w:p>
        </w:tc>
      </w:tr>
      <w:tr w:rsidR="00F8359C" w:rsidRPr="009124E6" w14:paraId="064E0497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5DDCF493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Urdu and English</w:t>
            </w:r>
          </w:p>
        </w:tc>
        <w:tc>
          <w:tcPr>
            <w:tcW w:w="4117" w:type="pct"/>
          </w:tcPr>
          <w:p w14:paraId="009F9CC6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Document handling, search, OCR where required, summarization, drafting and mixed-language capability.</w:t>
            </w:r>
          </w:p>
        </w:tc>
      </w:tr>
      <w:tr w:rsidR="00F8359C" w:rsidRPr="009124E6" w14:paraId="0AED6E5F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7A12D238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Workflow and search</w:t>
            </w:r>
          </w:p>
        </w:tc>
        <w:tc>
          <w:tcPr>
            <w:tcW w:w="4117" w:type="pct"/>
          </w:tcPr>
          <w:p w14:paraId="3F17B0FB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Routing, approvals, reminders, escalation, delegation, permissions-aware search, citations/source links and prevention of cross-user data leakage.</w:t>
            </w:r>
          </w:p>
        </w:tc>
      </w:tr>
      <w:tr w:rsidR="00F8359C" w:rsidRPr="009124E6" w14:paraId="7A75A296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51AFD62D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Identity and access</w:t>
            </w:r>
          </w:p>
        </w:tc>
        <w:tc>
          <w:tcPr>
            <w:tcW w:w="4117" w:type="pct"/>
          </w:tcPr>
          <w:p w14:paraId="61B867DE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RBAC, least privilege, MFA/SSO integration, privileged administration and separation of duties.</w:t>
            </w:r>
          </w:p>
        </w:tc>
      </w:tr>
      <w:tr w:rsidR="00F8359C" w:rsidRPr="009124E6" w14:paraId="0CC966D8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0DEB46C3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Cybersecurity</w:t>
            </w:r>
          </w:p>
        </w:tc>
        <w:tc>
          <w:tcPr>
            <w:tcW w:w="4117" w:type="pct"/>
          </w:tcPr>
          <w:p w14:paraId="16065A78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Encryption, secrets management, secure coding, logging/SIEM, vulnerability management, VAPT, incident response, backup and recovery.</w:t>
            </w:r>
          </w:p>
        </w:tc>
      </w:tr>
      <w:tr w:rsidR="00F8359C" w:rsidRPr="009124E6" w14:paraId="41BC5091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257B1741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AI governance</w:t>
            </w:r>
          </w:p>
        </w:tc>
        <w:tc>
          <w:tcPr>
            <w:tcW w:w="4117" w:type="pct"/>
          </w:tcPr>
          <w:p w14:paraId="7E37E796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Human review, source traceability, uncertainty handling, prohibited actions, change logging and auditability of AI-assisted work.</w:t>
            </w:r>
          </w:p>
        </w:tc>
      </w:tr>
      <w:tr w:rsidR="00F8359C" w:rsidRPr="009124E6" w14:paraId="443A58CA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706B93E1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4117" w:type="pct"/>
          </w:tcPr>
          <w:p w14:paraId="6A150A55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Expected connectors/APIs and approach for integration with existing systems, repositories, email/calendar and future parliamentary platforms.</w:t>
            </w:r>
          </w:p>
        </w:tc>
      </w:tr>
      <w:tr w:rsidR="00F8359C" w:rsidRPr="009124E6" w14:paraId="0ADE2DFB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0D6D052B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Implementation team</w:t>
            </w:r>
          </w:p>
        </w:tc>
        <w:tc>
          <w:tcPr>
            <w:tcW w:w="4117" w:type="pct"/>
          </w:tcPr>
          <w:p w14:paraId="2A6BF68C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Named roles for solution architecture, AI/ML, application development, cybersecurity, integration and project management.</w:t>
            </w:r>
          </w:p>
        </w:tc>
      </w:tr>
      <w:tr w:rsidR="00F8359C" w:rsidRPr="009124E6" w14:paraId="01E15453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0896B6DA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Relevant experience</w:t>
            </w:r>
          </w:p>
        </w:tc>
        <w:tc>
          <w:tcPr>
            <w:tcW w:w="4117" w:type="pct"/>
          </w:tcPr>
          <w:p w14:paraId="18F1734F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Up to five comparable enterprise, government or regulated-sector implementations, stating the operational status.</w:t>
            </w:r>
          </w:p>
        </w:tc>
      </w:tr>
      <w:tr w:rsidR="00F8359C" w:rsidRPr="009124E6" w14:paraId="759B38FF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3C6CB797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Knowledge transfer</w:t>
            </w:r>
          </w:p>
        </w:tc>
        <w:tc>
          <w:tcPr>
            <w:tcW w:w="4117" w:type="pct"/>
          </w:tcPr>
          <w:p w14:paraId="31CBE19E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Documentation, administrator training, end-user training, handover and internal capacity building.</w:t>
            </w:r>
          </w:p>
        </w:tc>
      </w:tr>
      <w:tr w:rsidR="00F8359C" w:rsidRPr="009124E6" w14:paraId="1B153A61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5EE67D3B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IP, source code and exit</w:t>
            </w:r>
          </w:p>
        </w:tc>
        <w:tc>
          <w:tcPr>
            <w:tcW w:w="4117" w:type="pct"/>
          </w:tcPr>
          <w:p w14:paraId="4B5F1E2B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Ownership/licensing of custom code and configuration, source access/escrow options where relevant, export formats, migration support and lock-in controls.</w:t>
            </w:r>
          </w:p>
        </w:tc>
      </w:tr>
      <w:tr w:rsidR="00F8359C" w:rsidRPr="009124E6" w14:paraId="40F6AB09" w14:textId="77777777" w:rsidTr="009124E6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" w:type="pct"/>
          </w:tcPr>
          <w:p w14:paraId="186D5E27" w14:textId="77777777" w:rsidR="00F8359C" w:rsidRPr="009124E6" w:rsidRDefault="00000000" w:rsidP="00912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Pilot plan and commercials</w:t>
            </w:r>
          </w:p>
        </w:tc>
        <w:tc>
          <w:tcPr>
            <w:tcW w:w="4117" w:type="pct"/>
          </w:tcPr>
          <w:p w14:paraId="36C1B983" w14:textId="77777777" w:rsidR="00F8359C" w:rsidRPr="009124E6" w:rsidRDefault="00000000" w:rsidP="00912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Realistic pilot milestones, dependencies, acceptance tests and a non-binding indicative cost range separating implementation, licenses/subscriptions, infrastructure and annual support.</w:t>
            </w:r>
          </w:p>
        </w:tc>
      </w:tr>
    </w:tbl>
    <w:p w14:paraId="520C46F2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6. Mandatory Working Demonstration</w:t>
      </w:r>
    </w:p>
    <w:p w14:paraId="3C0A811D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Shortlisted participants should be prepared to demonstrate the same end-to-end scenario using only sanitized or synthetic data approved for the exercise. The purpose is to see the system working, not to assess a slide presentation.</w:t>
      </w:r>
    </w:p>
    <w:p w14:paraId="7A080F25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Receive and register a sample incoming official document with attachments.</w:t>
      </w:r>
    </w:p>
    <w:p w14:paraId="223A07F0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Extract basic metadata, classify the subject and produce a concise Urdu or English summary.</w:t>
      </w:r>
    </w:p>
    <w:p w14:paraId="274F41A7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Route the file to an authorized Speaker's Office user.</w:t>
      </w:r>
    </w:p>
    <w:p w14:paraId="269677BD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Record a sample approval or direction and permanently link it to the source document.</w:t>
      </w:r>
    </w:p>
    <w:p w14:paraId="757C5FDB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Assign the direction to a responsible officer with a due date and reminder.</w:t>
      </w:r>
    </w:p>
    <w:p w14:paraId="3F76385D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Display pending, completed and overdue directions on a dashboard.</w:t>
      </w:r>
    </w:p>
    <w:p w14:paraId="355D1F87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Retrieve the source file and a previous related decision through natural-language or advanced search while respecting user permissions.</w:t>
      </w:r>
    </w:p>
    <w:p w14:paraId="508F4C6B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Create a meeting request, detect a schedule conflict and suggest available alternatives.</w:t>
      </w:r>
    </w:p>
    <w:p w14:paraId="24737E90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Record meeting notes/action points and link them to the direction tracker.</w:t>
      </w:r>
    </w:p>
    <w:p w14:paraId="7DCB1E0B" w14:textId="77777777" w:rsidR="00F8359C" w:rsidRPr="009124E6" w:rsidRDefault="00000000" w:rsidP="009124E6">
      <w:pPr>
        <w:pStyle w:val="ListNumber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Show the complete audit trail, including user actions, AI-generated content, edits and approvals.</w:t>
      </w:r>
    </w:p>
    <w:p w14:paraId="744C93FD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7. Data Security, Privacy and AI Governance</w:t>
      </w:r>
    </w:p>
    <w:p w14:paraId="38D644D3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Because the system may handle sensitive parliamentary and Speaker's Office information, security and data governance are mandatory design requirements, not optional features. The following minimum conditions will apply:</w:t>
      </w:r>
    </w:p>
    <w:p w14:paraId="0F1B2C7F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No live confidential parliamentary data will be provided for a market demonstration.</w:t>
      </w:r>
    </w:p>
    <w:p w14:paraId="2086AF73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National Assembly data, prompts, documents or outputs may not be used to train or improve an external/general-purpose AI model without explicit written authorization.</w:t>
      </w:r>
    </w:p>
    <w:p w14:paraId="6A0581CD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lastRenderedPageBreak/>
        <w:t>All external AI, cloud, telemetry, analytics, support and sub-processor dependencies must be disclosed.</w:t>
      </w:r>
    </w:p>
    <w:p w14:paraId="70518A0F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solution must support granular role-based access, least privilege and complete audit logging.</w:t>
      </w:r>
    </w:p>
    <w:p w14:paraId="032A5392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Encryption must be supported for data in transit and at rest; sensitive secrets and administrative credentials must be managed securely.</w:t>
      </w:r>
    </w:p>
    <w:p w14:paraId="09D4ADBB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AI-generated summaries, drafts, recommendations or classifications must remain subject to authorized human review before official use.</w:t>
      </w:r>
    </w:p>
    <w:p w14:paraId="3F19A06C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Administrative access, production data access and model/configuration changes must be controlled and auditable.</w:t>
      </w:r>
    </w:p>
    <w:p w14:paraId="552C36A0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 production implementation must undergo cybersecurity validation, including vulnerability assessment and penetration testing, before go-live.</w:t>
      </w:r>
    </w:p>
    <w:p w14:paraId="1C387C28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solution must support backup, recovery and a practical incident response process.</w:t>
      </w:r>
    </w:p>
    <w:p w14:paraId="3DFFD0D0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Material vulnerabilities or security incidents affecting the solution must be reportable under agreed procedures.</w:t>
      </w:r>
    </w:p>
    <w:p w14:paraId="19FAA3F1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Data export and orderly system exit must be technically possible without loss of official records or audit history.</w:t>
      </w:r>
    </w:p>
    <w:p w14:paraId="3F700900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8. Integration, Ownership and Exit</w:t>
      </w:r>
    </w:p>
    <w:p w14:paraId="48162489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National Assembly does not intend to create another isolated application. Participating companies should therefore explain how their solution would coexist and integrate with the present environment, including relevant NITB-provided or National Assembly systems, identity controls, repositories, email/calendar and future institutional platforms.</w:t>
      </w:r>
    </w:p>
    <w:p w14:paraId="148465F4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Each proposal should clearly distinguish between vendor-owned products, third-party licensed components, open-source components, National Assembly-owned data and any custom code or configuration created for the project. The National Assembly should retain full control of its official data and should have a clear migration and exit path.</w:t>
      </w:r>
    </w:p>
    <w:p w14:paraId="3647EE60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9. Evaluation Method</w:t>
      </w:r>
    </w:p>
    <w:p w14:paraId="00909D37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consultation will be assessed in two stages. First, a mandatory compliance gate will confirm whether the proposed solution meets minimum security, data and governance requirements. Proposals that pass this gate may then be evaluated on a 100-mark technical scorecard. The consultation score is for market assessment and pilot planning only; it is not a procurement bid-evaluation criterion.</w:t>
      </w:r>
    </w:p>
    <w:p w14:paraId="46EBED45" w14:textId="77777777" w:rsidR="00F8359C" w:rsidRPr="009124E6" w:rsidRDefault="00000000" w:rsidP="009124E6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Mandatory compliance gate</w:t>
      </w:r>
    </w:p>
    <w:p w14:paraId="63FA42F0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Accepts the non-binding nature of the exercise.</w:t>
      </w:r>
    </w:p>
    <w:p w14:paraId="12E6D273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Can support a deployment approach suitable for sensitive government information.</w:t>
      </w:r>
    </w:p>
    <w:p w14:paraId="3C243069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Discloses external/cloud/model dependencies and data-processing locations.</w:t>
      </w:r>
    </w:p>
    <w:p w14:paraId="5362138B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Supports role-based access and appropriate authentication controls.</w:t>
      </w:r>
    </w:p>
    <w:p w14:paraId="7494AECF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Supports encryption in transit and at rest.</w:t>
      </w:r>
    </w:p>
    <w:p w14:paraId="070329F2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Supports protected audit logs for user and AI-assisted actions.</w:t>
      </w:r>
    </w:p>
    <w:p w14:paraId="1F6CEE3A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Accepts the restriction on use of parliamentary data for external model training.</w:t>
      </w:r>
    </w:p>
    <w:p w14:paraId="30FBDB39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Supports human review before AI output becomes part of an official action or communication.</w:t>
      </w:r>
    </w:p>
    <w:p w14:paraId="4915DD5E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Provides a workable data export and exit mechanism.</w:t>
      </w:r>
    </w:p>
    <w:p w14:paraId="66DA39CF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Accepts cybersecurity testing and National Assembly approval before production go-live.</w:t>
      </w:r>
    </w:p>
    <w:p w14:paraId="39CA4B7F" w14:textId="33411AB2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611450">
        <w:rPr>
          <w:rFonts w:ascii="Times New Roman" w:hAnsi="Times New Roman" w:cs="Times New Roman"/>
          <w:sz w:val="24"/>
          <w:szCs w:val="24"/>
        </w:rPr>
        <w:t>0</w:t>
      </w:r>
      <w:r w:rsidRPr="009124E6">
        <w:rPr>
          <w:rFonts w:ascii="Times New Roman" w:hAnsi="Times New Roman" w:cs="Times New Roman"/>
          <w:sz w:val="24"/>
          <w:szCs w:val="24"/>
        </w:rPr>
        <w:t>. Submission Format and Administrative Conditions</w:t>
      </w:r>
    </w:p>
    <w:p w14:paraId="20BF1B95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 response of approximately 15 to 25 pages is preferred, with annexures where necessary.</w:t>
      </w:r>
    </w:p>
    <w:p w14:paraId="5E91F1CD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executive summary should not exceed two pages.</w:t>
      </w:r>
    </w:p>
    <w:p w14:paraId="1FF63B0A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response should include an architecture diagram, pilot plan, proposed team, security/data-processing statement, relevant references, indicative commercial range, assumptions, exclusions and information required from the National Assembly.</w:t>
      </w:r>
    </w:p>
    <w:p w14:paraId="4443A1E2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Companies should identify a single technical and administrative focal person for the consultation.</w:t>
      </w:r>
    </w:p>
    <w:p w14:paraId="71A63E3B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All participants should receive the same core requirement package and common written clarifications.</w:t>
      </w:r>
    </w:p>
    <w:p w14:paraId="11AE4330" w14:textId="77777777" w:rsidR="00F8359C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National Assembly may seek written clarification, request a demonstration, modify the consultation timetable or close the exercise without obligation.</w:t>
      </w:r>
    </w:p>
    <w:p w14:paraId="0D433649" w14:textId="24912F6C" w:rsidR="009337FB" w:rsidRPr="006F7F33" w:rsidRDefault="009337FB" w:rsidP="00795BA6">
      <w:pPr>
        <w:pStyle w:val="Heading3"/>
        <w:ind w:firstLine="1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Submission Deadli</w:t>
      </w:r>
      <w:r w:rsidRPr="009124E6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e</w:t>
      </w:r>
      <w:r w:rsidR="00795BA6">
        <w:rPr>
          <w:rFonts w:ascii="Times New Roman" w:hAnsi="Times New Roman" w:cs="Times New Roman"/>
          <w:sz w:val="24"/>
          <w:szCs w:val="24"/>
        </w:rPr>
        <w:t xml:space="preserve">: </w:t>
      </w:r>
      <w:r w:rsidR="00E64236">
        <w:rPr>
          <w:rFonts w:ascii="Times New Roman" w:hAnsi="Times New Roman" w:cs="Times New Roman"/>
          <w:b w:val="0"/>
          <w:bCs w:val="0"/>
          <w:sz w:val="24"/>
          <w:szCs w:val="24"/>
        </w:rPr>
        <w:t>Within 3 days</w:t>
      </w:r>
    </w:p>
    <w:p w14:paraId="65545589" w14:textId="77777777" w:rsidR="00F8359C" w:rsidRPr="009124E6" w:rsidRDefault="00000000" w:rsidP="009124E6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Status of this Consultation</w:t>
      </w:r>
    </w:p>
    <w:p w14:paraId="6F626573" w14:textId="77777777" w:rsidR="00F8359C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This document is issued solely for technical market consultation, capability assessment and implementation planning. It does not constitute a tender, procurement EOI or RFP; it does not commit the National Assembly to procure any product or service; and participation does not create any preference, entitlement or right in a future procurement process. Any subsequent procurement, if approved, will be undertaken separately by the competent authority under the applicable rules and approved method.</w:t>
      </w:r>
    </w:p>
    <w:p w14:paraId="750CA715" w14:textId="1D15199F" w:rsidR="00836467" w:rsidRPr="009124E6" w:rsidRDefault="00836467" w:rsidP="00836467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Clarification</w:t>
      </w:r>
    </w:p>
    <w:p w14:paraId="05785976" w14:textId="621B3DE7" w:rsidR="00836467" w:rsidRPr="009124E6" w:rsidRDefault="00EB631B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EB631B">
        <w:rPr>
          <w:rFonts w:ascii="Times New Roman" w:hAnsi="Times New Roman" w:cs="Times New Roman"/>
          <w:sz w:val="24"/>
          <w:szCs w:val="24"/>
        </w:rPr>
        <w:t>This exercise is being undertaken purely as a Technical Market Consultation and for the evaluation of possible Pilot/Proof of Concept approaches. It shall not be construed as a tender, procurement commitment, award, or assurance of any future engagement by the National Assembly Secretariat. Any subsequent engagement shall remain subject to applicable laws, rules, prescribed procedures, evaluation, and requisite approvals.</w:t>
      </w:r>
    </w:p>
    <w:p w14:paraId="2CDAD035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br w:type="page"/>
      </w:r>
    </w:p>
    <w:p w14:paraId="61725C97" w14:textId="77777777" w:rsidR="00F8359C" w:rsidRPr="009124E6" w:rsidRDefault="00000000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lastRenderedPageBreak/>
        <w:t>ANNEX A</w:t>
      </w:r>
    </w:p>
    <w:p w14:paraId="7B56F6CD" w14:textId="77777777" w:rsidR="00F8359C" w:rsidRPr="009124E6" w:rsidRDefault="00000000" w:rsidP="009124E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TECHNICAL EVALUATION SCORECARD</w:t>
      </w:r>
    </w:p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2784"/>
        <w:gridCol w:w="2031"/>
        <w:gridCol w:w="2031"/>
        <w:gridCol w:w="3022"/>
      </w:tblGrid>
      <w:tr w:rsidR="00F8359C" w:rsidRPr="009124E6" w14:paraId="2E64C0E2" w14:textId="77777777" w:rsidTr="00912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52471088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Criterion</w:t>
            </w:r>
          </w:p>
        </w:tc>
        <w:tc>
          <w:tcPr>
            <w:tcW w:w="1029" w:type="pct"/>
          </w:tcPr>
          <w:p w14:paraId="0B520734" w14:textId="77777777" w:rsidR="00F8359C" w:rsidRPr="009124E6" w:rsidRDefault="00000000" w:rsidP="009124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Max Marks</w:t>
            </w:r>
          </w:p>
        </w:tc>
        <w:tc>
          <w:tcPr>
            <w:tcW w:w="1029" w:type="pct"/>
          </w:tcPr>
          <w:p w14:paraId="64EB088A" w14:textId="77777777" w:rsidR="00F8359C" w:rsidRPr="009124E6" w:rsidRDefault="00000000" w:rsidP="009124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  <w:tc>
          <w:tcPr>
            <w:tcW w:w="1531" w:type="pct"/>
          </w:tcPr>
          <w:p w14:paraId="27B38E3F" w14:textId="77777777" w:rsidR="00F8359C" w:rsidRPr="009124E6" w:rsidRDefault="00000000" w:rsidP="009124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Assessment Guidance</w:t>
            </w:r>
          </w:p>
        </w:tc>
      </w:tr>
      <w:tr w:rsidR="00F8359C" w:rsidRPr="009124E6" w14:paraId="2C7265D6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6A486834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Functional fit with Speaker's Office priority use cases</w:t>
            </w:r>
          </w:p>
        </w:tc>
        <w:tc>
          <w:tcPr>
            <w:tcW w:w="1029" w:type="pct"/>
          </w:tcPr>
          <w:p w14:paraId="76D28561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029" w:type="pct"/>
          </w:tcPr>
          <w:p w14:paraId="0553C910" w14:textId="77777777" w:rsidR="00F8359C" w:rsidRPr="009124E6" w:rsidRDefault="00F8359C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pct"/>
          </w:tcPr>
          <w:p w14:paraId="7A5510CC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End-to-end workflow, usability, Urdu/English capability, routing, tracking and practical fit.</w:t>
            </w:r>
          </w:p>
        </w:tc>
      </w:tr>
      <w:tr w:rsidR="00F8359C" w:rsidRPr="009124E6" w14:paraId="709A01AB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3BB982A8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Cybersecurity, privacy and data sovereignty</w:t>
            </w:r>
          </w:p>
        </w:tc>
        <w:tc>
          <w:tcPr>
            <w:tcW w:w="1029" w:type="pct"/>
          </w:tcPr>
          <w:p w14:paraId="56D63E8C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29" w:type="pct"/>
          </w:tcPr>
          <w:p w14:paraId="742A60B1" w14:textId="77777777" w:rsidR="00F8359C" w:rsidRPr="009124E6" w:rsidRDefault="00F8359C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pct"/>
          </w:tcPr>
          <w:p w14:paraId="18CC4C5B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Architecture security, access control, encryption, data location, logging, testing, incident controls and secure AI use.</w:t>
            </w:r>
          </w:p>
        </w:tc>
      </w:tr>
      <w:tr w:rsidR="00F8359C" w:rsidRPr="009124E6" w14:paraId="6CCCE4EF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5F3EE951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Architecture, interoperability and integration</w:t>
            </w:r>
          </w:p>
        </w:tc>
        <w:tc>
          <w:tcPr>
            <w:tcW w:w="1029" w:type="pct"/>
          </w:tcPr>
          <w:p w14:paraId="0B89AD5C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29" w:type="pct"/>
          </w:tcPr>
          <w:p w14:paraId="3BCC493C" w14:textId="77777777" w:rsidR="00F8359C" w:rsidRPr="009124E6" w:rsidRDefault="00F8359C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pct"/>
          </w:tcPr>
          <w:p w14:paraId="27226016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Compatibility with existing/legacy systems, API readiness, modularity, deployment options and scalability.</w:t>
            </w:r>
          </w:p>
        </w:tc>
      </w:tr>
      <w:tr w:rsidR="00F8359C" w:rsidRPr="009124E6" w14:paraId="0F285B7A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0B77A6D4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Quality of live proof of concept</w:t>
            </w:r>
          </w:p>
        </w:tc>
        <w:tc>
          <w:tcPr>
            <w:tcW w:w="1029" w:type="pct"/>
          </w:tcPr>
          <w:p w14:paraId="0847CC31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29" w:type="pct"/>
          </w:tcPr>
          <w:p w14:paraId="4571179E" w14:textId="77777777" w:rsidR="00F8359C" w:rsidRPr="009124E6" w:rsidRDefault="00F8359C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pct"/>
          </w:tcPr>
          <w:p w14:paraId="1EA3DB7F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Working demonstration, traceability, source linkage, reliability, dashboard quality and error handling.</w:t>
            </w:r>
          </w:p>
        </w:tc>
      </w:tr>
      <w:tr w:rsidR="00F8359C" w:rsidRPr="009124E6" w14:paraId="320B224D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1A49FD9C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AI governance and auditability</w:t>
            </w:r>
          </w:p>
        </w:tc>
        <w:tc>
          <w:tcPr>
            <w:tcW w:w="1029" w:type="pct"/>
          </w:tcPr>
          <w:p w14:paraId="23931C8B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29" w:type="pct"/>
          </w:tcPr>
          <w:p w14:paraId="5DBAD64A" w14:textId="77777777" w:rsidR="00F8359C" w:rsidRPr="009124E6" w:rsidRDefault="00F8359C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pct"/>
          </w:tcPr>
          <w:p w14:paraId="63BBADE5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Human review, source traceability, model controls, prompt/output audit, change logs and guardrails.</w:t>
            </w:r>
          </w:p>
        </w:tc>
      </w:tr>
      <w:tr w:rsidR="00F8359C" w:rsidRPr="009124E6" w14:paraId="3D9F7060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702FC454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Delivery team and relevant experience</w:t>
            </w:r>
          </w:p>
        </w:tc>
        <w:tc>
          <w:tcPr>
            <w:tcW w:w="1029" w:type="pct"/>
          </w:tcPr>
          <w:p w14:paraId="738BBAFB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29" w:type="pct"/>
          </w:tcPr>
          <w:p w14:paraId="529121C0" w14:textId="77777777" w:rsidR="00F8359C" w:rsidRPr="009124E6" w:rsidRDefault="00F8359C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pct"/>
          </w:tcPr>
          <w:p w14:paraId="24C89240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Named team, comparable deployments, government/regulated-sector experience and technical depth.</w:t>
            </w:r>
          </w:p>
        </w:tc>
      </w:tr>
      <w:tr w:rsidR="00F8359C" w:rsidRPr="009124E6" w14:paraId="17E86DAE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28A6E586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Implementation, support and knowledge transfer</w:t>
            </w:r>
          </w:p>
        </w:tc>
        <w:tc>
          <w:tcPr>
            <w:tcW w:w="1029" w:type="pct"/>
          </w:tcPr>
          <w:p w14:paraId="25C00692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29" w:type="pct"/>
          </w:tcPr>
          <w:p w14:paraId="52C8CE0E" w14:textId="77777777" w:rsidR="00F8359C" w:rsidRPr="009124E6" w:rsidRDefault="00F8359C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pct"/>
          </w:tcPr>
          <w:p w14:paraId="7C95BFB5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Realistic milestones, local support, documentation, training and handover.</w:t>
            </w:r>
          </w:p>
        </w:tc>
      </w:tr>
      <w:tr w:rsidR="00F8359C" w:rsidRPr="009124E6" w14:paraId="2C809BA2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4AC4677B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IP, portability and vendor lock-in controls</w:t>
            </w:r>
          </w:p>
        </w:tc>
        <w:tc>
          <w:tcPr>
            <w:tcW w:w="1029" w:type="pct"/>
          </w:tcPr>
          <w:p w14:paraId="6BC2A728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9" w:type="pct"/>
          </w:tcPr>
          <w:p w14:paraId="2593A2B1" w14:textId="77777777" w:rsidR="00F8359C" w:rsidRPr="009124E6" w:rsidRDefault="00F8359C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pct"/>
          </w:tcPr>
          <w:p w14:paraId="2BD52F34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Code/configuration position, data export, migration and exit support.</w:t>
            </w:r>
          </w:p>
        </w:tc>
      </w:tr>
      <w:tr w:rsidR="00F8359C" w:rsidRPr="009124E6" w14:paraId="65C16AB6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1" w:type="pct"/>
          </w:tcPr>
          <w:p w14:paraId="5CDF631A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Indicative total cost of ownership</w:t>
            </w:r>
          </w:p>
        </w:tc>
        <w:tc>
          <w:tcPr>
            <w:tcW w:w="1029" w:type="pct"/>
          </w:tcPr>
          <w:p w14:paraId="00E9C0B4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9" w:type="pct"/>
          </w:tcPr>
          <w:p w14:paraId="22926E38" w14:textId="77777777" w:rsidR="00F8359C" w:rsidRPr="009124E6" w:rsidRDefault="00F8359C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1" w:type="pct"/>
          </w:tcPr>
          <w:p w14:paraId="669B0FFE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Clarity and reasonableness of non-binding cost structure at market-assessment stage.</w:t>
            </w:r>
          </w:p>
        </w:tc>
      </w:tr>
    </w:tbl>
    <w:p w14:paraId="4827ABC6" w14:textId="77777777" w:rsidR="00F8359C" w:rsidRPr="009124E6" w:rsidRDefault="00000000" w:rsidP="009124E6">
      <w:pPr>
        <w:spacing w:before="16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Recommended consultation threshold: </w:t>
      </w:r>
      <w:r w:rsidRPr="009124E6">
        <w:rPr>
          <w:rFonts w:ascii="Times New Roman" w:hAnsi="Times New Roman" w:cs="Times New Roman"/>
          <w:sz w:val="24"/>
          <w:szCs w:val="24"/>
        </w:rPr>
        <w:t>70/100 overall, with at least 12/20 in Cybersecurity, Privacy and Data Sovereignty. This threshold is for technical market assessment and pilot planning only.</w:t>
      </w:r>
    </w:p>
    <w:p w14:paraId="34F594BC" w14:textId="77777777" w:rsidR="00F8359C" w:rsidRPr="009124E6" w:rsidRDefault="00000000" w:rsidP="009124E6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Demonstration Red Flags</w:t>
      </w:r>
    </w:p>
    <w:p w14:paraId="4C57C6EA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 generic chatbot with no workflow, permissions, records or audit integration.</w:t>
      </w:r>
    </w:p>
    <w:p w14:paraId="5E76D7F2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Dependence on uploading confidential material to a public AI service without approved controls.</w:t>
      </w:r>
    </w:p>
    <w:p w14:paraId="1047500F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Claims of 100 percent accuracy or fully autonomous official decision-making.</w:t>
      </w:r>
    </w:p>
    <w:p w14:paraId="1AD70D91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No clear explanation of data location, AI model provider or third-party dependencies.</w:t>
      </w:r>
    </w:p>
    <w:p w14:paraId="47303D68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No working prototype despite advance notice of the demonstration scenario.</w:t>
      </w:r>
    </w:p>
    <w:p w14:paraId="20B08E6F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No practical data export or exit path.</w:t>
      </w:r>
    </w:p>
    <w:p w14:paraId="3054EF06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 security response based only on certificates without showing architecture-level controls.</w:t>
      </w:r>
    </w:p>
    <w:p w14:paraId="45628395" w14:textId="77777777" w:rsidR="00F8359C" w:rsidRPr="009124E6" w:rsidRDefault="00000000" w:rsidP="009124E6">
      <w:pPr>
        <w:pStyle w:val="ListBullet"/>
        <w:spacing w:after="60"/>
        <w:ind w:hanging="23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An architecture that cannot integrate with existing National Assembly systems or identity controls.</w:t>
      </w:r>
    </w:p>
    <w:p w14:paraId="6F5ED320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br w:type="page"/>
      </w:r>
    </w:p>
    <w:p w14:paraId="23D67753" w14:textId="77777777" w:rsidR="00F8359C" w:rsidRPr="009124E6" w:rsidRDefault="00000000" w:rsidP="009124E6">
      <w:pPr>
        <w:pStyle w:val="SectionLabel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lastRenderedPageBreak/>
        <w:t>ANNEX B</w:t>
      </w:r>
    </w:p>
    <w:p w14:paraId="75AC7900" w14:textId="77777777" w:rsidR="00F8359C" w:rsidRPr="009124E6" w:rsidRDefault="00000000" w:rsidP="009124E6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COMPANY RESPONSE CHECKLIST</w:t>
      </w:r>
    </w:p>
    <w:p w14:paraId="74AAEAA2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sz w:val="24"/>
          <w:szCs w:val="24"/>
        </w:rPr>
        <w:t>The following checklist may be completed by each participating company and attached to its submission.</w:t>
      </w:r>
    </w:p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2309"/>
        <w:gridCol w:w="5250"/>
        <w:gridCol w:w="2309"/>
      </w:tblGrid>
      <w:tr w:rsidR="00F8359C" w:rsidRPr="009124E6" w14:paraId="10BE3504" w14:textId="77777777" w:rsidTr="00912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5BF84FCC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2660" w:type="pct"/>
          </w:tcPr>
          <w:p w14:paraId="601A2431" w14:textId="77777777" w:rsidR="00F8359C" w:rsidRPr="009124E6" w:rsidRDefault="00000000" w:rsidP="009124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1170" w:type="pct"/>
          </w:tcPr>
          <w:p w14:paraId="65EB58E5" w14:textId="77777777" w:rsidR="00F8359C" w:rsidRPr="009124E6" w:rsidRDefault="00000000" w:rsidP="009124E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Included</w:t>
            </w:r>
          </w:p>
        </w:tc>
      </w:tr>
      <w:tr w:rsidR="00F8359C" w:rsidRPr="009124E6" w14:paraId="2773E8A9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6C049C8A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60" w:type="pct"/>
          </w:tcPr>
          <w:p w14:paraId="07F63BEB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Executive summary (maximum two pages)</w:t>
            </w:r>
          </w:p>
        </w:tc>
        <w:tc>
          <w:tcPr>
            <w:tcW w:w="1170" w:type="pct"/>
          </w:tcPr>
          <w:p w14:paraId="0C655B80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28733ED8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24B166D9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60" w:type="pct"/>
          </w:tcPr>
          <w:p w14:paraId="44C3694D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Solution architecture diagram</w:t>
            </w:r>
          </w:p>
        </w:tc>
        <w:tc>
          <w:tcPr>
            <w:tcW w:w="1170" w:type="pct"/>
          </w:tcPr>
          <w:p w14:paraId="17AB79FB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0DEA9E18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683EA1D5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60" w:type="pct"/>
          </w:tcPr>
          <w:p w14:paraId="45D35F84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Deployment model and external dependencies</w:t>
            </w:r>
          </w:p>
        </w:tc>
        <w:tc>
          <w:tcPr>
            <w:tcW w:w="1170" w:type="pct"/>
          </w:tcPr>
          <w:p w14:paraId="59041D73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270B7C1C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7CBFC5F9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60" w:type="pct"/>
          </w:tcPr>
          <w:p w14:paraId="641AD7B1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Data location and processing statement</w:t>
            </w:r>
          </w:p>
        </w:tc>
        <w:tc>
          <w:tcPr>
            <w:tcW w:w="1170" w:type="pct"/>
          </w:tcPr>
          <w:p w14:paraId="74D19344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40D18D35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7EA500EE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60" w:type="pct"/>
          </w:tcPr>
          <w:p w14:paraId="1B21A499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AI model/service disclosure</w:t>
            </w:r>
          </w:p>
        </w:tc>
        <w:tc>
          <w:tcPr>
            <w:tcW w:w="1170" w:type="pct"/>
          </w:tcPr>
          <w:p w14:paraId="74B437E7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5D880656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4223007F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60" w:type="pct"/>
          </w:tcPr>
          <w:p w14:paraId="53D6E499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Urdu and English capability</w:t>
            </w:r>
          </w:p>
        </w:tc>
        <w:tc>
          <w:tcPr>
            <w:tcW w:w="1170" w:type="pct"/>
          </w:tcPr>
          <w:p w14:paraId="760CA0F6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66227F10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4667EC94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60" w:type="pct"/>
          </w:tcPr>
          <w:p w14:paraId="1BEBD3B7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Workflow, search and audit approach</w:t>
            </w:r>
          </w:p>
        </w:tc>
        <w:tc>
          <w:tcPr>
            <w:tcW w:w="1170" w:type="pct"/>
          </w:tcPr>
          <w:p w14:paraId="4125E72D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76BB7396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54718139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60" w:type="pct"/>
          </w:tcPr>
          <w:p w14:paraId="21773D94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Identity and access controls</w:t>
            </w:r>
          </w:p>
        </w:tc>
        <w:tc>
          <w:tcPr>
            <w:tcW w:w="1170" w:type="pct"/>
          </w:tcPr>
          <w:p w14:paraId="76821062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6670D09F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104E4897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60" w:type="pct"/>
          </w:tcPr>
          <w:p w14:paraId="26438F84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Cybersecurity and VAPT approach</w:t>
            </w:r>
          </w:p>
        </w:tc>
        <w:tc>
          <w:tcPr>
            <w:tcW w:w="1170" w:type="pct"/>
          </w:tcPr>
          <w:p w14:paraId="08E57972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26586417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1100452C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0" w:type="pct"/>
          </w:tcPr>
          <w:p w14:paraId="526A618E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AI governance and human-review controls</w:t>
            </w:r>
          </w:p>
        </w:tc>
        <w:tc>
          <w:tcPr>
            <w:tcW w:w="1170" w:type="pct"/>
          </w:tcPr>
          <w:p w14:paraId="562D63BE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6626FA45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280487B2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60" w:type="pct"/>
          </w:tcPr>
          <w:p w14:paraId="50D67A20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Integration approach and required APIs/connectors</w:t>
            </w:r>
          </w:p>
        </w:tc>
        <w:tc>
          <w:tcPr>
            <w:tcW w:w="1170" w:type="pct"/>
          </w:tcPr>
          <w:p w14:paraId="4F17FBE2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49BAEC0A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005C1BDC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60" w:type="pct"/>
          </w:tcPr>
          <w:p w14:paraId="68A584E3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Named implementation team</w:t>
            </w:r>
          </w:p>
        </w:tc>
        <w:tc>
          <w:tcPr>
            <w:tcW w:w="1170" w:type="pct"/>
          </w:tcPr>
          <w:p w14:paraId="30E7DAA0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7E6778AD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22FE1327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60" w:type="pct"/>
          </w:tcPr>
          <w:p w14:paraId="083178A4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Comparable project references</w:t>
            </w:r>
          </w:p>
        </w:tc>
        <w:tc>
          <w:tcPr>
            <w:tcW w:w="1170" w:type="pct"/>
          </w:tcPr>
          <w:p w14:paraId="6CEDEB44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199510D0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628D711E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60" w:type="pct"/>
          </w:tcPr>
          <w:p w14:paraId="673977DE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Knowledge transfer and support plan</w:t>
            </w:r>
          </w:p>
        </w:tc>
        <w:tc>
          <w:tcPr>
            <w:tcW w:w="1170" w:type="pct"/>
          </w:tcPr>
          <w:p w14:paraId="22B8760A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33E62D15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06B2B15D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60" w:type="pct"/>
          </w:tcPr>
          <w:p w14:paraId="104B004C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IP/source-code/licensing position</w:t>
            </w:r>
          </w:p>
        </w:tc>
        <w:tc>
          <w:tcPr>
            <w:tcW w:w="1170" w:type="pct"/>
          </w:tcPr>
          <w:p w14:paraId="28573056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40828FD8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205C504E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60" w:type="pct"/>
          </w:tcPr>
          <w:p w14:paraId="1081735E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Data export and exit plan</w:t>
            </w:r>
          </w:p>
        </w:tc>
        <w:tc>
          <w:tcPr>
            <w:tcW w:w="1170" w:type="pct"/>
          </w:tcPr>
          <w:p w14:paraId="51338502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7F26B680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6BD51D72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660" w:type="pct"/>
          </w:tcPr>
          <w:p w14:paraId="69D77F4B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Pilot timeline and acceptance tests</w:t>
            </w:r>
          </w:p>
        </w:tc>
        <w:tc>
          <w:tcPr>
            <w:tcW w:w="1170" w:type="pct"/>
          </w:tcPr>
          <w:p w14:paraId="0B3B5B35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41A2D1E9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0B3439D3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60" w:type="pct"/>
          </w:tcPr>
          <w:p w14:paraId="6D9B07BA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Indicative pilot and scale-up commercial range</w:t>
            </w:r>
          </w:p>
        </w:tc>
        <w:tc>
          <w:tcPr>
            <w:tcW w:w="1170" w:type="pct"/>
          </w:tcPr>
          <w:p w14:paraId="6F844D9F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31D8DBE8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1E5BA8F2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660" w:type="pct"/>
          </w:tcPr>
          <w:p w14:paraId="3D6D0276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Assumptions, exclusions and information required from the National Assembly</w:t>
            </w:r>
          </w:p>
        </w:tc>
        <w:tc>
          <w:tcPr>
            <w:tcW w:w="1170" w:type="pct"/>
          </w:tcPr>
          <w:p w14:paraId="1A044BB3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F8359C" w:rsidRPr="009124E6" w14:paraId="503FFF58" w14:textId="77777777" w:rsidTr="009124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pct"/>
          </w:tcPr>
          <w:p w14:paraId="677930DD" w14:textId="77777777" w:rsidR="00F8359C" w:rsidRPr="009124E6" w:rsidRDefault="00000000" w:rsidP="009124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60" w:type="pct"/>
          </w:tcPr>
          <w:p w14:paraId="2F548978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Confirmation of willingness to undertake the common sanitized working demonstration</w:t>
            </w:r>
          </w:p>
        </w:tc>
        <w:tc>
          <w:tcPr>
            <w:tcW w:w="1170" w:type="pct"/>
          </w:tcPr>
          <w:p w14:paraId="592A8BBF" w14:textId="77777777" w:rsidR="00F8359C" w:rsidRPr="009124E6" w:rsidRDefault="00000000" w:rsidP="009124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24E6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</w:tbl>
    <w:p w14:paraId="4233AE75" w14:textId="77777777" w:rsidR="00F8359C" w:rsidRPr="009124E6" w:rsidRDefault="00000000" w:rsidP="009124E6">
      <w:pPr>
        <w:spacing w:before="320"/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 xml:space="preserve">Company / Institution: </w:t>
      </w:r>
      <w:r w:rsidRPr="009124E6"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53B89006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 xml:space="preserve">Authorized Focal Person: </w:t>
      </w:r>
      <w:r w:rsidRPr="009124E6"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14:paraId="6A7A27FE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 xml:space="preserve">Designation: </w:t>
      </w:r>
      <w:r w:rsidRPr="009124E6">
        <w:rPr>
          <w:rFonts w:ascii="Times New Roman" w:hAnsi="Times New Roman" w:cs="Times New Roman"/>
          <w:sz w:val="24"/>
          <w:szCs w:val="24"/>
        </w:rPr>
        <w:t xml:space="preserve">_________________________   </w:t>
      </w:r>
      <w:r w:rsidRPr="009124E6">
        <w:rPr>
          <w:rFonts w:ascii="Times New Roman" w:hAnsi="Times New Roman" w:cs="Times New Roman"/>
          <w:b/>
          <w:sz w:val="24"/>
          <w:szCs w:val="24"/>
        </w:rPr>
        <w:t xml:space="preserve">Contact: </w:t>
      </w:r>
      <w:r w:rsidRPr="009124E6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6B5D381A" w14:textId="77777777" w:rsidR="00F8359C" w:rsidRPr="009124E6" w:rsidRDefault="00000000" w:rsidP="009124E6">
      <w:pPr>
        <w:jc w:val="both"/>
        <w:rPr>
          <w:rFonts w:ascii="Times New Roman" w:hAnsi="Times New Roman" w:cs="Times New Roman"/>
          <w:sz w:val="24"/>
          <w:szCs w:val="24"/>
        </w:rPr>
      </w:pPr>
      <w:r w:rsidRPr="009124E6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Pr="009124E6">
        <w:rPr>
          <w:rFonts w:ascii="Times New Roman" w:hAnsi="Times New Roman" w:cs="Times New Roman"/>
          <w:sz w:val="24"/>
          <w:szCs w:val="24"/>
        </w:rPr>
        <w:t>_________________________</w:t>
      </w:r>
    </w:p>
    <w:sectPr w:rsidR="00F8359C" w:rsidRPr="009124E6" w:rsidSect="00034616">
      <w:headerReference w:type="default" r:id="rId8"/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6B5CA" w14:textId="77777777" w:rsidR="00914892" w:rsidRDefault="00914892">
      <w:pPr>
        <w:spacing w:after="0" w:line="240" w:lineRule="auto"/>
      </w:pPr>
      <w:r>
        <w:separator/>
      </w:r>
    </w:p>
  </w:endnote>
  <w:endnote w:type="continuationSeparator" w:id="0">
    <w:p w14:paraId="4C37AEC2" w14:textId="77777777" w:rsidR="00914892" w:rsidRDefault="00914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04660" w14:textId="3CEBD8B8" w:rsidR="00F8359C" w:rsidRDefault="00F8359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7D2F5" w14:textId="77777777" w:rsidR="00914892" w:rsidRDefault="00914892">
      <w:pPr>
        <w:spacing w:after="0" w:line="240" w:lineRule="auto"/>
      </w:pPr>
      <w:r>
        <w:separator/>
      </w:r>
    </w:p>
  </w:footnote>
  <w:footnote w:type="continuationSeparator" w:id="0">
    <w:p w14:paraId="708CD41D" w14:textId="77777777" w:rsidR="00914892" w:rsidRDefault="009148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1D536" w14:textId="7FAC701A" w:rsidR="00F8359C" w:rsidRDefault="00F8359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21934">
    <w:abstractNumId w:val="8"/>
  </w:num>
  <w:num w:numId="2" w16cid:durableId="1079449399">
    <w:abstractNumId w:val="6"/>
  </w:num>
  <w:num w:numId="3" w16cid:durableId="1122924007">
    <w:abstractNumId w:val="5"/>
  </w:num>
  <w:num w:numId="4" w16cid:durableId="1501307345">
    <w:abstractNumId w:val="4"/>
  </w:num>
  <w:num w:numId="5" w16cid:durableId="1129015417">
    <w:abstractNumId w:val="7"/>
  </w:num>
  <w:num w:numId="6" w16cid:durableId="115683122">
    <w:abstractNumId w:val="3"/>
  </w:num>
  <w:num w:numId="7" w16cid:durableId="1963070057">
    <w:abstractNumId w:val="2"/>
  </w:num>
  <w:num w:numId="8" w16cid:durableId="1294210152">
    <w:abstractNumId w:val="1"/>
  </w:num>
  <w:num w:numId="9" w16cid:durableId="10261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749"/>
    <w:rsid w:val="0029639D"/>
    <w:rsid w:val="00326F90"/>
    <w:rsid w:val="00456438"/>
    <w:rsid w:val="00611450"/>
    <w:rsid w:val="006D5880"/>
    <w:rsid w:val="006F7F33"/>
    <w:rsid w:val="00777FD9"/>
    <w:rsid w:val="00795BA6"/>
    <w:rsid w:val="00836467"/>
    <w:rsid w:val="008F5152"/>
    <w:rsid w:val="009124E6"/>
    <w:rsid w:val="00914892"/>
    <w:rsid w:val="009337FB"/>
    <w:rsid w:val="009D2845"/>
    <w:rsid w:val="00AA1D8D"/>
    <w:rsid w:val="00B46BC8"/>
    <w:rsid w:val="00B47730"/>
    <w:rsid w:val="00B9086F"/>
    <w:rsid w:val="00CB051D"/>
    <w:rsid w:val="00CB0664"/>
    <w:rsid w:val="00E64236"/>
    <w:rsid w:val="00EB631B"/>
    <w:rsid w:val="00F8359C"/>
    <w:rsid w:val="00FC693F"/>
    <w:rsid w:val="00FE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C3D1C"/>
  <w14:defaultImageDpi w14:val="300"/>
  <w15:docId w15:val="{6E96BB41-B1AD-554B-A5DB-BB803B2A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after="80"/>
    </w:pPr>
    <w:rPr>
      <w:rFonts w:ascii="Arial" w:hAnsi="Arial"/>
      <w:b/>
      <w:color w:val="505050"/>
      <w:sz w:val="18"/>
    </w:rPr>
  </w:style>
  <w:style w:type="table" w:styleId="GridTable1Light-Accent1">
    <w:name w:val="Grid Table 1 Light Accent 1"/>
    <w:basedOn w:val="TableNormal"/>
    <w:uiPriority w:val="46"/>
    <w:rsid w:val="009124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EB63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2854</Words>
  <Characters>16273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National_Assembly</cp:lastModifiedBy>
  <cp:revision>3</cp:revision>
  <dcterms:created xsi:type="dcterms:W3CDTF">2026-09-11T05:24:00Z</dcterms:created>
  <dcterms:modified xsi:type="dcterms:W3CDTF">2026-09-11T05:47:00Z</dcterms:modified>
  <cp:category/>
</cp:coreProperties>
</file>