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- DOCX Format</w:t>
      </w:r>
    </w:p>
    <w:p>
      <w:r>
        <w:t>This is a sample DOCX document for testing the document processing pipeline.</w:t>
      </w:r>
    </w:p>
    <w:p>
      <w:pPr>
        <w:pStyle w:val="Heading2"/>
      </w:pPr>
      <w:r>
        <w:t>Business Continuity Plan Overview</w:t>
      </w:r>
    </w:p>
    <w:p>
      <w:r>
        <w:t>The organization maintains a comprehensive business continuity program that ensures critical operations can continue during disruptions.</w:t>
      </w:r>
    </w:p>
    <w:p>
      <w:pPr>
        <w:pStyle w:val="Heading2"/>
      </w:pPr>
      <w:r>
        <w:t>Key Components</w:t>
      </w:r>
    </w:p>
    <w:p>
      <w:pPr>
        <w:pStyle w:val="ListBullet"/>
      </w:pPr>
      <w:r>
        <w:t>Risk Assessment: Regular evaluation of potential threats and vulnerabilities.</w:t>
      </w:r>
    </w:p>
    <w:p>
      <w:pPr>
        <w:pStyle w:val="ListBullet"/>
      </w:pPr>
      <w:r>
        <w:t>Recovery Time Objectives (RTO): Maximum acceptable downtime for each critical system.</w:t>
      </w:r>
    </w:p>
    <w:p>
      <w:pPr>
        <w:pStyle w:val="ListBullet"/>
      </w:pPr>
      <w:r>
        <w:t>Communication Plan: Procedures for notifying stakeholders during incidents.</w:t>
      </w:r>
    </w:p>
    <w:p>
      <w:pPr>
        <w:pStyle w:val="ListBullet"/>
      </w:pPr>
      <w:r>
        <w:t>Testing Schedule: Quarterly drills and annual full-scale exercises.</w:t>
      </w:r>
    </w:p>
    <w:p>
      <w:pPr>
        <w:pStyle w:val="Heading2"/>
      </w:pPr>
      <w:r>
        <w:t>Recovery Procedures</w:t>
      </w:r>
    </w:p>
    <w:p>
      <w:r>
        <w:t>In the event of a major disruption, the following steps should be followed:</w:t>
      </w:r>
    </w:p>
    <w:p>
      <w:pPr>
        <w:pStyle w:val="ListNumber"/>
      </w:pPr>
      <w:r>
        <w:t>1. Activate the emergency response team</w:t>
      </w:r>
    </w:p>
    <w:p>
      <w:pPr>
        <w:pStyle w:val="ListNumber"/>
      </w:pPr>
      <w:r>
        <w:t>2. Assess the scope and impact of the disruption</w:t>
      </w:r>
    </w:p>
    <w:p>
      <w:pPr>
        <w:pStyle w:val="ListNumber"/>
      </w:pPr>
      <w:r>
        <w:t>3. Execute the appropriate recovery playbook</w:t>
      </w:r>
    </w:p>
    <w:p>
      <w:pPr>
        <w:pStyle w:val="ListNumber"/>
      </w:pPr>
      <w:r>
        <w:t>4. Restore critical services within defined RTO targets</w:t>
      </w:r>
    </w:p>
    <w:p>
      <w:pPr>
        <w:pStyle w:val="ListNumber"/>
      </w:pPr>
      <w:r>
        <w:t>5. Conduct post-incident review and update plans accordingly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