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where 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6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3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3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3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53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4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6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8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D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0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68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E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6F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