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  <w:bookmarkStart w:id="0" w:name="_Toc236678405"/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DE27AE" w:rsidRDefault="00DE27AE" w:rsidP="00651411">
      <w:pPr>
        <w:pStyle w:val="Heading1"/>
        <w:pBdr>
          <w:bottom w:val="single" w:sz="12" w:space="6" w:color="0E7C7B"/>
        </w:pBdr>
        <w:spacing w:before="360" w:after="160"/>
      </w:pPr>
    </w:p>
    <w:p w:rsidR="00651411" w:rsidRDefault="00651411" w:rsidP="00651411">
      <w:pPr>
        <w:pStyle w:val="Heading1"/>
        <w:pBdr>
          <w:bottom w:val="single" w:sz="12" w:space="6" w:color="0E7C7B"/>
        </w:pBdr>
        <w:spacing w:before="360" w:after="160"/>
      </w:pPr>
      <w:r>
        <w:lastRenderedPageBreak/>
        <w:t xml:space="preserve">Part </w:t>
      </w:r>
      <w:proofErr w:type="gramStart"/>
      <w:r>
        <w:t>8  —</w:t>
      </w:r>
      <w:proofErr w:type="gramEnd"/>
      <w:r>
        <w:t xml:space="preserve">  DAX</w:t>
      </w:r>
      <w:bookmarkEnd w:id="0"/>
    </w:p>
    <w:p w:rsidR="00685064" w:rsidRDefault="00685064"/>
    <w:p w:rsidR="00A171EB" w:rsidRDefault="00A171EB" w:rsidP="00A171EB">
      <w:pPr>
        <w:spacing w:before="60" w:after="120"/>
        <w:rPr>
          <w:rFonts w:cs="Aptos"/>
        </w:rPr>
      </w:pPr>
      <w:r>
        <w:rPr>
          <w:rFonts w:cs="Aptos"/>
        </w:rPr>
        <w:t>Create a dedicated blank table named _Measures to hold all measures — Home → Enter data → name it _Measures → Load, then delete its single column. Move every measure into it and hide the table.</w:t>
      </w:r>
    </w:p>
    <w:p w:rsidR="00685064" w:rsidRDefault="00685064"/>
    <w:p w:rsidR="00685064" w:rsidRPr="0071123F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>Power BI won't let a table exist with zero columns — that's why you get that error when you try to delete the only column. A table needs at least one column to exist in the model.</w:t>
      </w:r>
    </w:p>
    <w:p w:rsidR="00685064" w:rsidRPr="0071123F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The standard fix isn't to delete the column, but to </w:t>
      </w:r>
      <w:r w:rsidRPr="0071123F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hide it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instead:</w:t>
      </w:r>
    </w:p>
    <w:p w:rsidR="00685064" w:rsidRPr="0071123F" w:rsidRDefault="00685064" w:rsidP="006850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Home &gt; Enter Data &gt; name it </w:t>
      </w:r>
      <w:r w:rsidRPr="0071123F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&gt; give it one column (call it something like "Column1") with just one dummy row (e.g. a single blank or "1") &gt; Load</w:t>
      </w:r>
    </w:p>
    <w:p w:rsidR="00685064" w:rsidRPr="0071123F" w:rsidRDefault="00685064" w:rsidP="006850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In </w:t>
      </w:r>
      <w:r w:rsidRPr="0071123F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Model view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, right-click the </w:t>
      </w:r>
      <w:r w:rsidRPr="0071123F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table (or the column itself) and select </w:t>
      </w:r>
      <w:r w:rsidRPr="0071123F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Hide in report view</w:t>
      </w:r>
    </w:p>
    <w:p w:rsidR="00685064" w:rsidRPr="0071123F" w:rsidRDefault="00685064" w:rsidP="006850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Now create/move your measures into this table — right-click </w:t>
      </w:r>
      <w:r w:rsidRPr="0071123F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&gt; New Measure, or select existing measures and drag/change their "Home table" property to </w:t>
      </w:r>
      <w:r w:rsidRPr="0071123F">
        <w:rPr>
          <w:rFonts w:ascii="Courier New" w:eastAsia="Times New Roman" w:hAnsi="Courier New" w:cs="Courier New"/>
          <w:color w:val="385623" w:themeColor="accent6" w:themeShade="80"/>
        </w:rPr>
        <w:t>_Measures</w:t>
      </w:r>
    </w:p>
    <w:p w:rsidR="00685064" w:rsidRPr="0071123F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Since the table is hidden, that leftover column never shows up to end users — only the measures (which live at the table level, not tied to that column) are visible when you expand </w:t>
      </w:r>
      <w:r w:rsidRPr="0071123F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in the fields pane.</w:t>
      </w:r>
    </w:p>
    <w:p w:rsidR="00685064" w:rsidRPr="0071123F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Alternative (cleaner, no dummy column visible at all):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Use Power Query instead of Enter Data:</w:t>
      </w:r>
    </w:p>
    <w:p w:rsidR="00685064" w:rsidRPr="0071123F" w:rsidRDefault="00685064" w:rsidP="006850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>Home &gt; Transform Data &gt; New Source &gt; Blank Query</w:t>
      </w:r>
    </w:p>
    <w:p w:rsidR="00685064" w:rsidRPr="0071123F" w:rsidRDefault="00685064" w:rsidP="006850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Open </w:t>
      </w:r>
      <w:r w:rsidRPr="0071123F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Advanced Editor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and replace the code with:</w:t>
      </w:r>
    </w:p>
    <w:p w:rsidR="00685064" w:rsidRPr="0071123F" w:rsidRDefault="00685064" w:rsidP="0068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85623" w:themeColor="accent6" w:themeShade="80"/>
        </w:rPr>
      </w:pPr>
      <w:r w:rsidRPr="0071123F">
        <w:rPr>
          <w:rFonts w:ascii="var(--font-mono)" w:eastAsia="Times New Roman" w:hAnsi="var(--font-mono)" w:cs="Courier New"/>
          <w:color w:val="385623" w:themeColor="accent6" w:themeShade="80"/>
        </w:rPr>
        <w:t>let</w:t>
      </w:r>
    </w:p>
    <w:p w:rsidR="00685064" w:rsidRPr="0071123F" w:rsidRDefault="00685064" w:rsidP="0068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85623" w:themeColor="accent6" w:themeShade="80"/>
        </w:rPr>
      </w:pPr>
      <w:r w:rsidRPr="0071123F">
        <w:rPr>
          <w:rFonts w:ascii="var(--font-mono)" w:eastAsia="Times New Roman" w:hAnsi="var(--font-mono)" w:cs="Courier New"/>
          <w:color w:val="385623" w:themeColor="accent6" w:themeShade="80"/>
        </w:rPr>
        <w:t xml:space="preserve">    Source = #</w:t>
      </w:r>
      <w:proofErr w:type="gramStart"/>
      <w:r w:rsidRPr="0071123F">
        <w:rPr>
          <w:rFonts w:ascii="var(--font-mono)" w:eastAsia="Times New Roman" w:hAnsi="var(--font-mono)" w:cs="Courier New"/>
          <w:color w:val="385623" w:themeColor="accent6" w:themeShade="80"/>
        </w:rPr>
        <w:t>table(</w:t>
      </w:r>
      <w:proofErr w:type="gramEnd"/>
      <w:r w:rsidRPr="0071123F">
        <w:rPr>
          <w:rFonts w:ascii="var(--font-mono)" w:eastAsia="Times New Roman" w:hAnsi="var(--font-mono)" w:cs="Courier New"/>
          <w:color w:val="385623" w:themeColor="accent6" w:themeShade="80"/>
        </w:rPr>
        <w:t>{}, {})</w:t>
      </w:r>
    </w:p>
    <w:p w:rsidR="00685064" w:rsidRPr="0071123F" w:rsidRDefault="00685064" w:rsidP="0068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85623" w:themeColor="accent6" w:themeShade="80"/>
        </w:rPr>
      </w:pPr>
      <w:r w:rsidRPr="0071123F">
        <w:rPr>
          <w:rFonts w:ascii="var(--font-mono)" w:eastAsia="Times New Roman" w:hAnsi="var(--font-mono)" w:cs="Courier New"/>
          <w:color w:val="385623" w:themeColor="accent6" w:themeShade="80"/>
        </w:rPr>
        <w:t>in</w:t>
      </w:r>
    </w:p>
    <w:p w:rsidR="00685064" w:rsidRPr="0071123F" w:rsidRDefault="00685064" w:rsidP="0068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85623" w:themeColor="accent6" w:themeShade="80"/>
        </w:rPr>
      </w:pPr>
      <w:r w:rsidRPr="0071123F">
        <w:rPr>
          <w:rFonts w:ascii="var(--font-mono)" w:eastAsia="Times New Roman" w:hAnsi="var(--font-mono)" w:cs="Courier New"/>
          <w:color w:val="385623" w:themeColor="accent6" w:themeShade="80"/>
        </w:rPr>
        <w:t xml:space="preserve">    Source</w:t>
      </w:r>
    </w:p>
    <w:p w:rsidR="00685064" w:rsidRPr="0071123F" w:rsidRDefault="00685064" w:rsidP="006850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Rename the query </w:t>
      </w:r>
      <w:r w:rsidRPr="0071123F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 xml:space="preserve"> &gt; Close &amp; Apply</w:t>
      </w:r>
    </w:p>
    <w:p w:rsidR="00685064" w:rsidRPr="0071123F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>This creates a genuinely empty table (0 columns, 0 rows) with no need to hide anything, and you can assign measures to it the same way.</w:t>
      </w:r>
    </w:p>
    <w:p w:rsidR="00685064" w:rsidRPr="0071123F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71123F">
        <w:rPr>
          <w:rFonts w:ascii="Times New Roman" w:eastAsia="Times New Roman" w:hAnsi="Times New Roman" w:cs="Times New Roman"/>
          <w:color w:val="385623" w:themeColor="accent6" w:themeShade="80"/>
        </w:rPr>
        <w:t>Either method works fine — the hide-the-column approach is more common since it's point-and-click, but the blank query trick is tidier if it bothers you having a phantom column at all.</w:t>
      </w:r>
    </w:p>
    <w:p w:rsidR="00685064" w:rsidRDefault="00685064" w:rsidP="00685064">
      <w:pPr>
        <w:spacing w:before="60" w:after="120"/>
      </w:pPr>
    </w:p>
    <w:p w:rsidR="00685064" w:rsidRDefault="00685064" w:rsidP="00685064">
      <w:pPr>
        <w:spacing w:before="60" w:after="120"/>
      </w:pPr>
    </w:p>
    <w:p w:rsidR="00685064" w:rsidRDefault="00685064" w:rsidP="00685064">
      <w:pPr>
        <w:spacing w:before="60" w:after="120"/>
      </w:pPr>
    </w:p>
    <w:p w:rsidR="00685064" w:rsidRDefault="00685064" w:rsidP="00685064">
      <w:pPr>
        <w:spacing w:before="60" w:after="120"/>
      </w:pPr>
    </w:p>
    <w:p w:rsidR="00685064" w:rsidRPr="00D37592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A couple of different things are getting mixed up here — worth untangling:</w:t>
      </w:r>
    </w:p>
    <w:p w:rsidR="00685064" w:rsidRPr="00D37592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"_Measures inside _Measure" — what's likely happening: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br/>
        <w:t xml:space="preserve">This is probably not a real nested table, but a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Display Folder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naming coincidence. In Power BI, "Display Folders" are a separate feature from the table itself — they're just labels you assign to measures to group them visually in the Fields pane, and they exist </w:t>
      </w:r>
      <w:r w:rsidRPr="00D37592">
        <w:rPr>
          <w:rFonts w:ascii="Times New Roman" w:eastAsia="Times New Roman" w:hAnsi="Times New Roman" w:cs="Times New Roman"/>
          <w:i/>
          <w:iCs/>
          <w:color w:val="385623" w:themeColor="accent6" w:themeShade="80"/>
        </w:rPr>
        <w:t>inside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whatever table the measure's Home Table is set to. So, if you (or a template) already set a measure's Display Folder property to "_Measures" while its Home Table is also </w:t>
      </w:r>
      <w:r w:rsidRPr="00D37592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, you'll see something like:</w:t>
      </w:r>
    </w:p>
    <w:p w:rsidR="00685064" w:rsidRPr="00D37592" w:rsidRDefault="00685064" w:rsidP="0068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85623" w:themeColor="accent6" w:themeShade="80"/>
        </w:rPr>
      </w:pPr>
      <w:r w:rsidRPr="00D37592">
        <w:rPr>
          <w:rFonts w:ascii="var(--font-mono)" w:eastAsia="Times New Roman" w:hAnsi="var(--font-mono)" w:cs="Courier New"/>
          <w:color w:val="385623" w:themeColor="accent6" w:themeShade="80"/>
        </w:rPr>
        <w:t>_Measures (table)</w:t>
      </w:r>
    </w:p>
    <w:p w:rsidR="00685064" w:rsidRPr="00D37592" w:rsidRDefault="00685064" w:rsidP="0068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85623" w:themeColor="accent6" w:themeShade="80"/>
        </w:rPr>
      </w:pPr>
      <w:r w:rsidRPr="00D37592">
        <w:rPr>
          <w:rFonts w:ascii="var(--font-mono)" w:eastAsia="Times New Roman" w:hAnsi="var(--font-mono)" w:cs="Courier New"/>
          <w:color w:val="385623" w:themeColor="accent6" w:themeShade="80"/>
        </w:rPr>
        <w:t xml:space="preserve">  └── _Measures (folder)</w:t>
      </w:r>
    </w:p>
    <w:p w:rsidR="00685064" w:rsidRPr="00D37592" w:rsidRDefault="00685064" w:rsidP="00685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85623" w:themeColor="accent6" w:themeShade="80"/>
        </w:rPr>
      </w:pPr>
      <w:r w:rsidRPr="00D37592">
        <w:rPr>
          <w:rFonts w:ascii="var(--font-mono)" w:eastAsia="Times New Roman" w:hAnsi="var(--font-mono)" w:cs="Courier New"/>
          <w:color w:val="385623" w:themeColor="accent6" w:themeShade="80"/>
        </w:rPr>
        <w:t xml:space="preserve">       └── your measures</w:t>
      </w:r>
    </w:p>
    <w:p w:rsidR="00685064" w:rsidRPr="00D37592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That's not broken — it's just redundant naming, purely cosmetic. You can leave it, or simplify it (see below).</w:t>
      </w:r>
    </w:p>
    <w:p w:rsidR="00685064" w:rsidRPr="00D37592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Do you need to fix it?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br/>
        <w:t xml:space="preserve">No, functionally it doesn't matter. But if it bugs you visually, you can just clear the Display Folder property so measures sit directly under the </w:t>
      </w:r>
      <w:r w:rsidRPr="00D37592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table without the extra subfolder layer.</w:t>
      </w:r>
    </w:p>
    <w:p w:rsidR="00685064" w:rsidRPr="00D37592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 xml:space="preserve">How to move your measures into </w:t>
      </w:r>
      <w:r w:rsidRPr="00D37592">
        <w:rPr>
          <w:rFonts w:ascii="Courier New" w:eastAsia="Times New Roman" w:hAnsi="Courier New" w:cs="Courier New"/>
          <w:b/>
          <w:bCs/>
          <w:color w:val="385623" w:themeColor="accent6" w:themeShade="80"/>
        </w:rPr>
        <w:t>_Measures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:</w:t>
      </w:r>
    </w:p>
    <w:p w:rsidR="00685064" w:rsidRPr="00D37592" w:rsidRDefault="00685064" w:rsidP="006850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Go to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Model view</w:t>
      </w:r>
    </w:p>
    <w:p w:rsidR="00685064" w:rsidRPr="00D37592" w:rsidRDefault="00685064" w:rsidP="006850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Click on a measure (in whichever table it currently lives under)</w:t>
      </w:r>
    </w:p>
    <w:p w:rsidR="00685064" w:rsidRPr="00D37592" w:rsidRDefault="00685064" w:rsidP="006850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In the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Properties pane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on the right (expand it if collapsed), find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Home Table</w:t>
      </w:r>
    </w:p>
    <w:p w:rsidR="00685064" w:rsidRPr="00D37592" w:rsidRDefault="00685064" w:rsidP="006850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Change it from its current table to </w:t>
      </w:r>
      <w:r w:rsidRPr="00D37592">
        <w:rPr>
          <w:rFonts w:ascii="Courier New" w:eastAsia="Times New Roman" w:hAnsi="Courier New" w:cs="Courier New"/>
          <w:color w:val="385623" w:themeColor="accent6" w:themeShade="80"/>
        </w:rPr>
        <w:t>_Measures</w:t>
      </w:r>
    </w:p>
    <w:p w:rsidR="00685064" w:rsidRPr="00D37592" w:rsidRDefault="00685064" w:rsidP="006850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Repeat for each measure — or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Ctrl</w:t>
      </w:r>
      <w:r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 xml:space="preserve">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+</w:t>
      </w:r>
      <w:r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 xml:space="preserve">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click multiple measures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at once and change Home Table for all of them together</w:t>
      </w:r>
    </w:p>
    <w:p w:rsidR="00685064" w:rsidRPr="00D37592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 xml:space="preserve">To set/clear Display Folders (optional </w:t>
      </w:r>
      <w:proofErr w:type="spellStart"/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subfoldering</w:t>
      </w:r>
      <w:proofErr w:type="spellEnd"/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):</w:t>
      </w:r>
    </w:p>
    <w:p w:rsidR="00685064" w:rsidRPr="00D37592" w:rsidRDefault="00685064" w:rsidP="006850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Same Properties pane, look for </w:t>
      </w:r>
      <w:r w:rsidRPr="00D37592">
        <w:rPr>
          <w:rFonts w:ascii="Times New Roman" w:eastAsia="Times New Roman" w:hAnsi="Times New Roman" w:cs="Times New Roman"/>
          <w:b/>
          <w:bCs/>
          <w:color w:val="385623" w:themeColor="accent6" w:themeShade="80"/>
        </w:rPr>
        <w:t>Display Folder</w:t>
      </w:r>
    </w:p>
    <w:p w:rsidR="00685064" w:rsidRPr="00D37592" w:rsidRDefault="00685064" w:rsidP="006850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Type a name (</w:t>
      </w:r>
      <w:proofErr w:type="gramStart"/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e.g.</w:t>
      </w:r>
      <w:proofErr w:type="gramEnd"/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"Sales" or "Time Intelligence") to create a subfolder grouping within </w:t>
      </w:r>
      <w:r w:rsidRPr="00D37592">
        <w:rPr>
          <w:rFonts w:ascii="Courier New" w:eastAsia="Times New Roman" w:hAnsi="Courier New" w:cs="Courier New"/>
          <w:color w:val="385623" w:themeColor="accent6" w:themeShade="80"/>
        </w:rPr>
        <w:t>_Measures</w:t>
      </w:r>
    </w:p>
    <w:p w:rsidR="00685064" w:rsidRPr="00D37592" w:rsidRDefault="00685064" w:rsidP="006850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Leave it blank to have the measure sit directly under </w:t>
      </w:r>
      <w:r w:rsidRPr="00D37592">
        <w:rPr>
          <w:rFonts w:ascii="Courier New" w:eastAsia="Times New Roman" w:hAnsi="Courier New" w:cs="Courier New"/>
          <w:color w:val="385623" w:themeColor="accent6" w:themeShade="80"/>
        </w:rPr>
        <w:t>_Measures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with no subfolder</w:t>
      </w:r>
    </w:p>
    <w:p w:rsidR="00685064" w:rsidRPr="00D37592" w:rsidRDefault="00685064" w:rsidP="006850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You can absolutely create subfolders this way — </w:t>
      </w:r>
      <w:proofErr w:type="gramStart"/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e.g.</w:t>
      </w:r>
      <w:proofErr w:type="gramEnd"/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</w:t>
      </w:r>
      <w:r w:rsidRPr="00D37592">
        <w:rPr>
          <w:rFonts w:ascii="Courier New" w:eastAsia="Times New Roman" w:hAnsi="Courier New" w:cs="Courier New"/>
          <w:color w:val="385623" w:themeColor="accent6" w:themeShade="80"/>
        </w:rPr>
        <w:t>Sales\Revenue</w:t>
      </w: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as the Display Folder text creates a nested subfolder structure automatically</w:t>
      </w:r>
    </w:p>
    <w:p w:rsidR="00685064" w:rsidRPr="00D37592" w:rsidRDefault="00685064" w:rsidP="0068506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385623" w:themeColor="accent6" w:themeShade="80"/>
        </w:rPr>
      </w:pPr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So yes, </w:t>
      </w:r>
      <w:proofErr w:type="spellStart"/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>subfoldering</w:t>
      </w:r>
      <w:proofErr w:type="spellEnd"/>
      <w:r w:rsidRPr="00D37592">
        <w:rPr>
          <w:rFonts w:ascii="Times New Roman" w:eastAsia="Times New Roman" w:hAnsi="Times New Roman" w:cs="Times New Roman"/>
          <w:color w:val="385623" w:themeColor="accent6" w:themeShade="80"/>
        </w:rPr>
        <w:t xml:space="preserve"> is supported natively — just via the Display Folder property, typed with backslashes for nesting, no separate "create folder" step needed.</w:t>
      </w:r>
    </w:p>
    <w:p w:rsidR="00685064" w:rsidRDefault="00685064"/>
    <w:p w:rsidR="00685064" w:rsidRDefault="00685064"/>
    <w:p w:rsidR="00685064" w:rsidRDefault="00685064"/>
    <w:p w:rsidR="00A171EB" w:rsidRDefault="00A171EB"/>
    <w:p w:rsidR="00651411" w:rsidRDefault="00651411" w:rsidP="00651411">
      <w:pPr>
        <w:pStyle w:val="Heading1"/>
        <w:pBdr>
          <w:bottom w:val="single" w:sz="12" w:space="6" w:color="0E7C7B"/>
        </w:pBdr>
        <w:spacing w:before="360" w:after="160"/>
      </w:pPr>
      <w:bookmarkStart w:id="1" w:name="_Toc236678417"/>
      <w:bookmarkStart w:id="2" w:name="_Toc236678420"/>
      <w:r>
        <w:lastRenderedPageBreak/>
        <w:t>Part 9 — The Three Reports</w:t>
      </w:r>
      <w:bookmarkEnd w:id="1"/>
    </w:p>
    <w:p w:rsidR="00CF23F9" w:rsidRDefault="00CF23F9" w:rsidP="00CF23F9">
      <w:pPr>
        <w:pStyle w:val="Heading2"/>
        <w:spacing w:before="280" w:after="120"/>
      </w:pPr>
      <w:bookmarkStart w:id="3" w:name="_Toc236678418"/>
      <w:r>
        <w:t>9.1 Shared design standards</w:t>
      </w:r>
      <w:bookmarkEnd w:id="3"/>
    </w:p>
    <w:p w:rsidR="00CF23F9" w:rsidRPr="00E226A6" w:rsidRDefault="00CF23F9" w:rsidP="00CF23F9">
      <w:pPr>
        <w:pStyle w:val="Heading3"/>
        <w:spacing w:before="220" w:after="100"/>
        <w:rPr>
          <w:b/>
          <w:bCs/>
          <w:color w:val="auto"/>
        </w:rPr>
      </w:pPr>
      <w:r w:rsidRPr="00E226A6">
        <w:rPr>
          <w:color w:val="auto"/>
        </w:rPr>
        <w:t>Yes, most of this can be made consistent across all pages — but Power BI handles it two different ways depending on what part of the standard you're talking about.</w:t>
      </w:r>
    </w:p>
    <w:p w:rsidR="00CF23F9" w:rsidRPr="00E226A6" w:rsidRDefault="00CF23F9" w:rsidP="00CF23F9">
      <w:pPr>
        <w:pStyle w:val="Heading3"/>
        <w:spacing w:before="220" w:after="100"/>
        <w:rPr>
          <w:color w:val="auto"/>
        </w:rPr>
      </w:pPr>
      <w:r w:rsidRPr="00E226A6">
        <w:rPr>
          <w:color w:val="auto"/>
        </w:rPr>
        <w:t>Colours &amp; fonts → Report Theme (JSON)</w:t>
      </w:r>
    </w:p>
    <w:p w:rsidR="00CF23F9" w:rsidRPr="00E226A6" w:rsidRDefault="00CF23F9" w:rsidP="00CF23F9">
      <w:pPr>
        <w:pStyle w:val="Heading3"/>
        <w:spacing w:before="220" w:after="100"/>
        <w:rPr>
          <w:b/>
          <w:bCs/>
          <w:color w:val="auto"/>
        </w:rPr>
      </w:pPr>
      <w:r w:rsidRPr="00E226A6">
        <w:rPr>
          <w:color w:val="auto"/>
        </w:rPr>
        <w:t xml:space="preserve">This is the one true </w:t>
      </w:r>
      <w:r w:rsidRPr="00D72A98">
        <w:rPr>
          <w:color w:val="FF0000"/>
        </w:rPr>
        <w:t>"define once, apply everywhere"</w:t>
      </w:r>
      <w:r w:rsidRPr="00E226A6">
        <w:rPr>
          <w:color w:val="auto"/>
        </w:rPr>
        <w:t xml:space="preserve"> mechanism. </w:t>
      </w:r>
      <w:r w:rsidRPr="00D72A98">
        <w:rPr>
          <w:color w:val="FF0000"/>
        </w:rPr>
        <w:t xml:space="preserve">You create a theme file </w:t>
      </w:r>
      <w:r w:rsidRPr="00E226A6">
        <w:rPr>
          <w:color w:val="auto"/>
        </w:rPr>
        <w:t>and every visual on every page inherits it automatically.</w:t>
      </w:r>
    </w:p>
    <w:p w:rsidR="00CF23F9" w:rsidRPr="00E226A6" w:rsidRDefault="00CF23F9" w:rsidP="00CF23F9">
      <w:pPr>
        <w:pStyle w:val="Heading3"/>
        <w:spacing w:before="220" w:after="100"/>
        <w:rPr>
          <w:color w:val="auto"/>
        </w:rPr>
      </w:pPr>
      <w:r w:rsidRPr="00E226A6">
        <w:rPr>
          <w:color w:val="auto"/>
        </w:rPr>
        <w:t>How to do it:</w:t>
      </w:r>
    </w:p>
    <w:p w:rsidR="00CF23F9" w:rsidRPr="00E226A6" w:rsidRDefault="00CF23F9" w:rsidP="00CF23F9">
      <w:pPr>
        <w:pStyle w:val="Heading3"/>
        <w:numPr>
          <w:ilvl w:val="1"/>
          <w:numId w:val="6"/>
        </w:numPr>
        <w:spacing w:before="220" w:after="100"/>
        <w:rPr>
          <w:b/>
          <w:bCs/>
          <w:color w:val="auto"/>
        </w:rPr>
      </w:pPr>
      <w:r w:rsidRPr="00E226A6">
        <w:rPr>
          <w:color w:val="auto"/>
        </w:rPr>
        <w:t xml:space="preserve">Go to View → Themes → Browse for themes (or </w:t>
      </w:r>
      <w:proofErr w:type="gramStart"/>
      <w:r w:rsidRPr="00D72A98">
        <w:rPr>
          <w:color w:val="auto"/>
        </w:rPr>
        <w:t>Customize</w:t>
      </w:r>
      <w:proofErr w:type="gramEnd"/>
      <w:r w:rsidRPr="00D72A98">
        <w:rPr>
          <w:color w:val="auto"/>
        </w:rPr>
        <w:t xml:space="preserve"> current theme</w:t>
      </w:r>
      <w:r w:rsidRPr="00E226A6">
        <w:rPr>
          <w:color w:val="auto"/>
        </w:rPr>
        <w:t>)</w:t>
      </w:r>
    </w:p>
    <w:p w:rsidR="00CF23F9" w:rsidRPr="00E226A6" w:rsidRDefault="00CF23F9" w:rsidP="00CF23F9">
      <w:pPr>
        <w:pStyle w:val="Heading3"/>
        <w:numPr>
          <w:ilvl w:val="1"/>
          <w:numId w:val="6"/>
        </w:numPr>
        <w:spacing w:before="220" w:after="100"/>
        <w:rPr>
          <w:b/>
          <w:bCs/>
          <w:color w:val="auto"/>
        </w:rPr>
      </w:pPr>
      <w:r w:rsidRPr="00E226A6">
        <w:rPr>
          <w:color w:val="auto"/>
        </w:rPr>
        <w:t>Build a JSON theme file defining your palette and text styles, e.g.: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>{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"name"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"OTD Report Theme"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,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dataColors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: [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"#0E7C7B"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"#B45309"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"#9B1C1C"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"#475569"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"#10243E"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],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"background"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"#FFFFFF"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,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"foreground"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"#10243E"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,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tableAccent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"#0E7C7B"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,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textClasses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: {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"title"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proofErr w:type="gramStart"/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{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proofErr w:type="gramEnd"/>
      <w:r w:rsidRPr="00F11082">
        <w:rPr>
          <w:rFonts w:ascii="Menlo" w:eastAsia="Times New Roman" w:hAnsi="Menlo" w:cs="Menlo"/>
          <w:color w:val="0451A5"/>
          <w:sz w:val="18"/>
          <w:szCs w:val="18"/>
        </w:rPr>
        <w:t>fontFace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"Segoe UI"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fontSize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098658"/>
          <w:sz w:val="18"/>
          <w:szCs w:val="18"/>
        </w:rPr>
        <w:t>24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color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"#10243E"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},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"label"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proofErr w:type="gramStart"/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{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proofErr w:type="gramEnd"/>
      <w:r w:rsidRPr="00F11082">
        <w:rPr>
          <w:rFonts w:ascii="Menlo" w:eastAsia="Times New Roman" w:hAnsi="Menlo" w:cs="Menlo"/>
          <w:color w:val="0451A5"/>
          <w:sz w:val="18"/>
          <w:szCs w:val="18"/>
        </w:rPr>
        <w:t>fontFace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"Segoe UI"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fontSize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098658"/>
          <w:sz w:val="18"/>
          <w:szCs w:val="18"/>
        </w:rPr>
        <w:t>10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}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},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visualStyles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: {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"*"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: {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  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"*"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>: {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     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"title"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proofErr w:type="gramStart"/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[{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proofErr w:type="gramEnd"/>
      <w:r w:rsidRPr="00F11082">
        <w:rPr>
          <w:rFonts w:ascii="Menlo" w:eastAsia="Times New Roman" w:hAnsi="Menlo" w:cs="Menlo"/>
          <w:color w:val="0451A5"/>
          <w:sz w:val="18"/>
          <w:szCs w:val="18"/>
        </w:rPr>
        <w:t>fontFamily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"Segoe UI"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,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fontColor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{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"solid"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{ </w:t>
      </w:r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proofErr w:type="spellStart"/>
      <w:r w:rsidRPr="00F11082">
        <w:rPr>
          <w:rFonts w:ascii="Menlo" w:eastAsia="Times New Roman" w:hAnsi="Menlo" w:cs="Menlo"/>
          <w:color w:val="0451A5"/>
          <w:sz w:val="18"/>
          <w:szCs w:val="18"/>
        </w:rPr>
        <w:t>color</w:t>
      </w:r>
      <w:proofErr w:type="spellEnd"/>
      <w:r w:rsidRPr="00F11082">
        <w:rPr>
          <w:rFonts w:ascii="Menlo" w:eastAsia="Times New Roman" w:hAnsi="Menlo" w:cs="Menlo"/>
          <w:color w:val="0451A5"/>
          <w:sz w:val="18"/>
          <w:szCs w:val="18"/>
        </w:rPr>
        <w:t>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: </w:t>
      </w:r>
      <w:r w:rsidRPr="00F11082">
        <w:rPr>
          <w:rFonts w:ascii="Menlo" w:eastAsia="Times New Roman" w:hAnsi="Menlo" w:cs="Menlo"/>
          <w:color w:val="A31515"/>
          <w:sz w:val="18"/>
          <w:szCs w:val="18"/>
        </w:rPr>
        <w:t>"#10243E"</w:t>
      </w: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} } }]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    }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  }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 xml:space="preserve">  }</w:t>
      </w:r>
    </w:p>
    <w:p w:rsidR="00CF23F9" w:rsidRPr="00F11082" w:rsidRDefault="00CF23F9" w:rsidP="00CF23F9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F11082">
        <w:rPr>
          <w:rFonts w:ascii="Menlo" w:eastAsia="Times New Roman" w:hAnsi="Menlo" w:cs="Menlo"/>
          <w:color w:val="3B3B3B"/>
          <w:sz w:val="18"/>
          <w:szCs w:val="18"/>
        </w:rPr>
        <w:t>}</w:t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4F9C6350" wp14:editId="3D9AC68F">
            <wp:extent cx="6188710" cy="7854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75C03543" wp14:editId="69C838F5">
            <wp:extent cx="6188710" cy="25520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413E0551" wp14:editId="035EC700">
            <wp:extent cx="6188710" cy="19005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60504EB" wp14:editId="699A94DE">
            <wp:extent cx="6188710" cy="22910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A4DFF42" wp14:editId="4D46756C">
            <wp:extent cx="6188710" cy="4425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 w:rsidRPr="005A6E55">
        <w:rPr>
          <w:color w:val="auto"/>
        </w:rPr>
        <w:lastRenderedPageBreak/>
        <w:t xml:space="preserve">Here's an expanded </w:t>
      </w:r>
      <w:r w:rsidRPr="00AB089C">
        <w:rPr>
          <w:color w:val="FF0000"/>
        </w:rPr>
        <w:t xml:space="preserve">theme file </w:t>
      </w:r>
      <w:r w:rsidRPr="00AB089C">
        <w:rPr>
          <w:color w:val="7030A0"/>
        </w:rPr>
        <w:t xml:space="preserve">covering everything that can live in a Power BI theme </w:t>
      </w:r>
      <w:r w:rsidRPr="005A6E55">
        <w:rPr>
          <w:color w:val="auto"/>
        </w:rPr>
        <w:t xml:space="preserve">(colours, fonts, card/table defaults). </w:t>
      </w:r>
      <w:r w:rsidRPr="00AB089C">
        <w:rPr>
          <w:color w:val="FF0000"/>
        </w:rPr>
        <w:t xml:space="preserve">Canvas size and layout </w:t>
      </w:r>
      <w:r w:rsidRPr="005A6E55">
        <w:rPr>
          <w:color w:val="auto"/>
        </w:rPr>
        <w:t xml:space="preserve">(slicer rail, KPI row) </w:t>
      </w:r>
      <w:r w:rsidRPr="00AB089C">
        <w:rPr>
          <w:color w:val="FF0000"/>
        </w:rPr>
        <w:t xml:space="preserve">can't be set via theme JSON </w:t>
      </w:r>
      <w:r w:rsidRPr="005A6E55">
        <w:rPr>
          <w:color w:val="auto"/>
        </w:rPr>
        <w:t>— I'll explain how to handle those right after.</w:t>
      </w:r>
      <w:r>
        <w:rPr>
          <w:color w:val="auto"/>
        </w:rPr>
        <w:br/>
      </w:r>
      <w:r>
        <w:br/>
      </w:r>
      <w:r>
        <w:rPr>
          <w:noProof/>
        </w:rPr>
        <w:drawing>
          <wp:inline distT="0" distB="0" distL="0" distR="0" wp14:anchorId="23138009" wp14:editId="3E239DE7">
            <wp:extent cx="6188710" cy="1938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776D8F71" wp14:editId="4124CACD">
            <wp:extent cx="6188710" cy="26174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3B84F1EA" wp14:editId="764176DF">
            <wp:extent cx="6188710" cy="11728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487A332F" wp14:editId="130A7AC1">
            <wp:extent cx="6188710" cy="10331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1413E813" wp14:editId="5ABAEFF3">
            <wp:extent cx="6188710" cy="4279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50942F51" wp14:editId="5FE821CC">
            <wp:extent cx="6188710" cy="15887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765741C" wp14:editId="3A2450AE">
            <wp:extent cx="6188710" cy="31076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1E37FC61" wp14:editId="64D9CE8E">
            <wp:extent cx="6188710" cy="4889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F9" w:rsidRPr="00F47CE6" w:rsidRDefault="00CF23F9" w:rsidP="00CF23F9">
      <w:pPr>
        <w:pStyle w:val="Heading3"/>
        <w:spacing w:before="220" w:after="100"/>
        <w:rPr>
          <w:color w:val="auto"/>
        </w:rPr>
      </w:pPr>
      <w:r w:rsidRPr="00F47CE6">
        <w:rPr>
          <w:color w:val="auto"/>
        </w:rPr>
        <w:t>add / change font size 18 for values and 20 for column and row header in JSON file</w:t>
      </w:r>
    </w:p>
    <w:p w:rsidR="00CF23F9" w:rsidRDefault="00CF23F9" w:rsidP="00CF23F9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12D61C11" wp14:editId="3AFF8308">
            <wp:extent cx="6188710" cy="30372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411" w:rsidRDefault="00651411" w:rsidP="00A171EB">
      <w:pPr>
        <w:pStyle w:val="Heading2"/>
        <w:spacing w:before="280" w:after="120"/>
      </w:pPr>
    </w:p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Default="00F33D30" w:rsidP="00F33D30"/>
    <w:p w:rsidR="00F33D30" w:rsidRPr="00F33D30" w:rsidRDefault="00F33D30" w:rsidP="00F33D30"/>
    <w:p w:rsidR="00CF23F9" w:rsidRPr="00CF23F9" w:rsidRDefault="00CF23F9" w:rsidP="00CF23F9"/>
    <w:p w:rsidR="00A171EB" w:rsidRDefault="00A171EB" w:rsidP="00A171EB">
      <w:pPr>
        <w:pStyle w:val="Heading2"/>
        <w:spacing w:before="280" w:after="120"/>
      </w:pPr>
      <w:r>
        <w:lastRenderedPageBreak/>
        <w:t xml:space="preserve">9.2 Report </w:t>
      </w:r>
      <w:proofErr w:type="gramStart"/>
      <w:r>
        <w:t>1  —</w:t>
      </w:r>
      <w:proofErr w:type="gramEnd"/>
      <w:r>
        <w:t xml:space="preserve">  Network Performance</w:t>
      </w:r>
      <w:bookmarkEnd w:id="2"/>
    </w:p>
    <w:p w:rsidR="00A171EB" w:rsidRDefault="00A171EB" w:rsidP="00A171EB">
      <w:pPr>
        <w:spacing w:before="60" w:after="120"/>
      </w:pPr>
      <w:r>
        <w:rPr>
          <w:rFonts w:cs="Aptos"/>
        </w:rPr>
        <w:t>This report answers the COO’s question. It must lead the reader from the symptom to the correct diagnosis, not merely display the symptom.</w:t>
      </w:r>
    </w:p>
    <w:p w:rsidR="00A171EB" w:rsidRDefault="00A171EB"/>
    <w:p w:rsidR="00C025DD" w:rsidRDefault="00C025DD" w:rsidP="00C025DD">
      <w:pPr>
        <w:pStyle w:val="Heading3"/>
        <w:spacing w:before="220" w:after="100"/>
      </w:pPr>
      <w:bookmarkStart w:id="4" w:name="_Toc236678421"/>
      <w:r>
        <w:t>KPI row</w:t>
      </w:r>
      <w:bookmarkEnd w:id="4"/>
    </w:p>
    <w:tbl>
      <w:tblPr>
        <w:tblW w:w="9360" w:type="dxa"/>
        <w:tblBorders>
          <w:top w:val="single" w:sz="2" w:space="0" w:color="C7D2DE"/>
          <w:left w:val="single" w:sz="2" w:space="0" w:color="C7D2DE"/>
          <w:bottom w:val="single" w:sz="2" w:space="0" w:color="C7D2DE"/>
          <w:right w:val="single" w:sz="2" w:space="0" w:color="C7D2DE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960"/>
      </w:tblGrid>
      <w:tr w:rsidR="00C025DD" w:rsidTr="003238BE">
        <w:trPr>
          <w:tblHeader/>
        </w:trPr>
        <w:tc>
          <w:tcPr>
            <w:tcW w:w="170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C025DD" w:rsidRDefault="00C025DD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Card</w:t>
            </w:r>
          </w:p>
        </w:tc>
        <w:tc>
          <w:tcPr>
            <w:tcW w:w="270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C025DD" w:rsidRDefault="00C025DD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Measure</w:t>
            </w:r>
          </w:p>
        </w:tc>
        <w:tc>
          <w:tcPr>
            <w:tcW w:w="496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C025DD" w:rsidRDefault="00C025DD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Formatting</w:t>
            </w:r>
          </w:p>
        </w:tc>
      </w:tr>
      <w:tr w:rsidR="00C025DD" w:rsidTr="003238BE"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C025DD" w:rsidRDefault="00C025DD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sz w:val="17"/>
                <w:szCs w:val="17"/>
              </w:rPr>
              <w:t>On Time %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C025DD" w:rsidRDefault="00C025DD" w:rsidP="003238BE">
            <w:pPr>
              <w:spacing w:before="50" w:after="50" w:line="252" w:lineRule="auto"/>
            </w:pPr>
            <w:r>
              <w:rPr>
                <w:rFonts w:cs="Aptos"/>
                <w:sz w:val="17"/>
                <w:szCs w:val="17"/>
              </w:rPr>
              <w:t>[On Time %]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C025DD" w:rsidRDefault="00C025DD" w:rsidP="003238BE">
            <w:pPr>
              <w:spacing w:before="50" w:after="50" w:line="252" w:lineRule="auto"/>
            </w:pPr>
            <w:r>
              <w:rPr>
                <w:rFonts w:cs="Aptos"/>
                <w:sz w:val="17"/>
                <w:szCs w:val="17"/>
              </w:rPr>
              <w:t xml:space="preserve">Percentage, 1 </w:t>
            </w:r>
            <w:proofErr w:type="spellStart"/>
            <w:r>
              <w:rPr>
                <w:rFonts w:cs="Aptos"/>
                <w:sz w:val="17"/>
                <w:szCs w:val="17"/>
              </w:rPr>
              <w:t>dp</w:t>
            </w:r>
            <w:proofErr w:type="spellEnd"/>
            <w:r>
              <w:rPr>
                <w:rFonts w:cs="Aptos"/>
                <w:sz w:val="17"/>
                <w:szCs w:val="17"/>
              </w:rPr>
              <w:t>, conditional colour via OTD Status Colour</w:t>
            </w:r>
          </w:p>
        </w:tc>
      </w:tr>
    </w:tbl>
    <w:p w:rsidR="00C025DD" w:rsidRPr="00C025DD" w:rsidRDefault="00C025DD" w:rsidP="00C025DD"/>
    <w:p w:rsidR="003E6E0F" w:rsidRDefault="003E6E0F" w:rsidP="003E6E0F">
      <w:pPr>
        <w:pStyle w:val="Heading3"/>
        <w:spacing w:before="220" w:after="100"/>
      </w:pPr>
      <w:r>
        <w:lastRenderedPageBreak/>
        <w:t xml:space="preserve">Card 1 </w:t>
      </w:r>
    </w:p>
    <w:p w:rsidR="003E6E0F" w:rsidRDefault="003E6E0F" w:rsidP="003E6E0F">
      <w:pPr>
        <w:pStyle w:val="Heading3"/>
        <w:spacing w:before="220" w:after="100"/>
      </w:pPr>
      <w:r>
        <w:t>On Time %</w:t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17BD6052" wp14:editId="5724D612">
            <wp:extent cx="3733800" cy="368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3B3557CA" wp14:editId="0875C5C4">
            <wp:extent cx="6134100" cy="2070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29309A77" wp14:editId="48A28BCA">
            <wp:extent cx="6188710" cy="33534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1ED9A5F1" wp14:editId="1EBFD510">
            <wp:extent cx="6188710" cy="7016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405D775E" wp14:editId="5CB91F99">
            <wp:extent cx="6188710" cy="40443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44FE113D" wp14:editId="61E83723">
            <wp:extent cx="6121400" cy="1028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</w:p>
    <w:tbl>
      <w:tblPr>
        <w:tblW w:w="9360" w:type="dxa"/>
        <w:tblBorders>
          <w:top w:val="single" w:sz="2" w:space="0" w:color="C7D2DE"/>
          <w:left w:val="single" w:sz="2" w:space="0" w:color="C7D2DE"/>
          <w:bottom w:val="single" w:sz="2" w:space="0" w:color="C7D2DE"/>
          <w:right w:val="single" w:sz="2" w:space="0" w:color="C7D2DE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960"/>
      </w:tblGrid>
      <w:tr w:rsidR="003E6E0F" w:rsidTr="003238BE">
        <w:trPr>
          <w:tblHeader/>
        </w:trPr>
        <w:tc>
          <w:tcPr>
            <w:tcW w:w="170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Card</w:t>
            </w:r>
          </w:p>
        </w:tc>
        <w:tc>
          <w:tcPr>
            <w:tcW w:w="270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Measure</w:t>
            </w:r>
          </w:p>
        </w:tc>
        <w:tc>
          <w:tcPr>
            <w:tcW w:w="496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Formatting</w:t>
            </w:r>
          </w:p>
        </w:tc>
      </w:tr>
      <w:tr w:rsidR="003E6E0F" w:rsidTr="003238BE">
        <w:tc>
          <w:tcPr>
            <w:tcW w:w="1700" w:type="dxa"/>
            <w:shd w:val="clear" w:color="auto" w:fill="F1F5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sz w:val="17"/>
                <w:szCs w:val="17"/>
              </w:rPr>
              <w:t>vs Target</w:t>
            </w:r>
          </w:p>
        </w:tc>
        <w:tc>
          <w:tcPr>
            <w:tcW w:w="2700" w:type="dxa"/>
            <w:shd w:val="clear" w:color="auto" w:fill="F1F5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sz w:val="17"/>
                <w:szCs w:val="17"/>
              </w:rPr>
              <w:t>[OTD vs Target pp]</w:t>
            </w:r>
          </w:p>
        </w:tc>
        <w:tc>
          <w:tcPr>
            <w:tcW w:w="4960" w:type="dxa"/>
            <w:shd w:val="clear" w:color="auto" w:fill="F1F5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sz w:val="17"/>
                <w:szCs w:val="17"/>
              </w:rPr>
              <w:t xml:space="preserve">Number, 1 </w:t>
            </w:r>
            <w:proofErr w:type="spellStart"/>
            <w:r>
              <w:rPr>
                <w:rFonts w:cs="Aptos"/>
                <w:sz w:val="17"/>
                <w:szCs w:val="17"/>
              </w:rPr>
              <w:t>dp</w:t>
            </w:r>
            <w:proofErr w:type="spellEnd"/>
            <w:r>
              <w:rPr>
                <w:rFonts w:cs="Aptos"/>
                <w:sz w:val="17"/>
                <w:szCs w:val="17"/>
              </w:rPr>
              <w:t>, "pp" suffix, red if negative</w:t>
            </w:r>
          </w:p>
        </w:tc>
      </w:tr>
    </w:tbl>
    <w:p w:rsidR="003E6E0F" w:rsidRDefault="003E6E0F"/>
    <w:p w:rsidR="003E6E0F" w:rsidRDefault="003E6E0F" w:rsidP="003E6E0F">
      <w:pPr>
        <w:pStyle w:val="Heading3"/>
        <w:spacing w:before="220" w:after="100"/>
      </w:pPr>
      <w:r>
        <w:lastRenderedPageBreak/>
        <w:t>Card 2</w:t>
      </w:r>
    </w:p>
    <w:p w:rsidR="003E6E0F" w:rsidRDefault="003E6E0F" w:rsidP="003E6E0F">
      <w:pPr>
        <w:pStyle w:val="Heading3"/>
        <w:spacing w:before="220" w:after="100"/>
      </w:pPr>
      <w:r>
        <w:t>vs Target</w:t>
      </w:r>
    </w:p>
    <w:p w:rsidR="003E6E0F" w:rsidRDefault="003E6E0F" w:rsidP="003E6E0F">
      <w:pPr>
        <w:pStyle w:val="Heading3"/>
        <w:spacing w:before="220" w:after="100"/>
      </w:pP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79C9EE0B" wp14:editId="52BE0FC3">
            <wp:extent cx="6188710" cy="24307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06F8EAB" wp14:editId="32C1265D">
            <wp:extent cx="6188710" cy="7385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36E99B5F" wp14:editId="3AFA6055">
            <wp:extent cx="6188710" cy="410146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324E6808" wp14:editId="04F9DBDE">
            <wp:extent cx="6184900" cy="1003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007488C7" wp14:editId="11AFE574">
            <wp:extent cx="2070100" cy="7112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24025E99" wp14:editId="09F3CF31">
            <wp:extent cx="6188710" cy="121539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9603E16" wp14:editId="2C3ACBCA">
            <wp:extent cx="6188710" cy="34601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6A8D4DB" wp14:editId="75FAB28B">
            <wp:extent cx="6146800" cy="6858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2DA0684C" wp14:editId="7DCDF15D">
            <wp:extent cx="6188710" cy="45986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0B1811B" wp14:editId="14B2E09F">
            <wp:extent cx="6188710" cy="26454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2D5FF83F" wp14:editId="55C36379">
            <wp:extent cx="6188710" cy="221805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43CC09F3" wp14:editId="05A685D3">
            <wp:extent cx="4114800" cy="10795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0689B42" wp14:editId="2819283E">
            <wp:extent cx="5854700" cy="673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68299043" wp14:editId="1D904DF5">
            <wp:extent cx="6188710" cy="25527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440B6DE5" wp14:editId="0583C562">
            <wp:extent cx="5981700" cy="4737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2B37F640" wp14:editId="1CEED131">
            <wp:extent cx="6188710" cy="249745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10DBF369" wp14:editId="6115B5DF">
            <wp:extent cx="6134100" cy="29337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18EF04BB" wp14:editId="24952FCF">
            <wp:extent cx="6188710" cy="3933825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lastRenderedPageBreak/>
        <w:drawing>
          <wp:inline distT="0" distB="0" distL="0" distR="0" wp14:anchorId="0A57E2AE" wp14:editId="689FF5D0">
            <wp:extent cx="6188710" cy="407606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 w:rsidP="003E6E0F">
      <w:pPr>
        <w:pStyle w:val="Heading3"/>
        <w:spacing w:before="220" w:after="100"/>
      </w:pPr>
      <w:r>
        <w:rPr>
          <w:noProof/>
        </w:rPr>
        <w:drawing>
          <wp:inline distT="0" distB="0" distL="0" distR="0" wp14:anchorId="5BA62D23" wp14:editId="111E8C3B">
            <wp:extent cx="6188710" cy="65341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0F" w:rsidRDefault="003E6E0F"/>
    <w:p w:rsidR="003E6E0F" w:rsidRDefault="003E6E0F" w:rsidP="003E6E0F">
      <w:pPr>
        <w:pStyle w:val="Heading3"/>
        <w:spacing w:before="220" w:after="100"/>
      </w:pPr>
      <w:r>
        <w:t>Card 3</w:t>
      </w:r>
    </w:p>
    <w:p w:rsidR="003E6E0F" w:rsidRDefault="003E6E0F" w:rsidP="003E6E0F">
      <w:pPr>
        <w:pStyle w:val="Heading3"/>
        <w:spacing w:before="220" w:after="100"/>
      </w:pPr>
      <w:r>
        <w:t>YoY Change</w:t>
      </w:r>
    </w:p>
    <w:p w:rsidR="003E6E0F" w:rsidRDefault="00F360CD">
      <w:r>
        <w:br/>
      </w:r>
    </w:p>
    <w:tbl>
      <w:tblPr>
        <w:tblW w:w="9360" w:type="dxa"/>
        <w:tblBorders>
          <w:top w:val="single" w:sz="2" w:space="0" w:color="C7D2DE"/>
          <w:left w:val="single" w:sz="2" w:space="0" w:color="C7D2DE"/>
          <w:bottom w:val="single" w:sz="2" w:space="0" w:color="C7D2DE"/>
          <w:right w:val="single" w:sz="2" w:space="0" w:color="C7D2DE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960"/>
      </w:tblGrid>
      <w:tr w:rsidR="003E6E0F" w:rsidTr="003238BE">
        <w:trPr>
          <w:tblHeader/>
        </w:trPr>
        <w:tc>
          <w:tcPr>
            <w:tcW w:w="170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Card</w:t>
            </w:r>
          </w:p>
        </w:tc>
        <w:tc>
          <w:tcPr>
            <w:tcW w:w="270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Measure</w:t>
            </w:r>
          </w:p>
        </w:tc>
        <w:tc>
          <w:tcPr>
            <w:tcW w:w="4960" w:type="dxa"/>
            <w:shd w:val="clear" w:color="auto" w:fill="1024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3E6E0F" w:rsidRDefault="003E6E0F" w:rsidP="003238BE">
            <w:pPr>
              <w:spacing w:before="50" w:after="50" w:line="252" w:lineRule="auto"/>
            </w:pPr>
            <w:r>
              <w:rPr>
                <w:rFonts w:cs="Aptos"/>
                <w:b/>
                <w:bCs/>
                <w:color w:val="FFFFFF"/>
                <w:sz w:val="17"/>
                <w:szCs w:val="17"/>
              </w:rPr>
              <w:t>Formatting</w:t>
            </w:r>
          </w:p>
        </w:tc>
      </w:tr>
      <w:tr w:rsidR="003E6E0F" w:rsidTr="00B351B4"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3E6E0F" w:rsidRDefault="003E6E0F" w:rsidP="003E6E0F">
            <w:r>
              <w:t>YoY Change</w:t>
            </w:r>
          </w:p>
          <w:p w:rsidR="003E6E0F" w:rsidRDefault="003E6E0F" w:rsidP="003E6E0F"/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3E6E0F" w:rsidRDefault="003E6E0F" w:rsidP="003E6E0F">
            <w:r>
              <w:t>[On Time % YoY pp]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3E6E0F" w:rsidRDefault="003E6E0F" w:rsidP="003E6E0F">
            <w:r>
              <w:t>Number with [OTD Trend Indictor] prefix</w:t>
            </w:r>
          </w:p>
        </w:tc>
      </w:tr>
    </w:tbl>
    <w:p w:rsidR="00F360CD" w:rsidRDefault="00F360CD"/>
    <w:p w:rsidR="003E6E0F" w:rsidRDefault="003E6E0F"/>
    <w:p w:rsidR="00F360CD" w:rsidRDefault="00F360CD"/>
    <w:p w:rsidR="004D3885" w:rsidRDefault="00DF228E">
      <w:r w:rsidRPr="008C6725">
        <w:rPr>
          <w:color w:val="0070C0"/>
        </w:rPr>
        <w:t xml:space="preserve">On Time % YoY pp </w:t>
      </w:r>
      <w:r w:rsidRPr="00DF228E">
        <w:t>= [On Time %] - [On Time % LY]</w:t>
      </w:r>
    </w:p>
    <w:p w:rsidR="00DF228E" w:rsidRDefault="00DF228E"/>
    <w:p w:rsidR="00DF228E" w:rsidRDefault="00DF228E">
      <w:r>
        <w:t>Format 0.0 pp</w:t>
      </w:r>
    </w:p>
    <w:p w:rsidR="00DF228E" w:rsidRDefault="00DF228E"/>
    <w:p w:rsidR="00DF228E" w:rsidRDefault="00DF228E">
      <w:r w:rsidRPr="008C6725">
        <w:rPr>
          <w:color w:val="0070C0"/>
        </w:rPr>
        <w:t>On Time %</w:t>
      </w:r>
      <w:r w:rsidRPr="00DF228E">
        <w:t xml:space="preserve"> = AVERAGE ( 'meridian_freight v_consignment_delivery'[is_on_time] )</w:t>
      </w:r>
    </w:p>
    <w:p w:rsidR="00DF228E" w:rsidRDefault="00DF228E">
      <w:r>
        <w:t>Format</w:t>
      </w:r>
      <w:r w:rsidR="000B260C">
        <w:t xml:space="preserve"> is </w:t>
      </w:r>
      <w:r>
        <w:t>%</w:t>
      </w:r>
    </w:p>
    <w:p w:rsidR="00DF228E" w:rsidRDefault="00DF228E"/>
    <w:p w:rsidR="00D834DE" w:rsidRDefault="00D834DE" w:rsidP="00D834DE">
      <w:r w:rsidRPr="008C6725">
        <w:rPr>
          <w:color w:val="0070C0"/>
        </w:rPr>
        <w:lastRenderedPageBreak/>
        <w:t xml:space="preserve">On Time % LY </w:t>
      </w:r>
      <w:r>
        <w:t xml:space="preserve">= </w:t>
      </w:r>
    </w:p>
    <w:p w:rsidR="00D834DE" w:rsidRDefault="00D834DE" w:rsidP="00D834DE">
      <w:r>
        <w:t>CALCULATE ( [On Time %], SAMEPERIODLASTYEAR ( DateTable[Date] ) )</w:t>
      </w:r>
    </w:p>
    <w:p w:rsidR="00D834DE" w:rsidRDefault="00D834DE" w:rsidP="00D834DE">
      <w:r>
        <w:t>Format</w:t>
      </w:r>
      <w:r w:rsidR="000B260C">
        <w:t xml:space="preserve"> is</w:t>
      </w:r>
      <w:r>
        <w:t xml:space="preserve"> %</w:t>
      </w:r>
    </w:p>
    <w:p w:rsidR="000B260C" w:rsidRDefault="000B260C" w:rsidP="00D834DE"/>
    <w:p w:rsidR="00AC3852" w:rsidRDefault="00AC3852" w:rsidP="00AC3852">
      <w:r w:rsidRPr="008C6725">
        <w:rPr>
          <w:color w:val="0070C0"/>
        </w:rPr>
        <w:t>OTD Trend Indicator</w:t>
      </w:r>
      <w:r>
        <w:t xml:space="preserve"> = </w:t>
      </w:r>
    </w:p>
    <w:p w:rsidR="00AC3852" w:rsidRDefault="00AC3852" w:rsidP="00AC3852">
      <w:r>
        <w:t>VAR Change = [On Time % YoY pp]</w:t>
      </w:r>
    </w:p>
    <w:p w:rsidR="00AC3852" w:rsidRDefault="00AC3852" w:rsidP="00AC3852">
      <w:r>
        <w:t>RETURN</w:t>
      </w:r>
    </w:p>
    <w:p w:rsidR="00AC3852" w:rsidRDefault="00AC3852" w:rsidP="00AC3852">
      <w:r>
        <w:t xml:space="preserve">    SWITCH (</w:t>
      </w:r>
    </w:p>
    <w:p w:rsidR="00AC3852" w:rsidRDefault="00AC3852" w:rsidP="00AC3852">
      <w:r>
        <w:t xml:space="preserve">        TRUE (),</w:t>
      </w:r>
    </w:p>
    <w:p w:rsidR="00AC3852" w:rsidRDefault="00AC3852" w:rsidP="00AC3852">
      <w:r>
        <w:t xml:space="preserve">        ISBLANK ( Change ),  "",</w:t>
      </w:r>
    </w:p>
    <w:p w:rsidR="00AC3852" w:rsidRDefault="00AC3852" w:rsidP="00AC3852">
      <w:r>
        <w:t xml:space="preserve">        Change &gt;  0.005,     UNICHAR ( 9650 ),   -- filled up triangle</w:t>
      </w:r>
    </w:p>
    <w:p w:rsidR="00AC3852" w:rsidRDefault="00AC3852" w:rsidP="00AC3852">
      <w:r>
        <w:t xml:space="preserve">        Change &lt; -0.005,     UNICHAR ( 9660 ),   -- filled down triangle</w:t>
      </w:r>
    </w:p>
    <w:p w:rsidR="00AC3852" w:rsidRDefault="00AC3852" w:rsidP="00AC3852">
      <w:r>
        <w:t xml:space="preserve">        UNICHAR ( 9644 )                          -- flat bar</w:t>
      </w:r>
    </w:p>
    <w:p w:rsidR="00AC3852" w:rsidRDefault="00AC3852" w:rsidP="00AC3852">
      <w:r>
        <w:t xml:space="preserve">    )</w:t>
      </w:r>
    </w:p>
    <w:p w:rsidR="00AC3852" w:rsidRDefault="00AC3852" w:rsidP="00AC3852"/>
    <w:p w:rsidR="00AC3852" w:rsidRDefault="00AC3852" w:rsidP="00AC3852">
      <w:r>
        <w:t>Format is Text</w:t>
      </w:r>
    </w:p>
    <w:p w:rsidR="000B260C" w:rsidRDefault="000B260C" w:rsidP="00AC3852"/>
    <w:p w:rsidR="008C0A87" w:rsidRDefault="000639E1" w:rsidP="00AC3852">
      <w:r>
        <w:rPr>
          <w:noProof/>
        </w:rPr>
        <w:drawing>
          <wp:inline distT="0" distB="0" distL="0" distR="0">
            <wp:extent cx="5731510" cy="862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E1" w:rsidRDefault="000639E1" w:rsidP="00AC3852">
      <w:r>
        <w:rPr>
          <w:noProof/>
        </w:rPr>
        <w:drawing>
          <wp:inline distT="0" distB="0" distL="0" distR="0">
            <wp:extent cx="5731510" cy="1632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E1" w:rsidRDefault="000639E1" w:rsidP="00AC3852">
      <w:r>
        <w:rPr>
          <w:noProof/>
        </w:rPr>
        <w:drawing>
          <wp:inline distT="0" distB="0" distL="0" distR="0">
            <wp:extent cx="5731510" cy="1737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E1" w:rsidRDefault="000639E1" w:rsidP="00AC3852">
      <w:r>
        <w:rPr>
          <w:noProof/>
        </w:rPr>
        <w:lastRenderedPageBreak/>
        <w:drawing>
          <wp:inline distT="0" distB="0" distL="0" distR="0">
            <wp:extent cx="5029200" cy="166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E1" w:rsidRDefault="000639E1" w:rsidP="00AC3852">
      <w:r>
        <w:rPr>
          <w:noProof/>
        </w:rPr>
        <w:drawing>
          <wp:inline distT="0" distB="0" distL="0" distR="0">
            <wp:extent cx="5731510" cy="2738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E1" w:rsidRDefault="00E364EA" w:rsidP="00AC3852">
      <w:r>
        <w:rPr>
          <w:noProof/>
        </w:rPr>
        <w:drawing>
          <wp:inline distT="0" distB="0" distL="0" distR="0">
            <wp:extent cx="5731510" cy="3303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EA" w:rsidRDefault="00E364EA" w:rsidP="00AC3852">
      <w:r>
        <w:rPr>
          <w:noProof/>
        </w:rPr>
        <w:drawing>
          <wp:inline distT="0" distB="0" distL="0" distR="0">
            <wp:extent cx="5731510" cy="8578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EA" w:rsidRDefault="00E364EA" w:rsidP="00AC3852">
      <w:r>
        <w:rPr>
          <w:noProof/>
        </w:rPr>
        <w:lastRenderedPageBreak/>
        <w:drawing>
          <wp:inline distT="0" distB="0" distL="0" distR="0">
            <wp:extent cx="5731510" cy="1506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EA" w:rsidRDefault="00E364EA" w:rsidP="00AC3852">
      <w:r>
        <w:rPr>
          <w:noProof/>
        </w:rPr>
        <w:drawing>
          <wp:inline distT="0" distB="0" distL="0" distR="0">
            <wp:extent cx="5731510" cy="1642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EA" w:rsidRDefault="008E4A6A" w:rsidP="00AC3852">
      <w:r>
        <w:rPr>
          <w:noProof/>
        </w:rPr>
        <w:drawing>
          <wp:inline distT="0" distB="0" distL="0" distR="0">
            <wp:extent cx="54229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6A" w:rsidRDefault="008E4A6A" w:rsidP="00AC3852">
      <w:r>
        <w:rPr>
          <w:noProof/>
        </w:rPr>
        <w:drawing>
          <wp:inline distT="0" distB="0" distL="0" distR="0">
            <wp:extent cx="5731510" cy="5607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6A" w:rsidRDefault="008E4A6A" w:rsidP="00AC3852">
      <w:r>
        <w:rPr>
          <w:noProof/>
        </w:rPr>
        <w:drawing>
          <wp:inline distT="0" distB="0" distL="0" distR="0">
            <wp:extent cx="5731510" cy="1146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6A" w:rsidRDefault="008E4A6A" w:rsidP="00AC3852">
      <w:r>
        <w:rPr>
          <w:noProof/>
        </w:rPr>
        <w:lastRenderedPageBreak/>
        <w:drawing>
          <wp:inline distT="0" distB="0" distL="0" distR="0">
            <wp:extent cx="4381500" cy="3314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6A" w:rsidRDefault="008E4A6A" w:rsidP="00AC3852">
      <w:r>
        <w:rPr>
          <w:noProof/>
        </w:rPr>
        <w:drawing>
          <wp:inline distT="0" distB="0" distL="0" distR="0">
            <wp:extent cx="5731510" cy="5626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6A" w:rsidRDefault="008E4A6A" w:rsidP="00AC3852"/>
    <w:sectPr w:rsidR="008E4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24FD"/>
    <w:multiLevelType w:val="multilevel"/>
    <w:tmpl w:val="4F0E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E40CC"/>
    <w:multiLevelType w:val="multilevel"/>
    <w:tmpl w:val="3CA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D49FC"/>
    <w:multiLevelType w:val="multilevel"/>
    <w:tmpl w:val="F6B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97CB1"/>
    <w:multiLevelType w:val="multilevel"/>
    <w:tmpl w:val="F0DA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40AD6"/>
    <w:multiLevelType w:val="multilevel"/>
    <w:tmpl w:val="6DD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4178"/>
    <w:multiLevelType w:val="multilevel"/>
    <w:tmpl w:val="C96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21502">
    <w:abstractNumId w:val="0"/>
  </w:num>
  <w:num w:numId="2" w16cid:durableId="740518036">
    <w:abstractNumId w:val="2"/>
  </w:num>
  <w:num w:numId="3" w16cid:durableId="1186402102">
    <w:abstractNumId w:val="1"/>
  </w:num>
  <w:num w:numId="4" w16cid:durableId="743995070">
    <w:abstractNumId w:val="3"/>
  </w:num>
  <w:num w:numId="5" w16cid:durableId="725031882">
    <w:abstractNumId w:val="5"/>
  </w:num>
  <w:num w:numId="6" w16cid:durableId="1449739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8E"/>
    <w:rsid w:val="000639E1"/>
    <w:rsid w:val="00081FDA"/>
    <w:rsid w:val="000B260C"/>
    <w:rsid w:val="001E59C7"/>
    <w:rsid w:val="003C58F1"/>
    <w:rsid w:val="003E6E0F"/>
    <w:rsid w:val="004D3885"/>
    <w:rsid w:val="00651411"/>
    <w:rsid w:val="0067137D"/>
    <w:rsid w:val="00685064"/>
    <w:rsid w:val="007C01E0"/>
    <w:rsid w:val="008C0A87"/>
    <w:rsid w:val="008C6725"/>
    <w:rsid w:val="008E4A6A"/>
    <w:rsid w:val="00A11C48"/>
    <w:rsid w:val="00A171EB"/>
    <w:rsid w:val="00AC3852"/>
    <w:rsid w:val="00B96850"/>
    <w:rsid w:val="00C025DD"/>
    <w:rsid w:val="00CF23F9"/>
    <w:rsid w:val="00D834DE"/>
    <w:rsid w:val="00DE27AE"/>
    <w:rsid w:val="00DF228E"/>
    <w:rsid w:val="00E364EA"/>
    <w:rsid w:val="00F33D30"/>
    <w:rsid w:val="00F3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13A33"/>
  <w15:chartTrackingRefBased/>
  <w15:docId w15:val="{760182BF-C5FD-7C4E-98C0-38700AD0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60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1411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51411"/>
    <w:pPr>
      <w:spacing w:before="120"/>
    </w:pPr>
    <w:rPr>
      <w:rFonts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51411"/>
    <w:pPr>
      <w:spacing w:before="120"/>
      <w:ind w:left="240"/>
    </w:pPr>
    <w:rPr>
      <w:rFonts w:cstheme="minorHAnsi"/>
      <w:b/>
      <w:bC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65141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51411"/>
    <w:pPr>
      <w:ind w:left="480"/>
    </w:pPr>
    <w:rPr>
      <w:rFonts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1411"/>
    <w:pPr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51411"/>
    <w:pPr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51411"/>
    <w:pPr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51411"/>
    <w:pPr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51411"/>
    <w:pPr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51411"/>
    <w:pPr>
      <w:ind w:left="1920"/>
    </w:pPr>
    <w:rPr>
      <w:rFonts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D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33271C-AB6C-C74A-B085-A89D8D6E3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KC</dc:creator>
  <cp:keywords/>
  <dc:description/>
  <cp:lastModifiedBy>Anup KC</cp:lastModifiedBy>
  <cp:revision>8</cp:revision>
  <dcterms:created xsi:type="dcterms:W3CDTF">2026-09-08T08:25:00Z</dcterms:created>
  <dcterms:modified xsi:type="dcterms:W3CDTF">2026-09-10T12:06:00Z</dcterms:modified>
</cp:coreProperties>
</file>