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92E9D" w14:textId="77777777" w:rsidR="004F2D57" w:rsidRPr="004F2D57" w:rsidRDefault="004F2D57" w:rsidP="004F2D57">
      <w:r w:rsidRPr="004F2D57">
        <w:t>Year:1 | Semester: II </w:t>
      </w:r>
    </w:p>
    <w:p w14:paraId="020E081E" w14:textId="77777777" w:rsidR="004F2D57" w:rsidRPr="004F2D57" w:rsidRDefault="004F2D57" w:rsidP="004F2D57">
      <w:r w:rsidRPr="004F2D57">
        <w:t> Subject: Biochemistry | Unit: I | Topic: Inhibitors of ETC and Oxidative Phosphorylation / Uncouplers </w:t>
      </w:r>
    </w:p>
    <w:p w14:paraId="6F5A1A85" w14:textId="77777777" w:rsidR="004F2D57" w:rsidRPr="004F2D57" w:rsidRDefault="004F2D57" w:rsidP="004F2D57">
      <w:r w:rsidRPr="004F2D57">
        <w:t> </w:t>
      </w:r>
    </w:p>
    <w:p w14:paraId="6EB8664A" w14:textId="77777777" w:rsidR="004F2D57" w:rsidRPr="004F2D57" w:rsidRDefault="004F2D57" w:rsidP="004F2D57">
      <w:r w:rsidRPr="004F2D57">
        <w:t> </w:t>
      </w:r>
    </w:p>
    <w:p w14:paraId="33390D1C" w14:textId="77777777" w:rsidR="004F2D57" w:rsidRPr="004F2D57" w:rsidRDefault="004F2D57" w:rsidP="004F2D57">
      <w:r w:rsidRPr="004F2D57">
        <w:rPr>
          <w:b/>
          <w:bCs/>
        </w:rPr>
        <w:t>Research Summary (≈150 words)</w:t>
      </w:r>
      <w:r w:rsidRPr="004F2D57">
        <w:t> </w:t>
      </w:r>
    </w:p>
    <w:p w14:paraId="2EB8B820" w14:textId="77777777" w:rsidR="004F2D57" w:rsidRPr="004F2D57" w:rsidRDefault="004F2D57" w:rsidP="004F2D57">
      <w:r w:rsidRPr="004F2D57">
        <w:t xml:space="preserve"> The electron transport chain (ETC) and oxidative phosphorylation (OXPHOS) constitute the final steps of aerobic ATP synthesis, coupling electron flow from NADH and FADH₂ through complexes I–IV to proton pumping and ATP generation via ATP synthase. Specific inhibitors—such as rotenone, antimycin A, and cyanide—bind defined ETC components, blocking electron transfer and halting ATP synthesis, often with lethal cellular </w:t>
      </w:r>
      <w:proofErr w:type="gramStart"/>
      <w:r w:rsidRPr="004F2D57">
        <w:t>consequences .</w:t>
      </w:r>
      <w:proofErr w:type="gramEnd"/>
      <w:r w:rsidRPr="004F2D57">
        <w:t xml:space="preserve"> In contrast, uncouplers (e.g., 2,4-dinitrophenol, FCCP, UCP1) collapse the proton gradient by transporting protons back into the matrix, permitting electron flow and oxygen consumption but dissipating energy as heat rather than </w:t>
      </w:r>
      <w:proofErr w:type="gramStart"/>
      <w:r w:rsidRPr="004F2D57">
        <w:t>ATP .</w:t>
      </w:r>
      <w:proofErr w:type="gramEnd"/>
      <w:r w:rsidRPr="004F2D57">
        <w:t xml:space="preserve"> These agents have elucidated mitochondrial bioenergetics and underlie physiological processes such as non-shivering thermogenesis in brown adipose tissue and pathological states including hyperthermia from DNP misuse. Understanding the mechanisms, specific binding sites, and clinical or toxicological implications of ETC inhibitors and uncouplers is critical for pharmacological research, toxicology, and metabolic disease management. </w:t>
      </w:r>
    </w:p>
    <w:p w14:paraId="7F7C6C01" w14:textId="77777777" w:rsidR="004F2D57" w:rsidRPr="004F2D57" w:rsidRDefault="004F2D57" w:rsidP="004F2D57">
      <w:r w:rsidRPr="004F2D57">
        <w:t> </w:t>
      </w:r>
    </w:p>
    <w:p w14:paraId="63484E09" w14:textId="77777777" w:rsidR="004F2D57" w:rsidRPr="004F2D57" w:rsidRDefault="004F2D57" w:rsidP="004F2D57">
      <w:r w:rsidRPr="004F2D57">
        <w:t> </w:t>
      </w:r>
    </w:p>
    <w:p w14:paraId="67E689DB" w14:textId="77777777" w:rsidR="004F2D57" w:rsidRPr="004F2D57" w:rsidRDefault="004F2D57" w:rsidP="004F2D57">
      <w:r w:rsidRPr="004F2D57">
        <w:rPr>
          <w:b/>
          <w:bCs/>
        </w:rPr>
        <w:t>Section 1 – Introduction</w:t>
      </w:r>
      <w:r w:rsidRPr="004F2D57">
        <w:t> </w:t>
      </w:r>
    </w:p>
    <w:p w14:paraId="1243878E" w14:textId="77777777" w:rsidR="004F2D57" w:rsidRPr="004F2D57" w:rsidRDefault="004F2D57" w:rsidP="004F2D57">
      <w:r w:rsidRPr="004F2D57">
        <w:t xml:space="preserve"> • Inhibitors of the electron transport chain are compounds that bind to specific complexes (I–IV) and prevent electron transfer, leading to accumulation of reduced intermediates and cessation of ATP </w:t>
      </w:r>
      <w:proofErr w:type="gramStart"/>
      <w:r w:rsidRPr="004F2D57">
        <w:t>synthesis .</w:t>
      </w:r>
      <w:proofErr w:type="gramEnd"/>
      <w:r w:rsidRPr="004F2D57">
        <w:t> </w:t>
      </w:r>
    </w:p>
    <w:p w14:paraId="43B402C4" w14:textId="77777777" w:rsidR="004F2D57" w:rsidRPr="004F2D57" w:rsidRDefault="004F2D57" w:rsidP="004F2D57">
      <w:r w:rsidRPr="004F2D57">
        <w:t xml:space="preserve"> • Uncouplers are agents that increase the permeability of the inner mitochondrial membrane to protons, collapsing the proton motive force and diverting energy from ATP synthesis to heat </w:t>
      </w:r>
      <w:proofErr w:type="gramStart"/>
      <w:r w:rsidRPr="004F2D57">
        <w:t>production .</w:t>
      </w:r>
      <w:proofErr w:type="gramEnd"/>
      <w:r w:rsidRPr="004F2D57">
        <w:t> </w:t>
      </w:r>
    </w:p>
    <w:p w14:paraId="6BDAEB2C" w14:textId="77777777" w:rsidR="004F2D57" w:rsidRPr="004F2D57" w:rsidRDefault="004F2D57" w:rsidP="004F2D57">
      <w:r w:rsidRPr="004F2D57">
        <w:t> • ETC inhibitors and uncouplers serve as invaluable research tools for dissecting bioenergetic pathways and for diagnosing mitochondrial function in clinical laboratories. </w:t>
      </w:r>
    </w:p>
    <w:p w14:paraId="487CEC3F" w14:textId="77777777" w:rsidR="004F2D57" w:rsidRPr="004F2D57" w:rsidRDefault="004F2D57" w:rsidP="004F2D57">
      <w:r w:rsidRPr="004F2D57">
        <w:t xml:space="preserve"> • ETC inhibition reduces oxygen consumption, whereas uncoupling typically increases oxygen utilization as electrons continue to flow despite halted ATP </w:t>
      </w:r>
      <w:proofErr w:type="gramStart"/>
      <w:r w:rsidRPr="004F2D57">
        <w:t>production .</w:t>
      </w:r>
      <w:proofErr w:type="gramEnd"/>
      <w:r w:rsidRPr="004F2D57">
        <w:t> </w:t>
      </w:r>
    </w:p>
    <w:p w14:paraId="7B801110" w14:textId="77777777" w:rsidR="004F2D57" w:rsidRPr="004F2D57" w:rsidRDefault="004F2D57" w:rsidP="004F2D57">
      <w:r w:rsidRPr="004F2D57">
        <w:lastRenderedPageBreak/>
        <w:t xml:space="preserve"> • Common ETC inhibitors include rotenone (Complex I), antimycin A (Complex III), and cyanide (Complex IV), each blocking at distinct redox </w:t>
      </w:r>
      <w:proofErr w:type="gramStart"/>
      <w:r w:rsidRPr="004F2D57">
        <w:t>centers .</w:t>
      </w:r>
      <w:proofErr w:type="gramEnd"/>
      <w:r w:rsidRPr="004F2D57">
        <w:t> </w:t>
      </w:r>
    </w:p>
    <w:p w14:paraId="7B1B8D64" w14:textId="77777777" w:rsidR="004F2D57" w:rsidRPr="004F2D57" w:rsidRDefault="004F2D57" w:rsidP="004F2D57">
      <w:r w:rsidRPr="004F2D57">
        <w:t xml:space="preserve"> • Representative uncouplers vary from synthetic agents like 2,4-dinitrophenol (DNP) and FCCP to physiological proteins such as UCP1 in brown adipose </w:t>
      </w:r>
      <w:proofErr w:type="gramStart"/>
      <w:r w:rsidRPr="004F2D57">
        <w:t>tissue .</w:t>
      </w:r>
      <w:proofErr w:type="gramEnd"/>
      <w:r w:rsidRPr="004F2D57">
        <w:t> </w:t>
      </w:r>
    </w:p>
    <w:p w14:paraId="6B0C3BD2" w14:textId="77777777" w:rsidR="004F2D57" w:rsidRPr="004F2D57" w:rsidRDefault="004F2D57" w:rsidP="004F2D57">
      <w:r w:rsidRPr="004F2D57">
        <w:t> • Clinically, ETC inhibitors underpin certain poisonings (e.g., cyanide, CO) and uncouplers inform therapeutic strategies for obesity and thermoregulation. </w:t>
      </w:r>
    </w:p>
    <w:p w14:paraId="4F5FE94A" w14:textId="77777777" w:rsidR="004F2D57" w:rsidRPr="004F2D57" w:rsidRDefault="004F2D57" w:rsidP="004F2D57">
      <w:r w:rsidRPr="004F2D57">
        <w:rPr>
          <w:b/>
          <w:bCs/>
        </w:rPr>
        <w:t>Section 2 – Why It Matters / Clinical Link</w:t>
      </w:r>
      <w:r w:rsidRPr="004F2D57">
        <w:t> </w:t>
      </w:r>
    </w:p>
    <w:p w14:paraId="2D859B6B" w14:textId="77777777" w:rsidR="004F2D57" w:rsidRPr="004F2D57" w:rsidRDefault="004F2D57" w:rsidP="004F2D57">
      <w:r w:rsidRPr="004F2D57">
        <w:t xml:space="preserve"> • Cyanide and carbon monoxide poisoning inhibit cytochrome oxidase (Complex IV), leading to histotoxic hypoxia and rapid cellular asphyxiation that demands immediate antidotal </w:t>
      </w:r>
      <w:proofErr w:type="gramStart"/>
      <w:r w:rsidRPr="004F2D57">
        <w:t>intervention .</w:t>
      </w:r>
      <w:proofErr w:type="gramEnd"/>
      <w:r w:rsidRPr="004F2D57">
        <w:t> </w:t>
      </w:r>
    </w:p>
    <w:p w14:paraId="79A8220C" w14:textId="77777777" w:rsidR="004F2D57" w:rsidRPr="004F2D57" w:rsidRDefault="004F2D57" w:rsidP="004F2D57">
      <w:r w:rsidRPr="004F2D57">
        <w:t xml:space="preserve"> • DNP overdose as a weight-loss agent causes uncontrolled proton leak, hyperthermia, tachycardia, and potentially fatal metabolic </w:t>
      </w:r>
      <w:proofErr w:type="gramStart"/>
      <w:r w:rsidRPr="004F2D57">
        <w:t>collapse .</w:t>
      </w:r>
      <w:proofErr w:type="gramEnd"/>
      <w:r w:rsidRPr="004F2D57">
        <w:t> </w:t>
      </w:r>
    </w:p>
    <w:p w14:paraId="422F1FD1" w14:textId="77777777" w:rsidR="004F2D57" w:rsidRPr="004F2D57" w:rsidRDefault="004F2D57" w:rsidP="004F2D57">
      <w:r w:rsidRPr="004F2D57">
        <w:t xml:space="preserve"> • Physiological uncoupling via UCP1 in brown adipose tissue enables non-shivering thermogenesis, critical for neonatal temperature regulation and adaptation to cold </w:t>
      </w:r>
      <w:proofErr w:type="gramStart"/>
      <w:r w:rsidRPr="004F2D57">
        <w:t>environments .</w:t>
      </w:r>
      <w:proofErr w:type="gramEnd"/>
      <w:r w:rsidRPr="004F2D57">
        <w:t> </w:t>
      </w:r>
    </w:p>
    <w:p w14:paraId="24E47FB3" w14:textId="77777777" w:rsidR="004F2D57" w:rsidRPr="004F2D57" w:rsidRDefault="004F2D57" w:rsidP="004F2D57">
      <w:r w:rsidRPr="004F2D57">
        <w:t xml:space="preserve"> • Certain ionophores (valinomycin, gramicidin) indirectly uncouple OXPHOS by dissipating K⁺ or cation gradients, illustrating the importance of membrane potential beyond proton </w:t>
      </w:r>
      <w:proofErr w:type="gramStart"/>
      <w:r w:rsidRPr="004F2D57">
        <w:t>flux .</w:t>
      </w:r>
      <w:proofErr w:type="gramEnd"/>
      <w:r w:rsidRPr="004F2D57">
        <w:t> </w:t>
      </w:r>
    </w:p>
    <w:p w14:paraId="6D03C9A5" w14:textId="77777777" w:rsidR="004F2D57" w:rsidRPr="004F2D57" w:rsidRDefault="004F2D57" w:rsidP="004F2D57">
      <w:r w:rsidRPr="004F2D57">
        <w:t xml:space="preserve"> • Agents like oligomycin selectively inhibit ATP synthase, distinguishing between direct ATPase blockade and upstream ETC inhibition in experimental </w:t>
      </w:r>
      <w:proofErr w:type="gramStart"/>
      <w:r w:rsidRPr="004F2D57">
        <w:t>settings .</w:t>
      </w:r>
      <w:proofErr w:type="gramEnd"/>
      <w:r w:rsidRPr="004F2D57">
        <w:t> </w:t>
      </w:r>
    </w:p>
    <w:p w14:paraId="455BB40E" w14:textId="77777777" w:rsidR="004F2D57" w:rsidRPr="004F2D57" w:rsidRDefault="004F2D57" w:rsidP="004F2D57">
      <w:r w:rsidRPr="004F2D57">
        <w:t> • Understanding these mechanisms informs treatment of mitochondrial diseases and guides the design of novel chemotherapeutics targeting tumor bioenergetics. </w:t>
      </w:r>
    </w:p>
    <w:p w14:paraId="6A175353" w14:textId="77777777" w:rsidR="004F2D57" w:rsidRPr="004F2D57" w:rsidRDefault="004F2D57" w:rsidP="004F2D57">
      <w:r w:rsidRPr="004F2D57">
        <w:t> • Environmental toxins and pharmacologic agents inadvertently affecting mitochondrial coupling underscore the need for vigilance in drug development and toxicology. </w:t>
      </w:r>
    </w:p>
    <w:p w14:paraId="1BE499FB" w14:textId="77777777" w:rsidR="004F2D57" w:rsidRPr="004F2D57" w:rsidRDefault="004F2D57" w:rsidP="004F2D57">
      <w:r w:rsidRPr="004F2D57">
        <w:rPr>
          <w:b/>
          <w:bCs/>
        </w:rPr>
        <w:t>Section 3 – Learning Outcomes</w:t>
      </w:r>
      <w:r w:rsidRPr="004F2D57">
        <w:t> </w:t>
      </w:r>
    </w:p>
    <w:p w14:paraId="2BF3EB35" w14:textId="77777777" w:rsidR="004F2D57" w:rsidRPr="004F2D57" w:rsidRDefault="004F2D57" w:rsidP="004F2D57">
      <w:r w:rsidRPr="004F2D57">
        <w:t> By the end of this topic, students will be able to: </w:t>
      </w:r>
    </w:p>
    <w:p w14:paraId="47930C7F" w14:textId="77777777" w:rsidR="004F2D57" w:rsidRPr="004F2D57" w:rsidRDefault="004F2D57" w:rsidP="004F2D57">
      <w:pPr>
        <w:numPr>
          <w:ilvl w:val="0"/>
          <w:numId w:val="1"/>
        </w:numPr>
      </w:pPr>
      <w:r w:rsidRPr="004F2D57">
        <w:t>Identify major ETC inhibitors and their specific binding sites on complexes I–IV. </w:t>
      </w:r>
    </w:p>
    <w:p w14:paraId="6F533F79" w14:textId="77777777" w:rsidR="004F2D57" w:rsidRPr="004F2D57" w:rsidRDefault="004F2D57" w:rsidP="004F2D57">
      <w:pPr>
        <w:numPr>
          <w:ilvl w:val="0"/>
          <w:numId w:val="1"/>
        </w:numPr>
      </w:pPr>
      <w:r w:rsidRPr="004F2D57">
        <w:t>Describe the biochemical mechanism by which uncouplers dissipate the proton gradient and divert energy to heat. </w:t>
      </w:r>
    </w:p>
    <w:p w14:paraId="67B6EEE7" w14:textId="77777777" w:rsidR="004F2D57" w:rsidRPr="004F2D57" w:rsidRDefault="004F2D57" w:rsidP="004F2D57">
      <w:pPr>
        <w:numPr>
          <w:ilvl w:val="0"/>
          <w:numId w:val="1"/>
        </w:numPr>
      </w:pPr>
      <w:r w:rsidRPr="004F2D57">
        <w:t>Differentiate between ETC inhibition and uncoupling in terms of oxygen consumption, ATP synthesis, and membrane potential. </w:t>
      </w:r>
    </w:p>
    <w:p w14:paraId="6FF80E20" w14:textId="77777777" w:rsidR="004F2D57" w:rsidRPr="004F2D57" w:rsidRDefault="004F2D57" w:rsidP="004F2D57">
      <w:pPr>
        <w:numPr>
          <w:ilvl w:val="0"/>
          <w:numId w:val="1"/>
        </w:numPr>
      </w:pPr>
      <w:r w:rsidRPr="004F2D57">
        <w:lastRenderedPageBreak/>
        <w:t>Explain the physiological role of UCP1-mediated uncoupling in brown adipose tissue and thermoregulation. </w:t>
      </w:r>
    </w:p>
    <w:p w14:paraId="1A42C548" w14:textId="77777777" w:rsidR="004F2D57" w:rsidRPr="004F2D57" w:rsidRDefault="004F2D57" w:rsidP="004F2D57">
      <w:pPr>
        <w:numPr>
          <w:ilvl w:val="0"/>
          <w:numId w:val="1"/>
        </w:numPr>
      </w:pPr>
      <w:r w:rsidRPr="004F2D57">
        <w:t>Correlate clinical presentations of cyanide, CO, and DNP poisoning with underlying mitochondrial dysfunction. </w:t>
      </w:r>
    </w:p>
    <w:p w14:paraId="0E97251D" w14:textId="77777777" w:rsidR="004F2D57" w:rsidRPr="004F2D57" w:rsidRDefault="004F2D57" w:rsidP="004F2D57">
      <w:pPr>
        <w:numPr>
          <w:ilvl w:val="0"/>
          <w:numId w:val="1"/>
        </w:numPr>
      </w:pPr>
      <w:r w:rsidRPr="004F2D57">
        <w:t>Design laboratory assays to assess mitochondrial coupling state using polarography and fluorometric dyes. </w:t>
      </w:r>
    </w:p>
    <w:p w14:paraId="577787B9" w14:textId="77777777" w:rsidR="004F2D57" w:rsidRPr="004F2D57" w:rsidRDefault="004F2D57" w:rsidP="004F2D57">
      <w:pPr>
        <w:numPr>
          <w:ilvl w:val="0"/>
          <w:numId w:val="1"/>
        </w:numPr>
      </w:pPr>
      <w:r w:rsidRPr="004F2D57">
        <w:t>Evaluate the potential therapeutic and toxicological implications of modulating mitochondrial coupling in disease states. </w:t>
      </w:r>
    </w:p>
    <w:p w14:paraId="1F9EBB45" w14:textId="77777777" w:rsidR="004F2D57" w:rsidRPr="004F2D57" w:rsidRDefault="004F2D57" w:rsidP="004F2D57">
      <w:pPr>
        <w:numPr>
          <w:ilvl w:val="0"/>
          <w:numId w:val="1"/>
        </w:numPr>
      </w:pPr>
      <w:r w:rsidRPr="004F2D57">
        <w:t>Propose strategies for mitigating adverse effects of ETC inhibitors and uncouplers in clinical practice. </w:t>
      </w:r>
    </w:p>
    <w:p w14:paraId="27831199" w14:textId="77777777" w:rsidR="004F2D57" w:rsidRPr="004F2D57" w:rsidRDefault="004F2D57" w:rsidP="004F2D57">
      <w:r w:rsidRPr="004F2D57">
        <w:rPr>
          <w:b/>
          <w:bCs/>
        </w:rPr>
        <w:t>Section 4 – Concept Map / Key Diagram</w:t>
      </w:r>
      <w:r w:rsidRPr="004F2D57">
        <w:t> </w:t>
      </w:r>
    </w:p>
    <w:p w14:paraId="6A46D1A7" w14:textId="60120883" w:rsidR="004F2D57" w:rsidRPr="004F2D57" w:rsidRDefault="004F2D57" w:rsidP="004F2D57">
      <w:r w:rsidRPr="004F2D57">
        <w:t>Schematic of the mitochondrial inner membrane showing complexes I–IV, ATP synthase, sites of inhibitor binding (rotenone, antimycin A, cyanide), proton gradient, and protonophore uncoupling by DNP and UCP1.</w:t>
      </w:r>
    </w:p>
    <w:p w14:paraId="39E5E0EA" w14:textId="77777777" w:rsidR="004F2D57" w:rsidRPr="004F2D57" w:rsidRDefault="004F2D57" w:rsidP="004F2D57">
      <w:r w:rsidRPr="004F2D57">
        <w:rPr>
          <w:b/>
          <w:bCs/>
        </w:rPr>
        <w:t>Section 5 – Core Theory &amp; Key Concepts (≥800 words)</w:t>
      </w:r>
      <w:r w:rsidRPr="004F2D57">
        <w:t> </w:t>
      </w:r>
    </w:p>
    <w:p w14:paraId="42F24467" w14:textId="77777777" w:rsidR="004F2D57" w:rsidRPr="004F2D57" w:rsidRDefault="004F2D57" w:rsidP="004F2D57">
      <w:r w:rsidRPr="004F2D57">
        <w:t xml:space="preserve"> Mitochondrial oxidative phosphorylation </w:t>
      </w:r>
      <w:proofErr w:type="gramStart"/>
      <w:r w:rsidRPr="004F2D57">
        <w:t>couples</w:t>
      </w:r>
      <w:proofErr w:type="gramEnd"/>
      <w:r w:rsidRPr="004F2D57">
        <w:t xml:space="preserve"> electron transfer through the ETC to proton pumping across the inner membrane, establishing an electrochemical gradient (</w:t>
      </w:r>
      <w:proofErr w:type="spellStart"/>
      <w:r w:rsidRPr="004F2D57">
        <w:t>Δψm</w:t>
      </w:r>
      <w:proofErr w:type="spellEnd"/>
      <w:r w:rsidRPr="004F2D57">
        <w:t>) that drives ATP synthesis via FO–F1 ATP synthase. Complex I (</w:t>
      </w:r>
      <w:proofErr w:type="spellStart"/>
      <w:proofErr w:type="gramStart"/>
      <w:r w:rsidRPr="004F2D57">
        <w:t>NADH:ubiquinone</w:t>
      </w:r>
      <w:proofErr w:type="spellEnd"/>
      <w:proofErr w:type="gramEnd"/>
      <w:r w:rsidRPr="004F2D57">
        <w:t> oxidoreductase) oxidizes NADH, transferring electrons to FMN and a series of iron-sulfur clusters before reducing ubiquinone to ubiquinol. Complex II (succinate dehydrogenase) feeds electrons from FADH₂ directly into ubiquinone without proton translocation. Ubiquinol shuttles electrons to Complex III (cytochrome </w:t>
      </w:r>
      <w:proofErr w:type="spellStart"/>
      <w:r w:rsidRPr="004F2D57">
        <w:t>bc</w:t>
      </w:r>
      <w:proofErr w:type="spellEnd"/>
      <w:r w:rsidRPr="004F2D57">
        <w:t>₁), where the Q-cycle pumps additional protons. Electrons proceed to cytochrome c and then to Complex IV (cytochrome c oxidase), which catalyzes four-electron reduction of O₂ to water, concomitant with proton pumping. </w:t>
      </w:r>
    </w:p>
    <w:p w14:paraId="633703A0" w14:textId="77777777" w:rsidR="004F2D57" w:rsidRPr="004F2D57" w:rsidRDefault="004F2D57" w:rsidP="004F2D57">
      <w:r w:rsidRPr="004F2D57">
        <w:rPr>
          <w:b/>
          <w:bCs/>
        </w:rPr>
        <w:t>Inhibitors of Complex I</w:t>
      </w:r>
      <w:r w:rsidRPr="004F2D57">
        <w:t> </w:t>
      </w:r>
    </w:p>
    <w:p w14:paraId="5092F3A8" w14:textId="77777777" w:rsidR="004F2D57" w:rsidRPr="004F2D57" w:rsidRDefault="004F2D57" w:rsidP="004F2D57">
      <w:r w:rsidRPr="004F2D57">
        <w:t xml:space="preserve"> Rotenone, amytal, and pyrimidine A bind to the ubiquinone-binding site of Complex I, blocking electron flow from iron-sulfur centers to ubiquinone. This causes NADH to accumulate, inhibits proton pumping, and decreases oxygen consumption. Rotenone, a natural insecticide, has been pivotal in delineating Complex I </w:t>
      </w:r>
      <w:proofErr w:type="gramStart"/>
      <w:r w:rsidRPr="004F2D57">
        <w:t>function .</w:t>
      </w:r>
      <w:proofErr w:type="gramEnd"/>
      <w:r w:rsidRPr="004F2D57">
        <w:t> </w:t>
      </w:r>
    </w:p>
    <w:p w14:paraId="309A4867" w14:textId="77777777" w:rsidR="004F2D57" w:rsidRPr="004F2D57" w:rsidRDefault="004F2D57" w:rsidP="004F2D57">
      <w:r w:rsidRPr="004F2D57">
        <w:rPr>
          <w:b/>
          <w:bCs/>
        </w:rPr>
        <w:t>Inhibitors of Complex III</w:t>
      </w:r>
      <w:r w:rsidRPr="004F2D57">
        <w:t> </w:t>
      </w:r>
    </w:p>
    <w:p w14:paraId="29D85F20" w14:textId="77777777" w:rsidR="004F2D57" w:rsidRPr="004F2D57" w:rsidRDefault="004F2D57" w:rsidP="004F2D57">
      <w:r w:rsidRPr="004F2D57">
        <w:t xml:space="preserve"> Antimycin A and British Anti-Lewisite (BAL) block electron transfer within Complex III by binding to the Qi site on cytochrome b, preventing reoxidation of ubiquinol. The resultant accumulation </w:t>
      </w:r>
      <w:r w:rsidRPr="004F2D57">
        <w:lastRenderedPageBreak/>
        <w:t xml:space="preserve">of reduced upstream carriers leads to reactive oxygen species formation under certain </w:t>
      </w:r>
      <w:proofErr w:type="gramStart"/>
      <w:r w:rsidRPr="004F2D57">
        <w:t>conditions .</w:t>
      </w:r>
      <w:proofErr w:type="gramEnd"/>
      <w:r w:rsidRPr="004F2D57">
        <w:t> </w:t>
      </w:r>
    </w:p>
    <w:p w14:paraId="6CC621F1" w14:textId="77777777" w:rsidR="004F2D57" w:rsidRPr="004F2D57" w:rsidRDefault="004F2D57" w:rsidP="004F2D57">
      <w:r w:rsidRPr="004F2D57">
        <w:rPr>
          <w:b/>
          <w:bCs/>
        </w:rPr>
        <w:t>Inhibitors of Complex IV</w:t>
      </w:r>
      <w:r w:rsidRPr="004F2D57">
        <w:t> </w:t>
      </w:r>
    </w:p>
    <w:p w14:paraId="08111A28" w14:textId="77777777" w:rsidR="004F2D57" w:rsidRPr="004F2D57" w:rsidRDefault="004F2D57" w:rsidP="004F2D57">
      <w:r w:rsidRPr="004F2D57">
        <w:t> Cyanide, </w:t>
      </w:r>
      <w:proofErr w:type="spellStart"/>
      <w:r w:rsidRPr="004F2D57">
        <w:t>azide</w:t>
      </w:r>
      <w:proofErr w:type="spellEnd"/>
      <w:r w:rsidRPr="004F2D57">
        <w:t xml:space="preserve">, and hydrogen sulfide inhibit cytochrome c oxidase by binding to the ferric (Fe³⁺) form of heme a₃, while carbon monoxide binds selectively to the ferrous (Fe²⁺) form. These inhibitors arrest the final electron transfer to oxygen, halting proton pumping and causing rapid cellular hypoxia even in the presence of adequate </w:t>
      </w:r>
      <w:proofErr w:type="gramStart"/>
      <w:r w:rsidRPr="004F2D57">
        <w:t>oxygen .</w:t>
      </w:r>
      <w:proofErr w:type="gramEnd"/>
      <w:r w:rsidRPr="004F2D57">
        <w:t> </w:t>
      </w:r>
    </w:p>
    <w:p w14:paraId="132530E6" w14:textId="77777777" w:rsidR="004F2D57" w:rsidRPr="004F2D57" w:rsidRDefault="004F2D57" w:rsidP="004F2D57">
      <w:r w:rsidRPr="004F2D57">
        <w:rPr>
          <w:b/>
          <w:bCs/>
        </w:rPr>
        <w:t>Inhibitors of ATP Synthase</w:t>
      </w:r>
      <w:r w:rsidRPr="004F2D57">
        <w:t> </w:t>
      </w:r>
    </w:p>
    <w:p w14:paraId="14D19C28" w14:textId="77777777" w:rsidR="004F2D57" w:rsidRPr="004F2D57" w:rsidRDefault="004F2D57" w:rsidP="004F2D57">
      <w:r w:rsidRPr="004F2D57">
        <w:t xml:space="preserve"> Oligomycin binds to the FO subunit of ATP synthase, blocking proton translocation through the channel, thereby preventing ATP formation despite intact electron flow until back-pressure halts the </w:t>
      </w:r>
      <w:proofErr w:type="gramStart"/>
      <w:r w:rsidRPr="004F2D57">
        <w:t>chain .</w:t>
      </w:r>
      <w:proofErr w:type="gramEnd"/>
      <w:r w:rsidRPr="004F2D57">
        <w:t> </w:t>
      </w:r>
    </w:p>
    <w:p w14:paraId="486071A3" w14:textId="77777777" w:rsidR="004F2D57" w:rsidRPr="004F2D57" w:rsidRDefault="004F2D57" w:rsidP="004F2D57">
      <w:r w:rsidRPr="004F2D57">
        <w:rPr>
          <w:b/>
          <w:bCs/>
        </w:rPr>
        <w:t>Mechanisms of Uncoupling</w:t>
      </w:r>
      <w:r w:rsidRPr="004F2D57">
        <w:t> </w:t>
      </w:r>
    </w:p>
    <w:p w14:paraId="36F46284" w14:textId="77777777" w:rsidR="004F2D57" w:rsidRPr="004F2D57" w:rsidRDefault="004F2D57" w:rsidP="004F2D57">
      <w:r w:rsidRPr="004F2D57">
        <w:t> Uncouplers—lipophilic weak acids such as 2,4-dinitrophenol (DNP), FCCP, and pentachlorophenol—carry protons across the inner membrane independent of ATP synthase. At low pH in the intermembrane space, they become protonated, diffuse into the matrix, release protons, and return in deprotonated form, collapsing </w:t>
      </w:r>
      <w:proofErr w:type="spellStart"/>
      <w:r w:rsidRPr="004F2D57">
        <w:t>Δψm</w:t>
      </w:r>
      <w:proofErr w:type="spellEnd"/>
      <w:r w:rsidRPr="004F2D57">
        <w:t> and </w:t>
      </w:r>
      <w:proofErr w:type="spellStart"/>
      <w:r w:rsidRPr="004F2D57">
        <w:t>ΔpH</w:t>
      </w:r>
      <w:proofErr w:type="spellEnd"/>
      <w:r w:rsidRPr="004F2D57">
        <w:t xml:space="preserve">. Consequently, electron flow and oxygen consumption accelerate, but ATP synthesis ceases, and energy is released as </w:t>
      </w:r>
      <w:proofErr w:type="gramStart"/>
      <w:r w:rsidRPr="004F2D57">
        <w:t>heat .</w:t>
      </w:r>
      <w:proofErr w:type="gramEnd"/>
      <w:r w:rsidRPr="004F2D57">
        <w:t> </w:t>
      </w:r>
    </w:p>
    <w:p w14:paraId="587435CC" w14:textId="77777777" w:rsidR="004F2D57" w:rsidRPr="004F2D57" w:rsidRDefault="004F2D57" w:rsidP="004F2D57">
      <w:r w:rsidRPr="004F2D57">
        <w:rPr>
          <w:b/>
          <w:bCs/>
        </w:rPr>
        <w:t>Physiological Uncoupling</w:t>
      </w:r>
      <w:r w:rsidRPr="004F2D57">
        <w:t> </w:t>
      </w:r>
    </w:p>
    <w:p w14:paraId="7D40B6C3" w14:textId="77777777" w:rsidR="004F2D57" w:rsidRPr="004F2D57" w:rsidRDefault="004F2D57" w:rsidP="004F2D57">
      <w:r w:rsidRPr="004F2D57">
        <w:t> Brown adipose tissue expresses UCP1 (</w:t>
      </w:r>
      <w:proofErr w:type="spellStart"/>
      <w:r w:rsidRPr="004F2D57">
        <w:t>thermogenin</w:t>
      </w:r>
      <w:proofErr w:type="spellEnd"/>
      <w:r w:rsidRPr="004F2D57">
        <w:t xml:space="preserve">), an inner-membrane protein forming a regulated proton channel. Activation by long-chain fatty acids and inhibition by purine nucleotides modulates proton leak, serving as a controlled thermogenic mechanism especially in neonates and hibernating </w:t>
      </w:r>
      <w:proofErr w:type="gramStart"/>
      <w:r w:rsidRPr="004F2D57">
        <w:t>mammals .</w:t>
      </w:r>
      <w:proofErr w:type="gramEnd"/>
      <w:r w:rsidRPr="004F2D57">
        <w:t> </w:t>
      </w:r>
    </w:p>
    <w:p w14:paraId="36B04702" w14:textId="77777777" w:rsidR="004F2D57" w:rsidRPr="004F2D57" w:rsidRDefault="004F2D57" w:rsidP="004F2D57">
      <w:r w:rsidRPr="004F2D57">
        <w:rPr>
          <w:b/>
          <w:bCs/>
        </w:rPr>
        <w:t>Ionophore-Mediated Uncoupling</w:t>
      </w:r>
      <w:r w:rsidRPr="004F2D57">
        <w:t> </w:t>
      </w:r>
    </w:p>
    <w:p w14:paraId="23A0EE6C" w14:textId="77777777" w:rsidR="004F2D57" w:rsidRPr="004F2D57" w:rsidRDefault="004F2D57" w:rsidP="004F2D57">
      <w:r w:rsidRPr="004F2D57">
        <w:t> Ionophores like valinomycin (K⁺ carrier) and gramicidin (channel former) disrupt ionic gradients, indirectly collapsing </w:t>
      </w:r>
      <w:proofErr w:type="spellStart"/>
      <w:r w:rsidRPr="004F2D57">
        <w:t>Δψm</w:t>
      </w:r>
      <w:proofErr w:type="spellEnd"/>
      <w:r w:rsidRPr="004F2D57">
        <w:t xml:space="preserve"> by allowing K⁺ influx and compensatory H⁺ movements, demonstrating membrane potential’s dependence on multiple ion </w:t>
      </w:r>
      <w:proofErr w:type="gramStart"/>
      <w:r w:rsidRPr="004F2D57">
        <w:t>species .</w:t>
      </w:r>
      <w:proofErr w:type="gramEnd"/>
      <w:r w:rsidRPr="004F2D57">
        <w:t> </w:t>
      </w:r>
    </w:p>
    <w:p w14:paraId="6FE75EC7" w14:textId="77777777" w:rsidR="004F2D57" w:rsidRPr="004F2D57" w:rsidRDefault="004F2D57" w:rsidP="004F2D57">
      <w:r w:rsidRPr="004F2D57">
        <w:rPr>
          <w:b/>
          <w:bCs/>
        </w:rPr>
        <w:t>Biochemical Consequences</w:t>
      </w:r>
      <w:r w:rsidRPr="004F2D57">
        <w:t> </w:t>
      </w:r>
    </w:p>
    <w:p w14:paraId="1A2BE551" w14:textId="77777777" w:rsidR="004F2D57" w:rsidRPr="004F2D57" w:rsidRDefault="004F2D57" w:rsidP="004F2D57">
      <w:r w:rsidRPr="004F2D57">
        <w:t xml:space="preserve"> ETC inhibition elevates NADH/NAD⁺ ratio, impairs TCA cycle flux, and diminishes cellular ATP, leading to metabolic arrest. Uncoupling maintains TCA and ETC activity but depletes ATP, potentially causing futile substrate cycling. Both effects manifest in decreased cell viability and have been exploited experimentally to parse mitochondrial </w:t>
      </w:r>
      <w:proofErr w:type="gramStart"/>
      <w:r w:rsidRPr="004F2D57">
        <w:t>function .</w:t>
      </w:r>
      <w:proofErr w:type="gramEnd"/>
      <w:r w:rsidRPr="004F2D57">
        <w:t> </w:t>
      </w:r>
    </w:p>
    <w:p w14:paraId="210912FE" w14:textId="77777777" w:rsidR="004F2D57" w:rsidRPr="004F2D57" w:rsidRDefault="004F2D57" w:rsidP="004F2D57">
      <w:r w:rsidRPr="004F2D57">
        <w:lastRenderedPageBreak/>
        <w:t> </w:t>
      </w:r>
    </w:p>
    <w:p w14:paraId="742A6772" w14:textId="77777777" w:rsidR="004F2D57" w:rsidRPr="004F2D57" w:rsidRDefault="004F2D57" w:rsidP="004F2D57">
      <w:r w:rsidRPr="004F2D57">
        <w:t> </w:t>
      </w:r>
    </w:p>
    <w:p w14:paraId="19CF8411" w14:textId="77777777" w:rsidR="004F2D57" w:rsidRPr="004F2D57" w:rsidRDefault="004F2D57" w:rsidP="004F2D57">
      <w:r w:rsidRPr="004F2D57">
        <w:rPr>
          <w:b/>
          <w:bCs/>
        </w:rPr>
        <w:t>Section 6 – Key Definitions &amp; Tables</w:t>
      </w:r>
      <w:r w:rsidRPr="004F2D57">
        <w:t> </w:t>
      </w:r>
    </w:p>
    <w:p w14:paraId="490A3932" w14:textId="77777777" w:rsidR="004F2D57" w:rsidRPr="004F2D57" w:rsidRDefault="004F2D57" w:rsidP="004F2D57">
      <w:r w:rsidRPr="004F2D57">
        <w:t> </w:t>
      </w:r>
      <w:r w:rsidRPr="004F2D57">
        <w:rPr>
          <w:i/>
          <w:iCs/>
        </w:rPr>
        <w:t>Definitions</w:t>
      </w:r>
      <w:r w:rsidRPr="004F2D57">
        <w:t> </w:t>
      </w:r>
    </w:p>
    <w:p w14:paraId="284115C5" w14:textId="77777777" w:rsidR="004F2D57" w:rsidRPr="004F2D57" w:rsidRDefault="004F2D57" w:rsidP="004F2D57">
      <w:pPr>
        <w:numPr>
          <w:ilvl w:val="0"/>
          <w:numId w:val="2"/>
        </w:numPr>
      </w:pPr>
      <w:r w:rsidRPr="004F2D57">
        <w:rPr>
          <w:b/>
          <w:bCs/>
        </w:rPr>
        <w:t>Electron Transport Chain (ETC):</w:t>
      </w:r>
      <w:r w:rsidRPr="004F2D57">
        <w:t> Series of protein complexes (I–IV) in the mitochondrial inner membrane that transfer electrons from NADH/FADH₂ to O₂. </w:t>
      </w:r>
    </w:p>
    <w:p w14:paraId="63ED01E7" w14:textId="77777777" w:rsidR="004F2D57" w:rsidRPr="004F2D57" w:rsidRDefault="004F2D57" w:rsidP="004F2D57">
      <w:pPr>
        <w:numPr>
          <w:ilvl w:val="0"/>
          <w:numId w:val="2"/>
        </w:numPr>
      </w:pPr>
      <w:r w:rsidRPr="004F2D57">
        <w:rPr>
          <w:b/>
          <w:bCs/>
        </w:rPr>
        <w:t>Oxidative Phosphorylation (OXPHOS):</w:t>
      </w:r>
      <w:r w:rsidRPr="004F2D57">
        <w:t> Process by which ATP synthase uses the proton motive force to phosphorylate ADP to ATP. </w:t>
      </w:r>
    </w:p>
    <w:p w14:paraId="166EE4DF" w14:textId="77777777" w:rsidR="004F2D57" w:rsidRPr="004F2D57" w:rsidRDefault="004F2D57" w:rsidP="004F2D57">
      <w:pPr>
        <w:numPr>
          <w:ilvl w:val="0"/>
          <w:numId w:val="2"/>
        </w:numPr>
      </w:pPr>
      <w:r w:rsidRPr="004F2D57">
        <w:rPr>
          <w:b/>
          <w:bCs/>
        </w:rPr>
        <w:t>Rotenone:</w:t>
      </w:r>
      <w:r w:rsidRPr="004F2D57">
        <w:t> A lipophilic inhibitor of Complex I that blocks electron transfer to ubiquinone. </w:t>
      </w:r>
    </w:p>
    <w:p w14:paraId="374EEC58" w14:textId="77777777" w:rsidR="004F2D57" w:rsidRPr="004F2D57" w:rsidRDefault="004F2D57" w:rsidP="004F2D57">
      <w:pPr>
        <w:numPr>
          <w:ilvl w:val="0"/>
          <w:numId w:val="2"/>
        </w:numPr>
      </w:pPr>
      <w:r w:rsidRPr="004F2D57">
        <w:rPr>
          <w:b/>
          <w:bCs/>
        </w:rPr>
        <w:t>Antimycin A:</w:t>
      </w:r>
      <w:r w:rsidRPr="004F2D57">
        <w:t> Antibiotic that inhibits Complex III at the Qi site, preventing ubiquinol oxidation. </w:t>
      </w:r>
    </w:p>
    <w:p w14:paraId="69CDC1AF" w14:textId="77777777" w:rsidR="004F2D57" w:rsidRPr="004F2D57" w:rsidRDefault="004F2D57" w:rsidP="004F2D57">
      <w:pPr>
        <w:numPr>
          <w:ilvl w:val="0"/>
          <w:numId w:val="2"/>
        </w:numPr>
      </w:pPr>
      <w:r w:rsidRPr="004F2D57">
        <w:rPr>
          <w:b/>
          <w:bCs/>
        </w:rPr>
        <w:t>Cyanide:</w:t>
      </w:r>
      <w:r w:rsidRPr="004F2D57">
        <w:t> Potent inhibitor of Complex IV that binds heme a₃, blocking O₂ reduction. </w:t>
      </w:r>
    </w:p>
    <w:p w14:paraId="158C4EFD" w14:textId="77777777" w:rsidR="004F2D57" w:rsidRPr="004F2D57" w:rsidRDefault="004F2D57" w:rsidP="004F2D57">
      <w:pPr>
        <w:numPr>
          <w:ilvl w:val="0"/>
          <w:numId w:val="2"/>
        </w:numPr>
      </w:pPr>
      <w:r w:rsidRPr="004F2D57">
        <w:rPr>
          <w:b/>
          <w:bCs/>
        </w:rPr>
        <w:t>Oligomycin:</w:t>
      </w:r>
      <w:r w:rsidRPr="004F2D57">
        <w:t> ATP synthase FO subunit inhibitor that blocks proton flow through the enzyme. </w:t>
      </w:r>
    </w:p>
    <w:p w14:paraId="42BEEF6A" w14:textId="77777777" w:rsidR="004F2D57" w:rsidRPr="004F2D57" w:rsidRDefault="004F2D57" w:rsidP="004F2D57">
      <w:pPr>
        <w:numPr>
          <w:ilvl w:val="0"/>
          <w:numId w:val="2"/>
        </w:numPr>
      </w:pPr>
      <w:r w:rsidRPr="004F2D57">
        <w:rPr>
          <w:b/>
          <w:bCs/>
        </w:rPr>
        <w:t>Uncoupler:</w:t>
      </w:r>
      <w:r w:rsidRPr="004F2D57">
        <w:t> Compound that dissipates the proton gradient by shuttling protons across the membrane, bypassing ATP synthase. </w:t>
      </w:r>
    </w:p>
    <w:p w14:paraId="31F3957E" w14:textId="77777777" w:rsidR="004F2D57" w:rsidRPr="004F2D57" w:rsidRDefault="004F2D57" w:rsidP="004F2D57">
      <w:pPr>
        <w:numPr>
          <w:ilvl w:val="0"/>
          <w:numId w:val="2"/>
        </w:numPr>
      </w:pPr>
      <w:r w:rsidRPr="004F2D57">
        <w:rPr>
          <w:b/>
          <w:bCs/>
        </w:rPr>
        <w:t>2,4-Dinitrophenol (DNP):</w:t>
      </w:r>
      <w:r w:rsidRPr="004F2D57">
        <w:t> Synthetic protonophore uncoupler that increases membrane proton conductance. </w:t>
      </w:r>
    </w:p>
    <w:p w14:paraId="68BAD066" w14:textId="77777777" w:rsidR="004F2D57" w:rsidRPr="004F2D57" w:rsidRDefault="004F2D57" w:rsidP="004F2D57">
      <w:pPr>
        <w:numPr>
          <w:ilvl w:val="0"/>
          <w:numId w:val="2"/>
        </w:numPr>
      </w:pPr>
      <w:r w:rsidRPr="004F2D57">
        <w:rPr>
          <w:b/>
          <w:bCs/>
        </w:rPr>
        <w:t>UCP1 (</w:t>
      </w:r>
      <w:proofErr w:type="spellStart"/>
      <w:r w:rsidRPr="004F2D57">
        <w:rPr>
          <w:b/>
          <w:bCs/>
        </w:rPr>
        <w:t>Thermogenin</w:t>
      </w:r>
      <w:proofErr w:type="spellEnd"/>
      <w:r w:rsidRPr="004F2D57">
        <w:rPr>
          <w:b/>
          <w:bCs/>
        </w:rPr>
        <w:t>):</w:t>
      </w:r>
      <w:r w:rsidRPr="004F2D57">
        <w:t> Mitochondrial protein in brown adipose tissue that mediates physiological uncoupling for heat production. </w:t>
      </w:r>
    </w:p>
    <w:p w14:paraId="61D9B9C9" w14:textId="77777777" w:rsidR="004F2D57" w:rsidRPr="004F2D57" w:rsidRDefault="004F2D57" w:rsidP="004F2D57">
      <w:pPr>
        <w:numPr>
          <w:ilvl w:val="0"/>
          <w:numId w:val="2"/>
        </w:numPr>
      </w:pPr>
      <w:r w:rsidRPr="004F2D57">
        <w:rPr>
          <w:b/>
          <w:bCs/>
        </w:rPr>
        <w:t>Ionophore:</w:t>
      </w:r>
      <w:r w:rsidRPr="004F2D57">
        <w:t> Lipophilic molecule (e.g., valinomycin) that transports specific ions across membranes, altering membrane potential. </w:t>
      </w:r>
    </w:p>
    <w:p w14:paraId="78B940F6" w14:textId="77777777" w:rsidR="004F2D57" w:rsidRPr="004F2D57" w:rsidRDefault="004F2D57" w:rsidP="004F2D57">
      <w:r w:rsidRPr="004F2D57">
        <w:rPr>
          <w:i/>
          <w:iCs/>
        </w:rPr>
        <w:t>Table 1 – Major ETC Inhibitors</w:t>
      </w:r>
      <w:r w:rsidRPr="004F2D57">
        <w:t>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2"/>
        <w:gridCol w:w="1565"/>
        <w:gridCol w:w="1825"/>
        <w:gridCol w:w="3140"/>
      </w:tblGrid>
      <w:tr w:rsidR="004F2D57" w:rsidRPr="004F2D57" w14:paraId="2D675D1B" w14:textId="77777777" w:rsidTr="004F2D57">
        <w:trPr>
          <w:tblHeader/>
          <w:tblCellSpacing w:w="15" w:type="dxa"/>
        </w:trPr>
        <w:tc>
          <w:tcPr>
            <w:tcW w:w="0" w:type="auto"/>
            <w:vAlign w:val="center"/>
            <w:hideMark/>
          </w:tcPr>
          <w:p w14:paraId="0AA746AF" w14:textId="77777777" w:rsidR="004F2D57" w:rsidRPr="004F2D57" w:rsidRDefault="004F2D57" w:rsidP="004F2D57">
            <w:pPr>
              <w:rPr>
                <w:b/>
                <w:bCs/>
              </w:rPr>
            </w:pPr>
            <w:r w:rsidRPr="004F2D57">
              <w:rPr>
                <w:b/>
                <w:bCs/>
              </w:rPr>
              <w:t>Complex</w:t>
            </w:r>
          </w:p>
        </w:tc>
        <w:tc>
          <w:tcPr>
            <w:tcW w:w="0" w:type="auto"/>
            <w:vAlign w:val="center"/>
            <w:hideMark/>
          </w:tcPr>
          <w:p w14:paraId="4E4F61CB" w14:textId="77777777" w:rsidR="004F2D57" w:rsidRPr="004F2D57" w:rsidRDefault="004F2D57" w:rsidP="004F2D57">
            <w:pPr>
              <w:rPr>
                <w:b/>
                <w:bCs/>
              </w:rPr>
            </w:pPr>
            <w:r w:rsidRPr="004F2D57">
              <w:rPr>
                <w:b/>
                <w:bCs/>
              </w:rPr>
              <w:t>Site</w:t>
            </w:r>
          </w:p>
        </w:tc>
        <w:tc>
          <w:tcPr>
            <w:tcW w:w="0" w:type="auto"/>
            <w:vAlign w:val="center"/>
            <w:hideMark/>
          </w:tcPr>
          <w:p w14:paraId="566787C1" w14:textId="77777777" w:rsidR="004F2D57" w:rsidRPr="004F2D57" w:rsidRDefault="004F2D57" w:rsidP="004F2D57">
            <w:pPr>
              <w:rPr>
                <w:b/>
                <w:bCs/>
              </w:rPr>
            </w:pPr>
            <w:r w:rsidRPr="004F2D57">
              <w:rPr>
                <w:b/>
                <w:bCs/>
              </w:rPr>
              <w:t>Inhibitor</w:t>
            </w:r>
          </w:p>
        </w:tc>
        <w:tc>
          <w:tcPr>
            <w:tcW w:w="0" w:type="auto"/>
            <w:vAlign w:val="center"/>
            <w:hideMark/>
          </w:tcPr>
          <w:p w14:paraId="5CCFDD3D" w14:textId="77777777" w:rsidR="004F2D57" w:rsidRPr="004F2D57" w:rsidRDefault="004F2D57" w:rsidP="004F2D57">
            <w:pPr>
              <w:rPr>
                <w:b/>
                <w:bCs/>
              </w:rPr>
            </w:pPr>
            <w:r w:rsidRPr="004F2D57">
              <w:rPr>
                <w:b/>
                <w:bCs/>
              </w:rPr>
              <w:t>Effect</w:t>
            </w:r>
          </w:p>
        </w:tc>
      </w:tr>
      <w:tr w:rsidR="004F2D57" w:rsidRPr="004F2D57" w14:paraId="6DF3C967" w14:textId="77777777" w:rsidTr="004F2D57">
        <w:trPr>
          <w:tblCellSpacing w:w="15" w:type="dxa"/>
        </w:trPr>
        <w:tc>
          <w:tcPr>
            <w:tcW w:w="0" w:type="auto"/>
            <w:vAlign w:val="center"/>
            <w:hideMark/>
          </w:tcPr>
          <w:p w14:paraId="716B9685" w14:textId="77777777" w:rsidR="004F2D57" w:rsidRPr="004F2D57" w:rsidRDefault="004F2D57" w:rsidP="004F2D57">
            <w:r w:rsidRPr="004F2D57">
              <w:rPr>
                <w:b/>
                <w:bCs/>
              </w:rPr>
              <w:t>I</w:t>
            </w:r>
          </w:p>
        </w:tc>
        <w:tc>
          <w:tcPr>
            <w:tcW w:w="0" w:type="auto"/>
            <w:vAlign w:val="center"/>
            <w:hideMark/>
          </w:tcPr>
          <w:p w14:paraId="477A519F" w14:textId="77777777" w:rsidR="004F2D57" w:rsidRPr="004F2D57" w:rsidRDefault="004F2D57" w:rsidP="004F2D57">
            <w:r w:rsidRPr="004F2D57">
              <w:t>Q-binding site</w:t>
            </w:r>
          </w:p>
        </w:tc>
        <w:tc>
          <w:tcPr>
            <w:tcW w:w="0" w:type="auto"/>
            <w:vAlign w:val="center"/>
            <w:hideMark/>
          </w:tcPr>
          <w:p w14:paraId="3A9A0A6B" w14:textId="77777777" w:rsidR="004F2D57" w:rsidRPr="004F2D57" w:rsidRDefault="004F2D57" w:rsidP="004F2D57">
            <w:r w:rsidRPr="004F2D57">
              <w:t>Rotenone, Amytal</w:t>
            </w:r>
          </w:p>
        </w:tc>
        <w:tc>
          <w:tcPr>
            <w:tcW w:w="0" w:type="auto"/>
            <w:vAlign w:val="center"/>
            <w:hideMark/>
          </w:tcPr>
          <w:p w14:paraId="428E738D" w14:textId="77777777" w:rsidR="004F2D57" w:rsidRPr="004F2D57" w:rsidRDefault="004F2D57" w:rsidP="004F2D57">
            <w:r w:rsidRPr="004F2D57">
              <w:t xml:space="preserve">Blocks </w:t>
            </w:r>
            <w:r w:rsidRPr="004F2D57">
              <w:rPr>
                <w:b/>
                <w:bCs/>
              </w:rPr>
              <w:t>NADH oxidation</w:t>
            </w:r>
          </w:p>
        </w:tc>
      </w:tr>
      <w:tr w:rsidR="004F2D57" w:rsidRPr="004F2D57" w14:paraId="5895BA63" w14:textId="77777777" w:rsidTr="004F2D57">
        <w:trPr>
          <w:tblCellSpacing w:w="15" w:type="dxa"/>
        </w:trPr>
        <w:tc>
          <w:tcPr>
            <w:tcW w:w="0" w:type="auto"/>
            <w:vAlign w:val="center"/>
            <w:hideMark/>
          </w:tcPr>
          <w:p w14:paraId="3C8264D0" w14:textId="77777777" w:rsidR="004F2D57" w:rsidRPr="004F2D57" w:rsidRDefault="004F2D57" w:rsidP="004F2D57">
            <w:r w:rsidRPr="004F2D57">
              <w:rPr>
                <w:b/>
                <w:bCs/>
              </w:rPr>
              <w:t>III</w:t>
            </w:r>
          </w:p>
        </w:tc>
        <w:tc>
          <w:tcPr>
            <w:tcW w:w="0" w:type="auto"/>
            <w:vAlign w:val="center"/>
            <w:hideMark/>
          </w:tcPr>
          <w:p w14:paraId="716244B8" w14:textId="77777777" w:rsidR="004F2D57" w:rsidRPr="004F2D57" w:rsidRDefault="004F2D57" w:rsidP="004F2D57">
            <w:r w:rsidRPr="004F2D57">
              <w:t>Qi-site</w:t>
            </w:r>
          </w:p>
        </w:tc>
        <w:tc>
          <w:tcPr>
            <w:tcW w:w="0" w:type="auto"/>
            <w:vAlign w:val="center"/>
            <w:hideMark/>
          </w:tcPr>
          <w:p w14:paraId="61F339C8" w14:textId="77777777" w:rsidR="004F2D57" w:rsidRPr="004F2D57" w:rsidRDefault="004F2D57" w:rsidP="004F2D57">
            <w:r w:rsidRPr="004F2D57">
              <w:t>Antimycin A</w:t>
            </w:r>
          </w:p>
        </w:tc>
        <w:tc>
          <w:tcPr>
            <w:tcW w:w="0" w:type="auto"/>
            <w:vAlign w:val="center"/>
            <w:hideMark/>
          </w:tcPr>
          <w:p w14:paraId="4AFCA012" w14:textId="77777777" w:rsidR="004F2D57" w:rsidRPr="004F2D57" w:rsidRDefault="004F2D57" w:rsidP="004F2D57">
            <w:r w:rsidRPr="004F2D57">
              <w:t xml:space="preserve">Prevents </w:t>
            </w:r>
            <w:r w:rsidRPr="004F2D57">
              <w:rPr>
                <w:b/>
                <w:bCs/>
              </w:rPr>
              <w:t>ubiquinol reoxidation</w:t>
            </w:r>
          </w:p>
        </w:tc>
      </w:tr>
      <w:tr w:rsidR="004F2D57" w:rsidRPr="004F2D57" w14:paraId="7B971E9A" w14:textId="77777777" w:rsidTr="004F2D57">
        <w:trPr>
          <w:tblCellSpacing w:w="15" w:type="dxa"/>
        </w:trPr>
        <w:tc>
          <w:tcPr>
            <w:tcW w:w="0" w:type="auto"/>
            <w:vAlign w:val="center"/>
            <w:hideMark/>
          </w:tcPr>
          <w:p w14:paraId="031C5EBB" w14:textId="77777777" w:rsidR="004F2D57" w:rsidRPr="004F2D57" w:rsidRDefault="004F2D57" w:rsidP="004F2D57">
            <w:r w:rsidRPr="004F2D57">
              <w:rPr>
                <w:b/>
                <w:bCs/>
              </w:rPr>
              <w:t>IV</w:t>
            </w:r>
          </w:p>
        </w:tc>
        <w:tc>
          <w:tcPr>
            <w:tcW w:w="0" w:type="auto"/>
            <w:vAlign w:val="center"/>
            <w:hideMark/>
          </w:tcPr>
          <w:p w14:paraId="726ADB96" w14:textId="77777777" w:rsidR="004F2D57" w:rsidRPr="004F2D57" w:rsidRDefault="004F2D57" w:rsidP="004F2D57">
            <w:r w:rsidRPr="004F2D57">
              <w:t>Heme a₃ (Fe³⁺)</w:t>
            </w:r>
          </w:p>
        </w:tc>
        <w:tc>
          <w:tcPr>
            <w:tcW w:w="0" w:type="auto"/>
            <w:vAlign w:val="center"/>
            <w:hideMark/>
          </w:tcPr>
          <w:p w14:paraId="0876F76B" w14:textId="77777777" w:rsidR="004F2D57" w:rsidRPr="004F2D57" w:rsidRDefault="004F2D57" w:rsidP="004F2D57">
            <w:r w:rsidRPr="004F2D57">
              <w:t xml:space="preserve">Cyanide, </w:t>
            </w:r>
            <w:proofErr w:type="spellStart"/>
            <w:r w:rsidRPr="004F2D57">
              <w:t>Azide</w:t>
            </w:r>
            <w:proofErr w:type="spellEnd"/>
          </w:p>
        </w:tc>
        <w:tc>
          <w:tcPr>
            <w:tcW w:w="0" w:type="auto"/>
            <w:vAlign w:val="center"/>
            <w:hideMark/>
          </w:tcPr>
          <w:p w14:paraId="56FE79E5" w14:textId="77777777" w:rsidR="004F2D57" w:rsidRPr="004F2D57" w:rsidRDefault="004F2D57" w:rsidP="004F2D57">
            <w:r w:rsidRPr="004F2D57">
              <w:t xml:space="preserve">Halts </w:t>
            </w:r>
            <w:r w:rsidRPr="004F2D57">
              <w:rPr>
                <w:b/>
                <w:bCs/>
              </w:rPr>
              <w:t>O₂ reduction</w:t>
            </w:r>
          </w:p>
        </w:tc>
      </w:tr>
      <w:tr w:rsidR="004F2D57" w:rsidRPr="004F2D57" w14:paraId="23363F49" w14:textId="77777777" w:rsidTr="004F2D57">
        <w:trPr>
          <w:tblCellSpacing w:w="15" w:type="dxa"/>
        </w:trPr>
        <w:tc>
          <w:tcPr>
            <w:tcW w:w="0" w:type="auto"/>
            <w:vAlign w:val="center"/>
            <w:hideMark/>
          </w:tcPr>
          <w:p w14:paraId="6F7E0708" w14:textId="77777777" w:rsidR="004F2D57" w:rsidRPr="004F2D57" w:rsidRDefault="004F2D57" w:rsidP="004F2D57">
            <w:r w:rsidRPr="004F2D57">
              <w:rPr>
                <w:b/>
                <w:bCs/>
              </w:rPr>
              <w:lastRenderedPageBreak/>
              <w:t>FO–F1</w:t>
            </w:r>
          </w:p>
        </w:tc>
        <w:tc>
          <w:tcPr>
            <w:tcW w:w="0" w:type="auto"/>
            <w:vAlign w:val="center"/>
            <w:hideMark/>
          </w:tcPr>
          <w:p w14:paraId="50E0BF4F" w14:textId="77777777" w:rsidR="004F2D57" w:rsidRPr="004F2D57" w:rsidRDefault="004F2D57" w:rsidP="004F2D57">
            <w:r w:rsidRPr="004F2D57">
              <w:t>Proton channel</w:t>
            </w:r>
          </w:p>
        </w:tc>
        <w:tc>
          <w:tcPr>
            <w:tcW w:w="0" w:type="auto"/>
            <w:vAlign w:val="center"/>
            <w:hideMark/>
          </w:tcPr>
          <w:p w14:paraId="591807D9" w14:textId="77777777" w:rsidR="004F2D57" w:rsidRPr="004F2D57" w:rsidRDefault="004F2D57" w:rsidP="004F2D57">
            <w:r w:rsidRPr="004F2D57">
              <w:t>Oligomycin</w:t>
            </w:r>
          </w:p>
        </w:tc>
        <w:tc>
          <w:tcPr>
            <w:tcW w:w="0" w:type="auto"/>
            <w:vAlign w:val="center"/>
            <w:hideMark/>
          </w:tcPr>
          <w:p w14:paraId="09F1FAFC" w14:textId="77777777" w:rsidR="004F2D57" w:rsidRPr="004F2D57" w:rsidRDefault="004F2D57" w:rsidP="004F2D57">
            <w:r w:rsidRPr="004F2D57">
              <w:t xml:space="preserve">Stops </w:t>
            </w:r>
            <w:r w:rsidRPr="004F2D57">
              <w:rPr>
                <w:b/>
                <w:bCs/>
              </w:rPr>
              <w:t>ATP synthesis</w:t>
            </w:r>
          </w:p>
        </w:tc>
      </w:tr>
    </w:tbl>
    <w:p w14:paraId="75FE219D" w14:textId="022E7709" w:rsidR="004F2D57" w:rsidRPr="004F2D57" w:rsidRDefault="004F2D57" w:rsidP="004F2D57">
      <w:r w:rsidRPr="004F2D57">
        <w:br/>
        <w:t>  </w:t>
      </w:r>
    </w:p>
    <w:p w14:paraId="56DFC083" w14:textId="77777777" w:rsidR="004F2D57" w:rsidRDefault="004F2D57" w:rsidP="004F2D57">
      <w:pPr>
        <w:rPr>
          <w:i/>
          <w:iCs/>
        </w:rPr>
      </w:pPr>
    </w:p>
    <w:p w14:paraId="6DD3658E" w14:textId="77777777" w:rsidR="004F2D57" w:rsidRDefault="004F2D57" w:rsidP="004F2D57">
      <w:pPr>
        <w:rPr>
          <w:i/>
          <w:iCs/>
        </w:rPr>
      </w:pPr>
    </w:p>
    <w:p w14:paraId="3141B6C2" w14:textId="77777777" w:rsidR="004F2D57" w:rsidRDefault="004F2D57" w:rsidP="004F2D57">
      <w:pPr>
        <w:rPr>
          <w:i/>
          <w:iCs/>
        </w:rPr>
      </w:pPr>
    </w:p>
    <w:p w14:paraId="315C74CE" w14:textId="61EBE1C9" w:rsidR="004F2D57" w:rsidRPr="004F2D57" w:rsidRDefault="004F2D57" w:rsidP="004F2D57">
      <w:r w:rsidRPr="004F2D57">
        <w:rPr>
          <w:i/>
          <w:iCs/>
        </w:rPr>
        <w:t>Table 2 – Common Uncouplers</w:t>
      </w:r>
      <w:r w:rsidRPr="004F2D57">
        <w:t>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1"/>
        <w:gridCol w:w="2422"/>
        <w:gridCol w:w="5547"/>
      </w:tblGrid>
      <w:tr w:rsidR="004F2D57" w:rsidRPr="004F2D57" w14:paraId="3F19E0C7" w14:textId="77777777" w:rsidTr="004F2D57">
        <w:trPr>
          <w:tblHeader/>
          <w:tblCellSpacing w:w="15" w:type="dxa"/>
        </w:trPr>
        <w:tc>
          <w:tcPr>
            <w:tcW w:w="0" w:type="auto"/>
            <w:vAlign w:val="center"/>
            <w:hideMark/>
          </w:tcPr>
          <w:p w14:paraId="7DA49C78" w14:textId="77777777" w:rsidR="004F2D57" w:rsidRPr="004F2D57" w:rsidRDefault="004F2D57" w:rsidP="004F2D57">
            <w:pPr>
              <w:rPr>
                <w:b/>
                <w:bCs/>
              </w:rPr>
            </w:pPr>
            <w:r w:rsidRPr="004F2D57">
              <w:rPr>
                <w:b/>
                <w:bCs/>
              </w:rPr>
              <w:t>Type</w:t>
            </w:r>
          </w:p>
        </w:tc>
        <w:tc>
          <w:tcPr>
            <w:tcW w:w="0" w:type="auto"/>
            <w:vAlign w:val="center"/>
            <w:hideMark/>
          </w:tcPr>
          <w:p w14:paraId="2F13B0B7" w14:textId="77777777" w:rsidR="004F2D57" w:rsidRPr="004F2D57" w:rsidRDefault="004F2D57" w:rsidP="004F2D57">
            <w:pPr>
              <w:rPr>
                <w:b/>
                <w:bCs/>
              </w:rPr>
            </w:pPr>
            <w:r w:rsidRPr="004F2D57">
              <w:rPr>
                <w:b/>
                <w:bCs/>
              </w:rPr>
              <w:t>Example</w:t>
            </w:r>
          </w:p>
        </w:tc>
        <w:tc>
          <w:tcPr>
            <w:tcW w:w="0" w:type="auto"/>
            <w:vAlign w:val="center"/>
            <w:hideMark/>
          </w:tcPr>
          <w:p w14:paraId="216F1F8B" w14:textId="77777777" w:rsidR="004F2D57" w:rsidRPr="004F2D57" w:rsidRDefault="004F2D57" w:rsidP="004F2D57">
            <w:pPr>
              <w:rPr>
                <w:b/>
                <w:bCs/>
              </w:rPr>
            </w:pPr>
            <w:r w:rsidRPr="004F2D57">
              <w:rPr>
                <w:b/>
                <w:bCs/>
              </w:rPr>
              <w:t>Mechanism</w:t>
            </w:r>
          </w:p>
        </w:tc>
      </w:tr>
      <w:tr w:rsidR="004F2D57" w:rsidRPr="004F2D57" w14:paraId="4182035C" w14:textId="77777777" w:rsidTr="004F2D57">
        <w:trPr>
          <w:tblCellSpacing w:w="15" w:type="dxa"/>
        </w:trPr>
        <w:tc>
          <w:tcPr>
            <w:tcW w:w="0" w:type="auto"/>
            <w:vAlign w:val="center"/>
            <w:hideMark/>
          </w:tcPr>
          <w:p w14:paraId="5ED0FE7E" w14:textId="77777777" w:rsidR="004F2D57" w:rsidRPr="004F2D57" w:rsidRDefault="004F2D57" w:rsidP="004F2D57">
            <w:r w:rsidRPr="004F2D57">
              <w:rPr>
                <w:b/>
                <w:bCs/>
              </w:rPr>
              <w:t>Synthetic</w:t>
            </w:r>
          </w:p>
        </w:tc>
        <w:tc>
          <w:tcPr>
            <w:tcW w:w="0" w:type="auto"/>
            <w:vAlign w:val="center"/>
            <w:hideMark/>
          </w:tcPr>
          <w:p w14:paraId="12C01D90" w14:textId="77777777" w:rsidR="004F2D57" w:rsidRPr="004F2D57" w:rsidRDefault="004F2D57" w:rsidP="004F2D57">
            <w:r w:rsidRPr="004F2D57">
              <w:t>2,4-Dinitrophenol (DNP)</w:t>
            </w:r>
          </w:p>
        </w:tc>
        <w:tc>
          <w:tcPr>
            <w:tcW w:w="0" w:type="auto"/>
            <w:vAlign w:val="center"/>
            <w:hideMark/>
          </w:tcPr>
          <w:p w14:paraId="6F3AE577" w14:textId="77777777" w:rsidR="004F2D57" w:rsidRPr="004F2D57" w:rsidRDefault="004F2D57" w:rsidP="004F2D57">
            <w:r w:rsidRPr="004F2D57">
              <w:t xml:space="preserve">Carries protons across membrane, collapsing </w:t>
            </w:r>
            <w:proofErr w:type="spellStart"/>
            <w:r w:rsidRPr="004F2D57">
              <w:t>Δp</w:t>
            </w:r>
            <w:proofErr w:type="spellEnd"/>
          </w:p>
        </w:tc>
      </w:tr>
      <w:tr w:rsidR="004F2D57" w:rsidRPr="004F2D57" w14:paraId="50485A98" w14:textId="77777777" w:rsidTr="004F2D57">
        <w:trPr>
          <w:tblCellSpacing w:w="15" w:type="dxa"/>
        </w:trPr>
        <w:tc>
          <w:tcPr>
            <w:tcW w:w="0" w:type="auto"/>
            <w:vAlign w:val="center"/>
            <w:hideMark/>
          </w:tcPr>
          <w:p w14:paraId="33C7C773" w14:textId="77777777" w:rsidR="004F2D57" w:rsidRPr="004F2D57" w:rsidRDefault="004F2D57" w:rsidP="004F2D57">
            <w:r w:rsidRPr="004F2D57">
              <w:rPr>
                <w:b/>
                <w:bCs/>
              </w:rPr>
              <w:t>Synthetic</w:t>
            </w:r>
          </w:p>
        </w:tc>
        <w:tc>
          <w:tcPr>
            <w:tcW w:w="0" w:type="auto"/>
            <w:vAlign w:val="center"/>
            <w:hideMark/>
          </w:tcPr>
          <w:p w14:paraId="123B5741" w14:textId="77777777" w:rsidR="004F2D57" w:rsidRPr="004F2D57" w:rsidRDefault="004F2D57" w:rsidP="004F2D57">
            <w:r w:rsidRPr="004F2D57">
              <w:t>FCCP</w:t>
            </w:r>
          </w:p>
        </w:tc>
        <w:tc>
          <w:tcPr>
            <w:tcW w:w="0" w:type="auto"/>
            <w:vAlign w:val="center"/>
            <w:hideMark/>
          </w:tcPr>
          <w:p w14:paraId="098F0F3D" w14:textId="77777777" w:rsidR="004F2D57" w:rsidRPr="004F2D57" w:rsidRDefault="004F2D57" w:rsidP="004F2D57">
            <w:r w:rsidRPr="004F2D57">
              <w:t>Protonophore shuttling protons</w:t>
            </w:r>
          </w:p>
        </w:tc>
      </w:tr>
      <w:tr w:rsidR="004F2D57" w:rsidRPr="004F2D57" w14:paraId="33141B5F" w14:textId="77777777" w:rsidTr="004F2D57">
        <w:trPr>
          <w:tblCellSpacing w:w="15" w:type="dxa"/>
        </w:trPr>
        <w:tc>
          <w:tcPr>
            <w:tcW w:w="0" w:type="auto"/>
            <w:vAlign w:val="center"/>
            <w:hideMark/>
          </w:tcPr>
          <w:p w14:paraId="02C86558" w14:textId="77777777" w:rsidR="004F2D57" w:rsidRPr="004F2D57" w:rsidRDefault="004F2D57" w:rsidP="004F2D57">
            <w:r w:rsidRPr="004F2D57">
              <w:rPr>
                <w:b/>
                <w:bCs/>
              </w:rPr>
              <w:t>Physiological</w:t>
            </w:r>
          </w:p>
        </w:tc>
        <w:tc>
          <w:tcPr>
            <w:tcW w:w="0" w:type="auto"/>
            <w:vAlign w:val="center"/>
            <w:hideMark/>
          </w:tcPr>
          <w:p w14:paraId="5CE49890" w14:textId="77777777" w:rsidR="004F2D57" w:rsidRPr="004F2D57" w:rsidRDefault="004F2D57" w:rsidP="004F2D57">
            <w:r w:rsidRPr="004F2D57">
              <w:t>UCP1 (</w:t>
            </w:r>
            <w:proofErr w:type="spellStart"/>
            <w:r w:rsidRPr="004F2D57">
              <w:t>Thermogenin</w:t>
            </w:r>
            <w:proofErr w:type="spellEnd"/>
            <w:r w:rsidRPr="004F2D57">
              <w:t>)</w:t>
            </w:r>
          </w:p>
        </w:tc>
        <w:tc>
          <w:tcPr>
            <w:tcW w:w="0" w:type="auto"/>
            <w:vAlign w:val="center"/>
            <w:hideMark/>
          </w:tcPr>
          <w:p w14:paraId="48BDC3FA" w14:textId="77777777" w:rsidR="004F2D57" w:rsidRPr="004F2D57" w:rsidRDefault="004F2D57" w:rsidP="004F2D57">
            <w:r w:rsidRPr="004F2D57">
              <w:t xml:space="preserve">Regulated proton channel in </w:t>
            </w:r>
            <w:r w:rsidRPr="004F2D57">
              <w:rPr>
                <w:b/>
                <w:bCs/>
              </w:rPr>
              <w:t>brown adipose tissue (BAT)</w:t>
            </w:r>
          </w:p>
        </w:tc>
      </w:tr>
      <w:tr w:rsidR="004F2D57" w:rsidRPr="004F2D57" w14:paraId="5253B628" w14:textId="77777777" w:rsidTr="004F2D57">
        <w:trPr>
          <w:tblCellSpacing w:w="15" w:type="dxa"/>
        </w:trPr>
        <w:tc>
          <w:tcPr>
            <w:tcW w:w="0" w:type="auto"/>
            <w:vAlign w:val="center"/>
            <w:hideMark/>
          </w:tcPr>
          <w:p w14:paraId="256AE547" w14:textId="77777777" w:rsidR="004F2D57" w:rsidRPr="004F2D57" w:rsidRDefault="004F2D57" w:rsidP="004F2D57">
            <w:r w:rsidRPr="004F2D57">
              <w:rPr>
                <w:b/>
                <w:bCs/>
              </w:rPr>
              <w:t>Natural</w:t>
            </w:r>
          </w:p>
        </w:tc>
        <w:tc>
          <w:tcPr>
            <w:tcW w:w="0" w:type="auto"/>
            <w:vAlign w:val="center"/>
            <w:hideMark/>
          </w:tcPr>
          <w:p w14:paraId="10EA9F80" w14:textId="77777777" w:rsidR="004F2D57" w:rsidRPr="004F2D57" w:rsidRDefault="004F2D57" w:rsidP="004F2D57">
            <w:r w:rsidRPr="004F2D57">
              <w:t>Free fatty acids</w:t>
            </w:r>
          </w:p>
        </w:tc>
        <w:tc>
          <w:tcPr>
            <w:tcW w:w="0" w:type="auto"/>
            <w:vAlign w:val="center"/>
            <w:hideMark/>
          </w:tcPr>
          <w:p w14:paraId="13F5A8A6" w14:textId="77777777" w:rsidR="004F2D57" w:rsidRPr="004F2D57" w:rsidRDefault="004F2D57" w:rsidP="004F2D57">
            <w:r w:rsidRPr="004F2D57">
              <w:t>Mild protonophore at high concentrations</w:t>
            </w:r>
          </w:p>
        </w:tc>
      </w:tr>
    </w:tbl>
    <w:p w14:paraId="02F6142B" w14:textId="77777777" w:rsidR="004F2D57" w:rsidRPr="004F2D57" w:rsidRDefault="004F2D57" w:rsidP="004F2D57">
      <w:r w:rsidRPr="004F2D57">
        <w:t> </w:t>
      </w:r>
    </w:p>
    <w:p w14:paraId="357058EA" w14:textId="77777777" w:rsidR="004F2D57" w:rsidRPr="004F2D57" w:rsidRDefault="004F2D57" w:rsidP="004F2D57">
      <w:r w:rsidRPr="004F2D57">
        <w:rPr>
          <w:b/>
          <w:bCs/>
        </w:rPr>
        <w:t>Section 7 – Mathematical Framework &amp; Derivations (≥400 words; math in backticks)</w:t>
      </w:r>
      <w:r w:rsidRPr="004F2D57">
        <w:t> </w:t>
      </w:r>
    </w:p>
    <w:p w14:paraId="320FD1B1" w14:textId="77777777" w:rsidR="004F2D57" w:rsidRPr="004F2D57" w:rsidRDefault="004F2D57" w:rsidP="004F2D57">
      <w:r w:rsidRPr="004F2D57">
        <w:t> The rate of proton leak through an uncoupler can be modeled analogously to facilitated diffusion. For an uncoupler U that shuttles protons, the proton flux, J_H⁺, is given by: </w:t>
      </w:r>
    </w:p>
    <w:p w14:paraId="23EC4520" w14:textId="77777777" w:rsidR="004F2D57" w:rsidRPr="004F2D57" w:rsidRDefault="004F2D57" w:rsidP="004F2D57">
      <w:r w:rsidRPr="004F2D57">
        <w:t>J_H⁺ = P_U * ([H</w:t>
      </w:r>
      <w:proofErr w:type="gramStart"/>
      <w:r w:rsidRPr="004F2D57">
        <w:t>⁺]_</w:t>
      </w:r>
      <w:proofErr w:type="gramEnd"/>
      <w:r w:rsidRPr="004F2D57">
        <w:t>intermembrane − [H</w:t>
      </w:r>
      <w:proofErr w:type="gramStart"/>
      <w:r w:rsidRPr="004F2D57">
        <w:t>⁺]_</w:t>
      </w:r>
      <w:proofErr w:type="gramEnd"/>
      <w:r w:rsidRPr="004F2D57">
        <w:t>matrix) </w:t>
      </w:r>
      <w:r w:rsidRPr="004F2D57">
        <w:br/>
        <w:t>  </w:t>
      </w:r>
    </w:p>
    <w:p w14:paraId="3A249D97" w14:textId="77777777" w:rsidR="004F2D57" w:rsidRPr="004F2D57" w:rsidRDefault="004F2D57" w:rsidP="004F2D57">
      <w:r w:rsidRPr="004F2D57">
        <w:t>where P_U is the permeability coefficient imparted by U, and [H⁺] denotes proton concentration. As uncoupler concentration increases, P_U rises, collapsing </w:t>
      </w:r>
      <w:proofErr w:type="spellStart"/>
      <w:r w:rsidRPr="004F2D57">
        <w:t>ΔpH</w:t>
      </w:r>
      <w:proofErr w:type="spellEnd"/>
      <w:r w:rsidRPr="004F2D57">
        <w:t> and </w:t>
      </w:r>
      <w:proofErr w:type="spellStart"/>
      <w:r w:rsidRPr="004F2D57">
        <w:t>Δψm</w:t>
      </w:r>
      <w:proofErr w:type="spellEnd"/>
      <w:r w:rsidRPr="004F2D57">
        <w:t>. </w:t>
      </w:r>
    </w:p>
    <w:p w14:paraId="29BE6FD7" w14:textId="77777777" w:rsidR="004F2D57" w:rsidRPr="004F2D57" w:rsidRDefault="004F2D57" w:rsidP="004F2D57">
      <w:r w:rsidRPr="004F2D57">
        <w:rPr>
          <w:b/>
          <w:bCs/>
        </w:rPr>
        <w:t>Michaelis–Menten Kinetics for Inhibitor Binding</w:t>
      </w:r>
      <w:r w:rsidRPr="004F2D57">
        <w:t> </w:t>
      </w:r>
    </w:p>
    <w:p w14:paraId="09D5579C" w14:textId="77777777" w:rsidR="004F2D57" w:rsidRPr="004F2D57" w:rsidRDefault="004F2D57" w:rsidP="004F2D57">
      <w:r w:rsidRPr="004F2D57">
        <w:t> Competitive inhibition of Complex I by rotenone follows: </w:t>
      </w:r>
    </w:p>
    <w:p w14:paraId="588EC09B" w14:textId="77777777" w:rsidR="004F2D57" w:rsidRPr="004F2D57" w:rsidRDefault="004F2D57" w:rsidP="004F2D57">
      <w:r w:rsidRPr="004F2D57">
        <w:t>v = (</w:t>
      </w:r>
      <w:proofErr w:type="spellStart"/>
      <w:r w:rsidRPr="004F2D57">
        <w:t>V_max</w:t>
      </w:r>
      <w:proofErr w:type="spellEnd"/>
      <w:r w:rsidRPr="004F2D57">
        <w:t> * [NADH]) / (</w:t>
      </w:r>
      <w:proofErr w:type="spellStart"/>
      <w:r w:rsidRPr="004F2D57">
        <w:t>K_m</w:t>
      </w:r>
      <w:proofErr w:type="spellEnd"/>
      <w:r w:rsidRPr="004F2D57">
        <w:t> * (1 + [Rot]/</w:t>
      </w:r>
      <w:proofErr w:type="spellStart"/>
      <w:r w:rsidRPr="004F2D57">
        <w:t>K_i</w:t>
      </w:r>
      <w:proofErr w:type="spellEnd"/>
      <w:r w:rsidRPr="004F2D57">
        <w:t>) + [NADH]) </w:t>
      </w:r>
      <w:r w:rsidRPr="004F2D57">
        <w:br/>
        <w:t>  </w:t>
      </w:r>
    </w:p>
    <w:p w14:paraId="777FD857" w14:textId="77777777" w:rsidR="004F2D57" w:rsidRPr="004F2D57" w:rsidRDefault="004F2D57" w:rsidP="004F2D57">
      <w:r w:rsidRPr="004F2D57">
        <w:lastRenderedPageBreak/>
        <w:t>where </w:t>
      </w:r>
      <w:proofErr w:type="spellStart"/>
      <w:r w:rsidRPr="004F2D57">
        <w:t>K_i</w:t>
      </w:r>
      <w:proofErr w:type="spellEnd"/>
      <w:r w:rsidRPr="004F2D57">
        <w:t> is the inhibitory constant of rotenone. A five-fold increase in [Rot] elevates the apparent </w:t>
      </w:r>
      <w:proofErr w:type="spellStart"/>
      <w:r w:rsidRPr="004F2D57">
        <w:t>K_m</w:t>
      </w:r>
      <w:proofErr w:type="spellEnd"/>
      <w:r w:rsidRPr="004F2D57">
        <w:t> for NADH by five-fold, reducing v at physiological [NADH]. </w:t>
      </w:r>
    </w:p>
    <w:p w14:paraId="7E9B803B" w14:textId="77777777" w:rsidR="004F2D57" w:rsidRPr="004F2D57" w:rsidRDefault="004F2D57" w:rsidP="004F2D57">
      <w:r w:rsidRPr="004F2D57">
        <w:rPr>
          <w:b/>
          <w:bCs/>
        </w:rPr>
        <w:t>Thermodynamic Driving Force</w:t>
      </w:r>
      <w:r w:rsidRPr="004F2D57">
        <w:t> </w:t>
      </w:r>
    </w:p>
    <w:p w14:paraId="2E9356BD" w14:textId="77777777" w:rsidR="004F2D57" w:rsidRPr="004F2D57" w:rsidRDefault="004F2D57" w:rsidP="004F2D57">
      <w:r w:rsidRPr="004F2D57">
        <w:t> The proton motive force (</w:t>
      </w:r>
      <w:proofErr w:type="spellStart"/>
      <w:r w:rsidRPr="004F2D57">
        <w:t>Δp</w:t>
      </w:r>
      <w:proofErr w:type="spellEnd"/>
      <w:r w:rsidRPr="004F2D57">
        <w:t>) is the sum of membrane potential (</w:t>
      </w:r>
      <w:proofErr w:type="spellStart"/>
      <w:r w:rsidRPr="004F2D57">
        <w:t>Δψ</w:t>
      </w:r>
      <w:proofErr w:type="spellEnd"/>
      <w:r w:rsidRPr="004F2D57">
        <w:t>) and pH gradient (</w:t>
      </w:r>
      <w:proofErr w:type="spellStart"/>
      <w:r w:rsidRPr="004F2D57">
        <w:t>ΔpH</w:t>
      </w:r>
      <w:proofErr w:type="spellEnd"/>
      <w:r w:rsidRPr="004F2D57">
        <w:t>): </w:t>
      </w:r>
    </w:p>
    <w:p w14:paraId="65735B83" w14:textId="77777777" w:rsidR="004F2D57" w:rsidRPr="004F2D57" w:rsidRDefault="004F2D57" w:rsidP="004F2D57">
      <w:proofErr w:type="spellStart"/>
      <w:r w:rsidRPr="004F2D57">
        <w:t>Δp</w:t>
      </w:r>
      <w:proofErr w:type="spellEnd"/>
      <w:r w:rsidRPr="004F2D57">
        <w:t> = </w:t>
      </w:r>
      <w:proofErr w:type="spellStart"/>
      <w:r w:rsidRPr="004F2D57">
        <w:t>Δψ</w:t>
      </w:r>
      <w:proofErr w:type="spellEnd"/>
      <w:r w:rsidRPr="004F2D57">
        <w:t> − (2.303 * R * T / F) * </w:t>
      </w:r>
      <w:proofErr w:type="spellStart"/>
      <w:r w:rsidRPr="004F2D57">
        <w:t>ΔpH</w:t>
      </w:r>
      <w:proofErr w:type="spellEnd"/>
      <w:r w:rsidRPr="004F2D57">
        <w:t> </w:t>
      </w:r>
      <w:r w:rsidRPr="004F2D57">
        <w:br/>
        <w:t>  </w:t>
      </w:r>
    </w:p>
    <w:p w14:paraId="158A9C0A" w14:textId="77777777" w:rsidR="004F2D57" w:rsidRPr="004F2D57" w:rsidRDefault="004F2D57" w:rsidP="004F2D57">
      <w:r w:rsidRPr="004F2D57">
        <w:t>where R is the gas constant, T temperature in Kelvin, and F Faraday’s constant. Uncouplers reduce </w:t>
      </w:r>
      <w:proofErr w:type="spellStart"/>
      <w:r w:rsidRPr="004F2D57">
        <w:t>Δp</w:t>
      </w:r>
      <w:proofErr w:type="spellEnd"/>
      <w:r w:rsidRPr="004F2D57">
        <w:t> by collapsing </w:t>
      </w:r>
      <w:proofErr w:type="spellStart"/>
      <w:r w:rsidRPr="004F2D57">
        <w:t>ΔpH</w:t>
      </w:r>
      <w:proofErr w:type="spellEnd"/>
      <w:r w:rsidRPr="004F2D57">
        <w:t> and partially depolarizing </w:t>
      </w:r>
      <w:proofErr w:type="spellStart"/>
      <w:r w:rsidRPr="004F2D57">
        <w:t>Δψ</w:t>
      </w:r>
      <w:proofErr w:type="spellEnd"/>
      <w:r w:rsidRPr="004F2D57">
        <w:t>. </w:t>
      </w:r>
    </w:p>
    <w:p w14:paraId="0190F13F" w14:textId="77777777" w:rsidR="004F2D57" w:rsidRPr="004F2D57" w:rsidRDefault="004F2D57" w:rsidP="004F2D57">
      <w:r w:rsidRPr="004F2D57">
        <w:rPr>
          <w:b/>
          <w:bCs/>
        </w:rPr>
        <w:t>Oxygen Uptake Rate</w:t>
      </w:r>
      <w:r w:rsidRPr="004F2D57">
        <w:t> </w:t>
      </w:r>
    </w:p>
    <w:p w14:paraId="3083A78C" w14:textId="77777777" w:rsidR="004F2D57" w:rsidRPr="004F2D57" w:rsidRDefault="004F2D57" w:rsidP="004F2D57">
      <w:r w:rsidRPr="004F2D57">
        <w:t> Under uncoupled conditions, the rate of oxygen consumption (V_O2) approximates the maximal electron transport capacity: </w:t>
      </w:r>
    </w:p>
    <w:p w14:paraId="45BF7F66" w14:textId="77777777" w:rsidR="004F2D57" w:rsidRPr="004F2D57" w:rsidRDefault="004F2D57" w:rsidP="004F2D57">
      <w:r w:rsidRPr="004F2D57">
        <w:t>V_O2 = </w:t>
      </w:r>
      <w:proofErr w:type="spellStart"/>
      <w:r w:rsidRPr="004F2D57">
        <w:t>k_ETC</w:t>
      </w:r>
      <w:proofErr w:type="spellEnd"/>
      <w:r w:rsidRPr="004F2D57">
        <w:t> * [Reduced carriers] </w:t>
      </w:r>
      <w:r w:rsidRPr="004F2D57">
        <w:br/>
        <w:t>  </w:t>
      </w:r>
    </w:p>
    <w:p w14:paraId="5E8753B7" w14:textId="77777777" w:rsidR="004F2D57" w:rsidRPr="004F2D57" w:rsidRDefault="004F2D57" w:rsidP="004F2D57">
      <w:r w:rsidRPr="004F2D57">
        <w:t>where </w:t>
      </w:r>
      <w:proofErr w:type="spellStart"/>
      <w:r w:rsidRPr="004F2D57">
        <w:t>k_ETC</w:t>
      </w:r>
      <w:proofErr w:type="spellEnd"/>
      <w:r w:rsidRPr="004F2D57">
        <w:t> is the catalytic turnover of the ETC when uninhibited by back-pressure. This increased V_O2 contrasts with ETC inhibition, where V_O2 tends toward zero. </w:t>
      </w:r>
    </w:p>
    <w:p w14:paraId="08A38BF8" w14:textId="77777777" w:rsidR="004F2D57" w:rsidRPr="004F2D57" w:rsidRDefault="004F2D57" w:rsidP="004F2D57">
      <w:r w:rsidRPr="004F2D57">
        <w:rPr>
          <w:b/>
          <w:bCs/>
        </w:rPr>
        <w:t>Proton Slip and H⁺/e⁻ Ratio</w:t>
      </w:r>
      <w:r w:rsidRPr="004F2D57">
        <w:t> </w:t>
      </w:r>
    </w:p>
    <w:p w14:paraId="053D5F92" w14:textId="77777777" w:rsidR="004F2D57" w:rsidRPr="004F2D57" w:rsidRDefault="004F2D57" w:rsidP="004F2D57">
      <w:r w:rsidRPr="004F2D57">
        <w:t> An uncoupler introduces a “proton slip,” reducing the H⁺/e⁻ stoichiometry. If n protons are required per ATP and m electrons pumped per NADH, the phosphorylation efficiency η is: </w:t>
      </w:r>
    </w:p>
    <w:p w14:paraId="1E88198A" w14:textId="77777777" w:rsidR="004F2D57" w:rsidRPr="004F2D57" w:rsidRDefault="004F2D57" w:rsidP="004F2D57">
      <w:r w:rsidRPr="004F2D57">
        <w:t>η = (</w:t>
      </w:r>
      <w:proofErr w:type="spellStart"/>
      <w:r w:rsidRPr="004F2D57">
        <w:t>n_protons</w:t>
      </w:r>
      <w:proofErr w:type="spellEnd"/>
      <w:r w:rsidRPr="004F2D57">
        <w:t> per ATP) / (</w:t>
      </w:r>
      <w:proofErr w:type="spellStart"/>
      <w:r w:rsidRPr="004F2D57">
        <w:t>m_protons</w:t>
      </w:r>
      <w:proofErr w:type="spellEnd"/>
      <w:r w:rsidRPr="004F2D57">
        <w:t> per NADH * H⁺/e⁻ leak) </w:t>
      </w:r>
      <w:r w:rsidRPr="004F2D57">
        <w:br/>
        <w:t>  </w:t>
      </w:r>
    </w:p>
    <w:p w14:paraId="66489122" w14:textId="77777777" w:rsidR="004F2D57" w:rsidRPr="004F2D57" w:rsidRDefault="004F2D57" w:rsidP="004F2D57">
      <w:r w:rsidRPr="004F2D57">
        <w:t>Uncoupling increases the denominator, lowering η. </w:t>
      </w:r>
    </w:p>
    <w:p w14:paraId="08F4A291" w14:textId="77777777" w:rsidR="004F2D57" w:rsidRPr="004F2D57" w:rsidRDefault="004F2D57" w:rsidP="004F2D57">
      <w:r w:rsidRPr="004F2D57">
        <w:rPr>
          <w:b/>
          <w:bCs/>
        </w:rPr>
        <w:t>TESTEQ: </w:t>
      </w:r>
      <w:proofErr w:type="spellStart"/>
      <w:r w:rsidRPr="004F2D57">
        <w:rPr>
          <w:b/>
          <w:bCs/>
        </w:rPr>
        <w:t>Δp</w:t>
      </w:r>
      <w:proofErr w:type="spellEnd"/>
      <w:r w:rsidRPr="004F2D57">
        <w:rPr>
          <w:b/>
          <w:bCs/>
        </w:rPr>
        <w:t> = </w:t>
      </w:r>
      <w:proofErr w:type="spellStart"/>
      <w:r w:rsidRPr="004F2D57">
        <w:rPr>
          <w:b/>
          <w:bCs/>
        </w:rPr>
        <w:t>Δψ</w:t>
      </w:r>
      <w:proofErr w:type="spellEnd"/>
      <w:r w:rsidRPr="004F2D57">
        <w:rPr>
          <w:b/>
          <w:bCs/>
        </w:rPr>
        <w:t> − (2.303 * R * T / F) * </w:t>
      </w:r>
      <w:proofErr w:type="spellStart"/>
      <w:r w:rsidRPr="004F2D57">
        <w:rPr>
          <w:b/>
          <w:bCs/>
        </w:rPr>
        <w:t>ΔpH</w:t>
      </w:r>
      <w:proofErr w:type="spellEnd"/>
      <w:r w:rsidRPr="004F2D57">
        <w:t> </w:t>
      </w:r>
    </w:p>
    <w:p w14:paraId="2C0D46A8" w14:textId="77777777" w:rsidR="004F2D57" w:rsidRPr="004F2D57" w:rsidRDefault="004F2D57" w:rsidP="004F2D57">
      <w:r w:rsidRPr="004F2D57">
        <w:t> </w:t>
      </w:r>
    </w:p>
    <w:p w14:paraId="145C546E" w14:textId="77777777" w:rsidR="004F2D57" w:rsidRPr="004F2D57" w:rsidRDefault="004F2D57" w:rsidP="004F2D57">
      <w:r w:rsidRPr="004F2D57">
        <w:t> </w:t>
      </w:r>
    </w:p>
    <w:p w14:paraId="351FB8AF" w14:textId="77777777" w:rsidR="004F2D57" w:rsidRPr="004F2D57" w:rsidRDefault="004F2D57" w:rsidP="004F2D57">
      <w:r w:rsidRPr="004F2D57">
        <w:rPr>
          <w:b/>
          <w:bCs/>
        </w:rPr>
        <w:t>Section 8 – Worked Examples &amp; Unsolved Problems</w:t>
      </w:r>
      <w:r w:rsidRPr="004F2D57">
        <w:t> </w:t>
      </w:r>
    </w:p>
    <w:p w14:paraId="1CFCD84F" w14:textId="77777777" w:rsidR="004F2D57" w:rsidRPr="004F2D57" w:rsidRDefault="004F2D57" w:rsidP="004F2D57">
      <w:r w:rsidRPr="004F2D57">
        <w:t> 8.1 </w:t>
      </w:r>
      <w:r w:rsidRPr="004F2D57">
        <w:rPr>
          <w:b/>
          <w:bCs/>
        </w:rPr>
        <w:t>Example 1 – Rotenone Inhibition</w:t>
      </w:r>
      <w:r w:rsidRPr="004F2D57">
        <w:t> </w:t>
      </w:r>
    </w:p>
    <w:p w14:paraId="2B031429" w14:textId="77777777" w:rsidR="004F2D57" w:rsidRPr="004F2D57" w:rsidRDefault="004F2D57" w:rsidP="004F2D57">
      <w:r w:rsidRPr="004F2D57">
        <w:t> Given Complex I </w:t>
      </w:r>
      <w:proofErr w:type="spellStart"/>
      <w:r w:rsidRPr="004F2D57">
        <w:t>V_max</w:t>
      </w:r>
      <w:proofErr w:type="spellEnd"/>
      <w:r w:rsidRPr="004F2D57">
        <w:t> = 200 nmol·min⁻¹·mg⁻¹, </w:t>
      </w:r>
      <w:proofErr w:type="spellStart"/>
      <w:r w:rsidRPr="004F2D57">
        <w:t>K_m</w:t>
      </w:r>
      <w:proofErr w:type="spellEnd"/>
      <w:r w:rsidRPr="004F2D57">
        <w:t> = 5 </w:t>
      </w:r>
      <w:proofErr w:type="spellStart"/>
      <w:r w:rsidRPr="004F2D57">
        <w:t>μM</w:t>
      </w:r>
      <w:proofErr w:type="spellEnd"/>
      <w:r w:rsidRPr="004F2D57">
        <w:t> for NADH, rotenone </w:t>
      </w:r>
      <w:proofErr w:type="spellStart"/>
      <w:r w:rsidRPr="004F2D57">
        <w:t>K_i</w:t>
      </w:r>
      <w:proofErr w:type="spellEnd"/>
      <w:r w:rsidRPr="004F2D57">
        <w:t> = 0.5 </w:t>
      </w:r>
      <w:proofErr w:type="spellStart"/>
      <w:r w:rsidRPr="004F2D57">
        <w:t>μM</w:t>
      </w:r>
      <w:proofErr w:type="spellEnd"/>
      <w:r w:rsidRPr="004F2D57">
        <w:t>, and [Rot] = 1 </w:t>
      </w:r>
      <w:proofErr w:type="spellStart"/>
      <w:r w:rsidRPr="004F2D57">
        <w:t>μM</w:t>
      </w:r>
      <w:proofErr w:type="spellEnd"/>
      <w:r w:rsidRPr="004F2D57">
        <w:t>, compute v at [NADH] = 5 </w:t>
      </w:r>
      <w:proofErr w:type="spellStart"/>
      <w:r w:rsidRPr="004F2D57">
        <w:t>μM</w:t>
      </w:r>
      <w:proofErr w:type="spellEnd"/>
      <w:r w:rsidRPr="004F2D57">
        <w:t>: </w:t>
      </w:r>
    </w:p>
    <w:p w14:paraId="30292AFC" w14:textId="77777777" w:rsidR="004F2D57" w:rsidRPr="004F2D57" w:rsidRDefault="004F2D57" w:rsidP="004F2D57">
      <w:r w:rsidRPr="004F2D57">
        <w:lastRenderedPageBreak/>
        <w:t>v = (200*5)</w:t>
      </w:r>
      <w:proofErr w:type="gramStart"/>
      <w:r w:rsidRPr="004F2D57">
        <w:t>/(</w:t>
      </w:r>
      <w:proofErr w:type="gramEnd"/>
      <w:r w:rsidRPr="004F2D57">
        <w:t>5*(1+1/0.</w:t>
      </w:r>
      <w:proofErr w:type="gramStart"/>
      <w:r w:rsidRPr="004F2D57">
        <w:t>5)+</w:t>
      </w:r>
      <w:proofErr w:type="gramEnd"/>
      <w:r w:rsidRPr="004F2D57">
        <w:t>5) = 1000</w:t>
      </w:r>
      <w:proofErr w:type="gramStart"/>
      <w:r w:rsidRPr="004F2D57">
        <w:t>/(</w:t>
      </w:r>
      <w:proofErr w:type="gramEnd"/>
      <w:r w:rsidRPr="004F2D57">
        <w:t>5*(1+</w:t>
      </w:r>
      <w:proofErr w:type="gramStart"/>
      <w:r w:rsidRPr="004F2D57">
        <w:t>2)+</w:t>
      </w:r>
      <w:proofErr w:type="gramEnd"/>
      <w:r w:rsidRPr="004F2D57">
        <w:t>5) = 1000</w:t>
      </w:r>
      <w:proofErr w:type="gramStart"/>
      <w:r w:rsidRPr="004F2D57">
        <w:t>/(</w:t>
      </w:r>
      <w:proofErr w:type="gramEnd"/>
      <w:r w:rsidRPr="004F2D57">
        <w:t>5*3+</w:t>
      </w:r>
      <w:proofErr w:type="gramStart"/>
      <w:r w:rsidRPr="004F2D57">
        <w:t>5)=</w:t>
      </w:r>
      <w:proofErr w:type="gramEnd"/>
      <w:r w:rsidRPr="004F2D57">
        <w:t>1000/20=50 nmol·min⁻¹·mg⁻¹ </w:t>
      </w:r>
      <w:r w:rsidRPr="004F2D57">
        <w:br/>
        <w:t>  </w:t>
      </w:r>
    </w:p>
    <w:p w14:paraId="3662C0F7" w14:textId="77777777" w:rsidR="004F2D57" w:rsidRPr="004F2D57" w:rsidRDefault="004F2D57" w:rsidP="004F2D57">
      <w:r w:rsidRPr="004F2D57">
        <w:t>8.2 </w:t>
      </w:r>
      <w:r w:rsidRPr="004F2D57">
        <w:rPr>
          <w:b/>
          <w:bCs/>
        </w:rPr>
        <w:t>Example 2 – DNP-Mediated Proton Flux</w:t>
      </w:r>
      <w:r w:rsidRPr="004F2D57">
        <w:t> </w:t>
      </w:r>
    </w:p>
    <w:p w14:paraId="05919F26" w14:textId="77777777" w:rsidR="004F2D57" w:rsidRPr="004F2D57" w:rsidRDefault="004F2D57" w:rsidP="004F2D57">
      <w:r w:rsidRPr="004F2D57">
        <w:t> If P_U(DNP) = 0.1 s⁻¹ and Δ[H⁺] = 0.001 M, calculate J_H⁺: </w:t>
      </w:r>
    </w:p>
    <w:p w14:paraId="3E9318FF" w14:textId="77777777" w:rsidR="004F2D57" w:rsidRPr="004F2D57" w:rsidRDefault="004F2D57" w:rsidP="004F2D57">
      <w:r w:rsidRPr="004F2D57">
        <w:t>J_H⁺ = 0.1 * 0.001 = 1e-4 M·s⁻¹ </w:t>
      </w:r>
      <w:r w:rsidRPr="004F2D57">
        <w:br/>
        <w:t>  </w:t>
      </w:r>
    </w:p>
    <w:p w14:paraId="2C32BE36" w14:textId="77777777" w:rsidR="004F2D57" w:rsidRPr="004F2D57" w:rsidRDefault="004F2D57" w:rsidP="004F2D57">
      <w:r w:rsidRPr="004F2D57">
        <w:t>8.3 </w:t>
      </w:r>
      <w:r w:rsidRPr="004F2D57">
        <w:rPr>
          <w:b/>
          <w:bCs/>
        </w:rPr>
        <w:t>Example 3 – Oxygen Consumption Comparison</w:t>
      </w:r>
      <w:r w:rsidRPr="004F2D57">
        <w:t> </w:t>
      </w:r>
    </w:p>
    <w:p w14:paraId="31B7F3B6" w14:textId="77777777" w:rsidR="004F2D57" w:rsidRPr="004F2D57" w:rsidRDefault="004F2D57" w:rsidP="004F2D57">
      <w:r w:rsidRPr="004F2D57">
        <w:t> A mitochondria prep shows V_O2 = 50 nmol O₂·min⁻¹·mg⁻¹ under control and 200 nmol·min⁻¹·mg⁻¹ with FCCP uncoupling. Determine fold-increase: </w:t>
      </w:r>
    </w:p>
    <w:p w14:paraId="790D5BA4" w14:textId="77777777" w:rsidR="004F2D57" w:rsidRPr="004F2D57" w:rsidRDefault="004F2D57" w:rsidP="004F2D57">
      <w:r w:rsidRPr="004F2D57">
        <w:t>Fold = 200/50 = 4-fold increase </w:t>
      </w:r>
      <w:r w:rsidRPr="004F2D57">
        <w:br/>
        <w:t>  </w:t>
      </w:r>
    </w:p>
    <w:p w14:paraId="10818A35" w14:textId="77777777" w:rsidR="004F2D57" w:rsidRPr="004F2D57" w:rsidRDefault="004F2D57" w:rsidP="004F2D57">
      <w:r w:rsidRPr="004F2D57">
        <w:rPr>
          <w:b/>
          <w:bCs/>
        </w:rPr>
        <w:t>Unsolved Problem 1</w:t>
      </w:r>
      <w:r w:rsidRPr="004F2D57">
        <w:t> </w:t>
      </w:r>
    </w:p>
    <w:p w14:paraId="549FCED2" w14:textId="77777777" w:rsidR="004F2D57" w:rsidRPr="004F2D57" w:rsidRDefault="004F2D57" w:rsidP="004F2D57">
      <w:r w:rsidRPr="004F2D57">
        <w:t> Design a coupled polarographic assay to distinguish between Complex I and Complex III inhibition, detailing substrates, inhibitors, and expected oxygen flux patterns. </w:t>
      </w:r>
    </w:p>
    <w:p w14:paraId="11CE37A4" w14:textId="77777777" w:rsidR="004F2D57" w:rsidRPr="004F2D57" w:rsidRDefault="004F2D57" w:rsidP="004F2D57">
      <w:r w:rsidRPr="004F2D57">
        <w:rPr>
          <w:b/>
          <w:bCs/>
        </w:rPr>
        <w:t>Unsolved Problem 2</w:t>
      </w:r>
      <w:r w:rsidRPr="004F2D57">
        <w:t> </w:t>
      </w:r>
    </w:p>
    <w:p w14:paraId="2F3950E4" w14:textId="77777777" w:rsidR="004F2D57" w:rsidRPr="004F2D57" w:rsidRDefault="004F2D57" w:rsidP="004F2D57">
      <w:r w:rsidRPr="004F2D57">
        <w:t> Quantitatively predict how increasing UCP1 expression two-fold in brown adipocytes affects </w:t>
      </w:r>
      <w:proofErr w:type="spellStart"/>
      <w:r w:rsidRPr="004F2D57">
        <w:t>Δp</w:t>
      </w:r>
      <w:proofErr w:type="spellEnd"/>
      <w:r w:rsidRPr="004F2D57">
        <w:t> and heat production, assuming baseline proton conductance and ETC turnover remain constant. </w:t>
      </w:r>
    </w:p>
    <w:p w14:paraId="44E10B27" w14:textId="77777777" w:rsidR="004F2D57" w:rsidRPr="004F2D57" w:rsidRDefault="004F2D57" w:rsidP="004F2D57">
      <w:r w:rsidRPr="004F2D57">
        <w:t> </w:t>
      </w:r>
    </w:p>
    <w:p w14:paraId="0875A639" w14:textId="77777777" w:rsidR="004F2D57" w:rsidRPr="004F2D57" w:rsidRDefault="004F2D57" w:rsidP="004F2D57">
      <w:r w:rsidRPr="004F2D57">
        <w:t> </w:t>
      </w:r>
    </w:p>
    <w:p w14:paraId="24767E06" w14:textId="77777777" w:rsidR="004F2D57" w:rsidRPr="004F2D57" w:rsidRDefault="004F2D57" w:rsidP="004F2D57">
      <w:r w:rsidRPr="004F2D57">
        <w:rPr>
          <w:b/>
          <w:bCs/>
        </w:rPr>
        <w:t>Section 9 – Practical / Industrial Applications (≥400 words)</w:t>
      </w:r>
      <w:r w:rsidRPr="004F2D57">
        <w:t> </w:t>
      </w:r>
    </w:p>
    <w:p w14:paraId="70CD7130" w14:textId="77777777" w:rsidR="004F2D57" w:rsidRPr="004F2D57" w:rsidRDefault="004F2D57" w:rsidP="004F2D57">
      <w:r w:rsidRPr="004F2D57">
        <w:t> Mitochondrial inhibitors and uncouplers are pivotal in both research and industry. In drug discovery, high-throughput screens employ respirometry platforms (e.g., Seahorse XF Analyzer) to measure oxygen consumption rates (OCR) in cell monolayers in the presence of test compounds. By sequentially adding oligomycin, FCCP, and rotenone/antimycin A, analysts deconvolute basal respiration, ATP-linked respiration, maximal respiratory capacity, and non-mitochondrial respiration, guiding lead optimization for modulators of mitochondrial function. </w:t>
      </w:r>
    </w:p>
    <w:p w14:paraId="147C2372" w14:textId="77777777" w:rsidR="004F2D57" w:rsidRPr="004F2D57" w:rsidRDefault="004F2D57" w:rsidP="004F2D57">
      <w:r w:rsidRPr="004F2D57">
        <w:rPr>
          <w:b/>
          <w:bCs/>
        </w:rPr>
        <w:t>Thermogenic Drug Development</w:t>
      </w:r>
      <w:r w:rsidRPr="004F2D57">
        <w:t> </w:t>
      </w:r>
    </w:p>
    <w:p w14:paraId="79687A31" w14:textId="77777777" w:rsidR="004F2D57" w:rsidRPr="004F2D57" w:rsidRDefault="004F2D57" w:rsidP="004F2D57">
      <w:r w:rsidRPr="004F2D57">
        <w:t xml:space="preserve"> Uncoupling agents inspired by UCP1 mechanisms are investigated as anti-obesity therapeutics. Pharmaceutical teams develop mild protonophores with targeted delivery to adipose tissue, </w:t>
      </w:r>
      <w:r w:rsidRPr="004F2D57">
        <w:lastRenderedPageBreak/>
        <w:t>aiming to elevate basal metabolic rate without systemic toxicity. Formulations employ nanoparticle carriers and adipocyte-specific ligands to localize uncoupling, mitigating risks seen with systemic DNP use. </w:t>
      </w:r>
    </w:p>
    <w:p w14:paraId="3824A954" w14:textId="77777777" w:rsidR="004F2D57" w:rsidRPr="004F2D57" w:rsidRDefault="004F2D57" w:rsidP="004F2D57">
      <w:r w:rsidRPr="004F2D57">
        <w:rPr>
          <w:b/>
          <w:bCs/>
        </w:rPr>
        <w:t>Bioenergetic Toxicology</w:t>
      </w:r>
      <w:r w:rsidRPr="004F2D57">
        <w:t> </w:t>
      </w:r>
    </w:p>
    <w:p w14:paraId="7180DB59" w14:textId="77777777" w:rsidR="004F2D57" w:rsidRPr="004F2D57" w:rsidRDefault="004F2D57" w:rsidP="004F2D57">
      <w:r w:rsidRPr="004F2D57">
        <w:t> Industrial chemicals (e.g., pentachlorophenol) and environmental toxins that uncouple mitochondria are evaluated for occupational safety. In silico models predict mitochondrial liabilities of new chemicals, while in vitro assays measure IC₅₀ values for </w:t>
      </w:r>
      <w:proofErr w:type="spellStart"/>
      <w:r w:rsidRPr="004F2D57">
        <w:t>Δψm</w:t>
      </w:r>
      <w:proofErr w:type="spellEnd"/>
      <w:r w:rsidRPr="004F2D57">
        <w:t> collapse. Regulatory agencies set exposure limits based on these bioenergetic profiles to prevent inadvertent uncoupling-induced hyperthermia. </w:t>
      </w:r>
    </w:p>
    <w:p w14:paraId="776BCB62" w14:textId="77777777" w:rsidR="004F2D57" w:rsidRPr="004F2D57" w:rsidRDefault="004F2D57" w:rsidP="004F2D57">
      <w:r w:rsidRPr="004F2D57">
        <w:rPr>
          <w:b/>
          <w:bCs/>
        </w:rPr>
        <w:t>Agricultural Applications</w:t>
      </w:r>
      <w:r w:rsidRPr="004F2D57">
        <w:t> </w:t>
      </w:r>
    </w:p>
    <w:p w14:paraId="7D6657B9" w14:textId="77777777" w:rsidR="004F2D57" w:rsidRPr="004F2D57" w:rsidRDefault="004F2D57" w:rsidP="004F2D57">
      <w:r w:rsidRPr="004F2D57">
        <w:t> Rotenone, a botanical insecticide targeting insect mitochondrial Complex I, exemplifies ETC inhibitors’ role in pest control. Biopesticide formulations refine delivery to ensure specificity for insect mitochondrial isoforms, minimizing off-target effects in non-pest species and environmental persistence. </w:t>
      </w:r>
    </w:p>
    <w:p w14:paraId="5A404E6A" w14:textId="77777777" w:rsidR="004F2D57" w:rsidRPr="004F2D57" w:rsidRDefault="004F2D57" w:rsidP="004F2D57">
      <w:r w:rsidRPr="004F2D57">
        <w:rPr>
          <w:b/>
          <w:bCs/>
        </w:rPr>
        <w:t>Biomanufacturing</w:t>
      </w:r>
      <w:r w:rsidRPr="004F2D57">
        <w:t> </w:t>
      </w:r>
    </w:p>
    <w:p w14:paraId="700D1C3C" w14:textId="77777777" w:rsidR="004F2D57" w:rsidRPr="004F2D57" w:rsidRDefault="004F2D57" w:rsidP="004F2D57">
      <w:r w:rsidRPr="004F2D57">
        <w:t> Microbial fermentation processes for high-value metabolites (e.g., shikimic acid) leverage engineered uncoupling to redirect carbon flux. Controlled expression of heterologous uncouplers increases metabolic throughput through the TCA cycle, enhancing precursor availability for downstream pathways. Bioreactor control systems monitor OCR and pH to maintain optimal uncoupling levels for maximal productivity. </w:t>
      </w:r>
    </w:p>
    <w:p w14:paraId="420120EF" w14:textId="77777777" w:rsidR="004F2D57" w:rsidRPr="004F2D57" w:rsidRDefault="004F2D57" w:rsidP="004F2D57">
      <w:r w:rsidRPr="004F2D57">
        <w:rPr>
          <w:b/>
          <w:bCs/>
        </w:rPr>
        <w:t>Clinical Diagnostics</w:t>
      </w:r>
      <w:r w:rsidRPr="004F2D57">
        <w:t> </w:t>
      </w:r>
    </w:p>
    <w:p w14:paraId="40594378" w14:textId="77777777" w:rsidR="004F2D57" w:rsidRPr="004F2D57" w:rsidRDefault="004F2D57" w:rsidP="004F2D57">
      <w:r w:rsidRPr="004F2D57">
        <w:t> Diagnostic laboratories utilize spectrophotometric assays of ETC complex activities in patient muscle biopsies to diagnose mitochondrial myopathies. Measurement of complex-specific enzymatic rates—with and without inhibitors—provides quantitative diagnostics. Uncoupler titrations reveal coupling efficiency, informing prognoses and therapeutic decisions. </w:t>
      </w:r>
    </w:p>
    <w:p w14:paraId="3B7E39D8" w14:textId="77777777" w:rsidR="004F2D57" w:rsidRPr="004F2D57" w:rsidRDefault="004F2D57" w:rsidP="004F2D57">
      <w:r w:rsidRPr="004F2D57">
        <w:t> </w:t>
      </w:r>
    </w:p>
    <w:p w14:paraId="747DF8D8" w14:textId="77777777" w:rsidR="004F2D57" w:rsidRPr="004F2D57" w:rsidRDefault="004F2D57" w:rsidP="004F2D57">
      <w:r w:rsidRPr="004F2D57">
        <w:t> </w:t>
      </w:r>
    </w:p>
    <w:p w14:paraId="1FC06D75" w14:textId="77777777" w:rsidR="004F2D57" w:rsidRPr="004F2D57" w:rsidRDefault="004F2D57" w:rsidP="004F2D57">
      <w:r w:rsidRPr="004F2D57">
        <w:rPr>
          <w:b/>
          <w:bCs/>
        </w:rPr>
        <w:t>Section 10 – Clinical &amp; Professional Relevance (≥300 words)</w:t>
      </w:r>
      <w:r w:rsidRPr="004F2D57">
        <w:t> </w:t>
      </w:r>
    </w:p>
    <w:p w14:paraId="3433E610" w14:textId="77777777" w:rsidR="004F2D57" w:rsidRPr="004F2D57" w:rsidRDefault="004F2D57" w:rsidP="004F2D57">
      <w:r w:rsidRPr="004F2D57">
        <w:t> Mitochondrial inhibitors and uncouplers have profound clinical implications. </w:t>
      </w:r>
      <w:r w:rsidRPr="004F2D57">
        <w:rPr>
          <w:b/>
          <w:bCs/>
        </w:rPr>
        <w:t>Cyanide poisoning</w:t>
      </w:r>
      <w:r w:rsidRPr="004F2D57">
        <w:t xml:space="preserve">—often due to industrial accidents or smoke inhalation—blocks Complex IV, preventing cellular respiration. Clinicians administer nitrites and thiosulfate to convert hemoglobin to methemoglobin, which sequesters cyanide, and hydroxocobalamin to form </w:t>
      </w:r>
      <w:r w:rsidRPr="004F2D57">
        <w:lastRenderedPageBreak/>
        <w:t xml:space="preserve">cyanocobalamin for </w:t>
      </w:r>
      <w:proofErr w:type="gramStart"/>
      <w:r w:rsidRPr="004F2D57">
        <w:t>excretion .</w:t>
      </w:r>
      <w:proofErr w:type="gramEnd"/>
      <w:r w:rsidRPr="004F2D57">
        <w:t> </w:t>
      </w:r>
      <w:r w:rsidRPr="004F2D57">
        <w:rPr>
          <w:b/>
          <w:bCs/>
        </w:rPr>
        <w:t>Carbon monoxide</w:t>
      </w:r>
      <w:r w:rsidRPr="004F2D57">
        <w:t> binds cytochrome a₃ and hemoglobin with high affinity, causing hypoxic injury; hyperbaric oxygen therapy accelerates CO dissociation. </w:t>
      </w:r>
    </w:p>
    <w:p w14:paraId="460DD55E" w14:textId="77777777" w:rsidR="004F2D57" w:rsidRPr="004F2D57" w:rsidRDefault="004F2D57" w:rsidP="004F2D57">
      <w:r w:rsidRPr="004F2D57">
        <w:rPr>
          <w:b/>
          <w:bCs/>
        </w:rPr>
        <w:t>DNP toxicity</w:t>
      </w:r>
      <w:r w:rsidRPr="004F2D57">
        <w:t xml:space="preserve">, once used as a weight-loss drug, causes uncontrolled uncoupling, hyperthermia, tachypnea, and diaphoresis, often culminating in multi-organ failure. Its absence of a specific antidote necessitates supportive cooling, hydration, and correction of metabolic </w:t>
      </w:r>
      <w:proofErr w:type="gramStart"/>
      <w:r w:rsidRPr="004F2D57">
        <w:t>acidosis .</w:t>
      </w:r>
      <w:proofErr w:type="gramEnd"/>
      <w:r w:rsidRPr="004F2D57">
        <w:t xml:space="preserve"> Regulatory agencies continuously monitor and ban products containing DNP, yet illicit use persists, demanding vigilance from clinicians. </w:t>
      </w:r>
    </w:p>
    <w:p w14:paraId="1BBF6406" w14:textId="77777777" w:rsidR="004F2D57" w:rsidRPr="004F2D57" w:rsidRDefault="004F2D57" w:rsidP="004F2D57">
      <w:r w:rsidRPr="004F2D57">
        <w:rPr>
          <w:b/>
          <w:bCs/>
        </w:rPr>
        <w:t>Mitochondrial diseases</w:t>
      </w:r>
      <w:r w:rsidRPr="004F2D57">
        <w:t>—genetic defects in ETC complexes—exhibit varied phenotypes including Leigh syndrome, MELAS, and LHON. Diagnostic algorithms involve measuring complex activities in muscle biopsy, sequencing mitochondrial and nuclear genes, and assessing coupling efficiency via polarographic or fluorometric assays. Therapeutic strategies focus on bypassing defective complexes (e.g., using succinate for Complex I defects), supplementing cofactors, and managing symptoms. </w:t>
      </w:r>
    </w:p>
    <w:p w14:paraId="186CEABC" w14:textId="77777777" w:rsidR="004F2D57" w:rsidRPr="004F2D57" w:rsidRDefault="004F2D57" w:rsidP="004F2D57">
      <w:r w:rsidRPr="004F2D57">
        <w:rPr>
          <w:b/>
          <w:bCs/>
        </w:rPr>
        <w:t>Pharmacologic modulation</w:t>
      </w:r>
      <w:r w:rsidRPr="004F2D57">
        <w:t xml:space="preserve"> of uncoupling holds </w:t>
      </w:r>
      <w:proofErr w:type="gramStart"/>
      <w:r w:rsidRPr="004F2D57">
        <w:t>promise</w:t>
      </w:r>
      <w:proofErr w:type="gramEnd"/>
      <w:r w:rsidRPr="004F2D57">
        <w:t>: selective UCP1 activators may treat obesity by enhancing energy expenditure. Conversely, inhibiting pathological uncoupling in critical illness (e.g., septic shock–induced mitochondrial dysfunction) could preserve ATP reserves. Integration of bioenergetic parameters into critical care monitoring may refine interventions. </w:t>
      </w:r>
    </w:p>
    <w:p w14:paraId="2575FCC0" w14:textId="77777777" w:rsidR="004F2D57" w:rsidRPr="004F2D57" w:rsidRDefault="004F2D57" w:rsidP="004F2D57">
      <w:r w:rsidRPr="004F2D57">
        <w:rPr>
          <w:b/>
          <w:bCs/>
        </w:rPr>
        <w:t>Occupational and environmental medicine</w:t>
      </w:r>
      <w:r w:rsidRPr="004F2D57">
        <w:t> addresses chronic low-level exposure to mitochondrial inhibitors (e.g., pesticides, industrial solvents), which may contribute to neurodegenerative diseases. Epidemiological studies correlate rotenone exposure with Parkinsonian syndromes, prompting protective regulations and biomonitoring programs. </w:t>
      </w:r>
    </w:p>
    <w:p w14:paraId="3A6E0C0B" w14:textId="77777777" w:rsidR="004F2D57" w:rsidRPr="004F2D57" w:rsidRDefault="004F2D57" w:rsidP="004F2D57">
      <w:r w:rsidRPr="004F2D57">
        <w:t>Thus, mastery of ETC inhibition and uncoupling biochemistry is essential across pharmacy, medicine, and public health, informing diagnostic, therapeutic, and preventive strategies. </w:t>
      </w:r>
    </w:p>
    <w:p w14:paraId="2AD0E7FA" w14:textId="77777777" w:rsidR="004F2D57" w:rsidRPr="004F2D57" w:rsidRDefault="004F2D57" w:rsidP="004F2D57">
      <w:r w:rsidRPr="004F2D57">
        <w:t> </w:t>
      </w:r>
    </w:p>
    <w:p w14:paraId="2B601D77" w14:textId="77777777" w:rsidR="004F2D57" w:rsidRPr="004F2D57" w:rsidRDefault="004F2D57" w:rsidP="004F2D57">
      <w:r w:rsidRPr="004F2D57">
        <w:t> </w:t>
      </w:r>
    </w:p>
    <w:p w14:paraId="21572830" w14:textId="77777777" w:rsidR="004F2D57" w:rsidRPr="004F2D57" w:rsidRDefault="004F2D57" w:rsidP="004F2D57">
      <w:r w:rsidRPr="004F2D57">
        <w:rPr>
          <w:b/>
          <w:bCs/>
        </w:rPr>
        <w:t>Section 11 – Important for Exam (≥250 words)</w:t>
      </w:r>
      <w:r w:rsidRPr="004F2D57">
        <w:t> </w:t>
      </w:r>
    </w:p>
    <w:p w14:paraId="27AD77A1" w14:textId="77777777" w:rsidR="004F2D57" w:rsidRPr="004F2D57" w:rsidRDefault="004F2D57" w:rsidP="004F2D57">
      <w:r w:rsidRPr="004F2D57">
        <w:t> • </w:t>
      </w:r>
      <w:r w:rsidRPr="004F2D57">
        <w:rPr>
          <w:b/>
          <w:bCs/>
        </w:rPr>
        <w:t>Key Points to Remember:</w:t>
      </w:r>
      <w:r w:rsidRPr="004F2D57">
        <w:t> Inhibitors block electron flow at defined complexes, whereas uncouplers dissipate the proton gradient but allow electron flow to continue. Always specify the complex and binding site (e.g., rotenone at Complex I’s Q-site, cyanide at Complex IV’s heme a₃). </w:t>
      </w:r>
    </w:p>
    <w:p w14:paraId="44D32C30" w14:textId="77777777" w:rsidR="004F2D57" w:rsidRPr="004F2D57" w:rsidRDefault="004F2D57" w:rsidP="004F2D57">
      <w:r w:rsidRPr="004F2D57">
        <w:lastRenderedPageBreak/>
        <w:t>• </w:t>
      </w:r>
      <w:r w:rsidRPr="004F2D57">
        <w:rPr>
          <w:b/>
          <w:bCs/>
        </w:rPr>
        <w:t>Mechanisms:</w:t>
      </w:r>
      <w:r w:rsidRPr="004F2D57">
        <w:t> Rotenone, antimycin A, and cyanide act by binding to iron-sulfur centers or heme groups; DNP and FCCP shuttle protons, collapsing </w:t>
      </w:r>
      <w:proofErr w:type="spellStart"/>
      <w:r w:rsidRPr="004F2D57">
        <w:t>ΔpH</w:t>
      </w:r>
      <w:proofErr w:type="spellEnd"/>
      <w:r w:rsidRPr="004F2D57">
        <w:t>. Oligomycin blocks the FO proton channel. </w:t>
      </w:r>
    </w:p>
    <w:p w14:paraId="7452F8F6" w14:textId="77777777" w:rsidR="004F2D57" w:rsidRPr="004F2D57" w:rsidRDefault="004F2D57" w:rsidP="004F2D57">
      <w:r w:rsidRPr="004F2D57">
        <w:t>• </w:t>
      </w:r>
      <w:r w:rsidRPr="004F2D57">
        <w:rPr>
          <w:b/>
          <w:bCs/>
        </w:rPr>
        <w:t>Functional Outcomes:</w:t>
      </w:r>
      <w:r w:rsidRPr="004F2D57">
        <w:t> ETC inhibition → ↓O₂ consumption, ↑NADH/NAD⁺ ratio, ↓ATP. Uncoupling → ↑O₂ consumption, ↓ATP, ↑heat. </w:t>
      </w:r>
    </w:p>
    <w:p w14:paraId="2E25F92B" w14:textId="77777777" w:rsidR="004F2D57" w:rsidRPr="004F2D57" w:rsidRDefault="004F2D57" w:rsidP="004F2D57">
      <w:r w:rsidRPr="004F2D57">
        <w:t>• </w:t>
      </w:r>
      <w:r w:rsidRPr="004F2D57">
        <w:rPr>
          <w:b/>
          <w:bCs/>
        </w:rPr>
        <w:t>Clinical Associations:</w:t>
      </w:r>
      <w:r w:rsidRPr="004F2D57">
        <w:t> Cyanide/CO poisoning, DNP overdose, brown fat thermogenesis. Link specific symptoms (e.g., lactic acidosis in cyanide poisoning) to inhibited oxidative metabolism. </w:t>
      </w:r>
    </w:p>
    <w:p w14:paraId="01D4AD95" w14:textId="77777777" w:rsidR="004F2D57" w:rsidRPr="004F2D57" w:rsidRDefault="004F2D57" w:rsidP="004F2D57">
      <w:r w:rsidRPr="004F2D57">
        <w:t>• </w:t>
      </w:r>
      <w:r w:rsidRPr="004F2D57">
        <w:rPr>
          <w:b/>
          <w:bCs/>
        </w:rPr>
        <w:t>Common Errors:</w:t>
      </w:r>
      <w:r w:rsidRPr="004F2D57">
        <w:t> Confusing ETC inhibitors with uncouplers; misattributing increased O₂ consumption to inhibition rather than uncoupling; forgetting ATP synthase blockers (oligomycin). </w:t>
      </w:r>
    </w:p>
    <w:p w14:paraId="5713E121" w14:textId="77777777" w:rsidR="004F2D57" w:rsidRPr="004F2D57" w:rsidRDefault="004F2D57" w:rsidP="004F2D57">
      <w:r w:rsidRPr="004F2D57">
        <w:t>• </w:t>
      </w:r>
      <w:r w:rsidRPr="004F2D57">
        <w:rPr>
          <w:b/>
          <w:bCs/>
        </w:rPr>
        <w:t>Exam Strategy:</w:t>
      </w:r>
      <w:r w:rsidRPr="004F2D57">
        <w:t> For inhibition questions, sketch the ETC with inhibitor symbols at complexes I–IV. For uncouplers, illustrate proton leak pathways bypassing ATP synthase, and annotate corresponding effects on </w:t>
      </w:r>
      <w:proofErr w:type="spellStart"/>
      <w:r w:rsidRPr="004F2D57">
        <w:t>Δψm</w:t>
      </w:r>
      <w:proofErr w:type="spellEnd"/>
      <w:r w:rsidRPr="004F2D57">
        <w:t>, </w:t>
      </w:r>
      <w:proofErr w:type="spellStart"/>
      <w:r w:rsidRPr="004F2D57">
        <w:t>ΔpH</w:t>
      </w:r>
      <w:proofErr w:type="spellEnd"/>
      <w:r w:rsidRPr="004F2D57">
        <w:t>, ATP, and heat. </w:t>
      </w:r>
    </w:p>
    <w:p w14:paraId="30B08B14" w14:textId="77777777" w:rsidR="004F2D57" w:rsidRPr="004F2D57" w:rsidRDefault="004F2D57" w:rsidP="004F2D57">
      <w:r w:rsidRPr="004F2D57">
        <w:t>• </w:t>
      </w:r>
      <w:r w:rsidRPr="004F2D57">
        <w:rPr>
          <w:b/>
          <w:bCs/>
        </w:rPr>
        <w:t>Formula Recall:</w:t>
      </w:r>
      <w:r w:rsidRPr="004F2D57">
        <w:t> </w:t>
      </w:r>
    </w:p>
    <w:p w14:paraId="7FD451CF" w14:textId="77777777" w:rsidR="004F2D57" w:rsidRPr="004F2D57" w:rsidRDefault="004F2D57" w:rsidP="004F2D57">
      <w:pPr>
        <w:numPr>
          <w:ilvl w:val="0"/>
          <w:numId w:val="3"/>
        </w:numPr>
      </w:pPr>
      <w:r w:rsidRPr="004F2D57">
        <w:t>Proton motive force: </w:t>
      </w:r>
    </w:p>
    <w:p w14:paraId="0F536059" w14:textId="77777777" w:rsidR="004F2D57" w:rsidRPr="004F2D57" w:rsidRDefault="004F2D57" w:rsidP="004F2D57">
      <w:proofErr w:type="spellStart"/>
      <w:r w:rsidRPr="004F2D57">
        <w:t>Δp</w:t>
      </w:r>
      <w:proofErr w:type="spellEnd"/>
      <w:r w:rsidRPr="004F2D57">
        <w:t> = </w:t>
      </w:r>
      <w:proofErr w:type="spellStart"/>
      <w:r w:rsidRPr="004F2D57">
        <w:t>Δψ</w:t>
      </w:r>
      <w:proofErr w:type="spellEnd"/>
      <w:r w:rsidRPr="004F2D57">
        <w:t> − (2.303 * R * T / F) * </w:t>
      </w:r>
      <w:proofErr w:type="spellStart"/>
      <w:r w:rsidRPr="004F2D57">
        <w:t>ΔpH</w:t>
      </w:r>
      <w:proofErr w:type="spellEnd"/>
      <w:r w:rsidRPr="004F2D57">
        <w:t> </w:t>
      </w:r>
      <w:r w:rsidRPr="004F2D57">
        <w:br/>
        <w:t>  </w:t>
      </w:r>
    </w:p>
    <w:p w14:paraId="0CA3EA69" w14:textId="77777777" w:rsidR="004F2D57" w:rsidRPr="004F2D57" w:rsidRDefault="004F2D57" w:rsidP="004F2D57">
      <w:pPr>
        <w:numPr>
          <w:ilvl w:val="0"/>
          <w:numId w:val="4"/>
        </w:numPr>
      </w:pPr>
      <w:r w:rsidRPr="004F2D57">
        <w:t>Competitive inhibition kinetics: </w:t>
      </w:r>
    </w:p>
    <w:p w14:paraId="07647AD7" w14:textId="77777777" w:rsidR="004F2D57" w:rsidRPr="004F2D57" w:rsidRDefault="004F2D57" w:rsidP="004F2D57">
      <w:r w:rsidRPr="004F2D57">
        <w:t>v = (</w:t>
      </w:r>
      <w:proofErr w:type="spellStart"/>
      <w:r w:rsidRPr="004F2D57">
        <w:t>V_max</w:t>
      </w:r>
      <w:proofErr w:type="spellEnd"/>
      <w:r w:rsidRPr="004F2D57">
        <w:t> * [S]) / (</w:t>
      </w:r>
      <w:proofErr w:type="spellStart"/>
      <w:r w:rsidRPr="004F2D57">
        <w:t>K_m</w:t>
      </w:r>
      <w:proofErr w:type="spellEnd"/>
      <w:r w:rsidRPr="004F2D57">
        <w:t> * (1 + [I]/</w:t>
      </w:r>
      <w:proofErr w:type="spellStart"/>
      <w:r w:rsidRPr="004F2D57">
        <w:t>K_i</w:t>
      </w:r>
      <w:proofErr w:type="spellEnd"/>
      <w:r w:rsidRPr="004F2D57">
        <w:t>) + [S]) </w:t>
      </w:r>
      <w:r w:rsidRPr="004F2D57">
        <w:br/>
        <w:t>  </w:t>
      </w:r>
    </w:p>
    <w:p w14:paraId="34C94287" w14:textId="77777777" w:rsidR="004F2D57" w:rsidRPr="004F2D57" w:rsidRDefault="004F2D57" w:rsidP="004F2D57">
      <w:r w:rsidRPr="004F2D57">
        <w:t>• </w:t>
      </w:r>
      <w:r w:rsidRPr="004F2D57">
        <w:rPr>
          <w:b/>
          <w:bCs/>
        </w:rPr>
        <w:t>Memory Aids:</w:t>
      </w:r>
      <w:r w:rsidRPr="004F2D57">
        <w:t> “Rotenone and Amytal stop at I; Antimycin at III; Cyanide/CO at IV” and “DNP dumps the pH, UCP1 makes it fun (heat).” </w:t>
      </w:r>
    </w:p>
    <w:p w14:paraId="280A0644" w14:textId="77777777" w:rsidR="004F2D57" w:rsidRPr="004F2D57" w:rsidRDefault="004F2D57" w:rsidP="004F2D57">
      <w:r w:rsidRPr="004F2D57">
        <w:t> </w:t>
      </w:r>
    </w:p>
    <w:p w14:paraId="239F34A6" w14:textId="77777777" w:rsidR="004F2D57" w:rsidRPr="004F2D57" w:rsidRDefault="004F2D57" w:rsidP="004F2D57">
      <w:r w:rsidRPr="004F2D57">
        <w:t> </w:t>
      </w:r>
    </w:p>
    <w:p w14:paraId="2DB384E5" w14:textId="77777777" w:rsidR="004F2D57" w:rsidRPr="004F2D57" w:rsidRDefault="004F2D57" w:rsidP="004F2D57">
      <w:r w:rsidRPr="004F2D57">
        <w:rPr>
          <w:b/>
          <w:bCs/>
        </w:rPr>
        <w:t>Section 12 – Summary &amp; Recap Table (≥300 words)</w:t>
      </w:r>
      <w:r w:rsidRPr="004F2D57">
        <w:t> </w:t>
      </w:r>
    </w:p>
    <w:p w14:paraId="5AFE0EB2" w14:textId="77777777" w:rsidR="004F2D57" w:rsidRPr="004F2D57" w:rsidRDefault="004F2D57" w:rsidP="004F2D57">
      <w:r w:rsidRPr="004F2D57">
        <w:t xml:space="preserve"> Inhibitors of the ETC and uncouplers exemplify distinct modalities for perturbing mitochondrial bioenergetics. Inhibitors bind at discrete sites within complexes I–IV or ATP synthase, effectively halting electron flow or proton translocation, yielding decreased oxygen consumption and ATP depletion. Uncouplers, whether synthetic (DNP, FCCP) or physiological (UCP1), disrupt the proton motive force by facilitating proton reentry into the matrix, decoupling electron transport </w:t>
      </w:r>
      <w:r w:rsidRPr="004F2D57">
        <w:lastRenderedPageBreak/>
        <w:t>from ATP synthesis and releasing energy as heat. These tools have deepened our understanding of coupling efficiency, proton leak, and the thermodynamic underpinnings of ATP generation. </w:t>
      </w:r>
    </w:p>
    <w:p w14:paraId="5F86A3C5" w14:textId="77777777" w:rsidR="004F2D57" w:rsidRPr="004F2D57" w:rsidRDefault="004F2D57" w:rsidP="004F2D57">
      <w:r w:rsidRPr="004F2D57">
        <w:t>Clinically, ETC inhibitors underlie acute poisonings (cyanide, CO), while uncouplers inform both toxicology (DNP misuse) and therapeutic approaches to obesity and metabolic disorders. Diagnostic assays exploit differential effects on oxygen consumption and ATP synthesis to profile mitochondrial function in inherited or acquired diseases. Industrial and research applications range from pest control (rotenone) to drug screening platforms measuring oxygen flux. </w:t>
      </w:r>
    </w:p>
    <w:p w14:paraId="4B45A5FD" w14:textId="77777777" w:rsidR="004F2D57" w:rsidRPr="004F2D57" w:rsidRDefault="004F2D57" w:rsidP="004F2D57">
      <w:r w:rsidRPr="004F2D57">
        <w:t>Overall, the interplay between inhibitors and uncouplers highlights the importance of </w:t>
      </w:r>
      <w:proofErr w:type="spellStart"/>
      <w:r w:rsidRPr="004F2D57">
        <w:t>ΔpH</w:t>
      </w:r>
      <w:proofErr w:type="spellEnd"/>
      <w:r w:rsidRPr="004F2D57">
        <w:t> and </w:t>
      </w:r>
      <w:proofErr w:type="spellStart"/>
      <w:r w:rsidRPr="004F2D57">
        <w:t>Δψm</w:t>
      </w:r>
      <w:proofErr w:type="spellEnd"/>
      <w:r w:rsidRPr="004F2D57">
        <w:t> in energy transduction and the versatility of the mitochondrion as both an ATP factory and a regulated heat generator. Mastery of these concepts equips pharmacy graduates to interpret bioenergetic data, anticipate drug–mitochondria interactions, and contribute to novel interventions targeting cellular metabolism. </w:t>
      </w:r>
    </w:p>
    <w:p w14:paraId="49FDCA8E" w14:textId="77777777" w:rsidR="004F2D57" w:rsidRPr="004F2D57" w:rsidRDefault="004F2D57" w:rsidP="004F2D57">
      <w:r w:rsidRPr="004F2D57">
        <w:rPr>
          <w:i/>
          <w:iCs/>
        </w:rPr>
        <w:t>Table 3 – Recap of ETC Inhibitors and Uncouplers</w:t>
      </w:r>
      <w:r w:rsidRPr="004F2D57">
        <w:t>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2"/>
        <w:gridCol w:w="3595"/>
        <w:gridCol w:w="3833"/>
      </w:tblGrid>
      <w:tr w:rsidR="004F2D57" w:rsidRPr="004F2D57" w14:paraId="20C93A4E" w14:textId="77777777" w:rsidTr="004F2D57">
        <w:trPr>
          <w:tblHeader/>
          <w:tblCellSpacing w:w="15" w:type="dxa"/>
        </w:trPr>
        <w:tc>
          <w:tcPr>
            <w:tcW w:w="0" w:type="auto"/>
            <w:vAlign w:val="center"/>
            <w:hideMark/>
          </w:tcPr>
          <w:p w14:paraId="24C6D829" w14:textId="77777777" w:rsidR="004F2D57" w:rsidRPr="004F2D57" w:rsidRDefault="004F2D57" w:rsidP="004F2D57">
            <w:pPr>
              <w:rPr>
                <w:b/>
                <w:bCs/>
              </w:rPr>
            </w:pPr>
            <w:r w:rsidRPr="004F2D57">
              <w:rPr>
                <w:b/>
                <w:bCs/>
              </w:rPr>
              <w:t>Feature</w:t>
            </w:r>
          </w:p>
        </w:tc>
        <w:tc>
          <w:tcPr>
            <w:tcW w:w="0" w:type="auto"/>
            <w:vAlign w:val="center"/>
            <w:hideMark/>
          </w:tcPr>
          <w:p w14:paraId="7B5F5610" w14:textId="77777777" w:rsidR="004F2D57" w:rsidRPr="004F2D57" w:rsidRDefault="004F2D57" w:rsidP="004F2D57">
            <w:pPr>
              <w:rPr>
                <w:b/>
                <w:bCs/>
              </w:rPr>
            </w:pPr>
            <w:r w:rsidRPr="004F2D57">
              <w:rPr>
                <w:b/>
                <w:bCs/>
              </w:rPr>
              <w:t>ETC Inhibitors</w:t>
            </w:r>
          </w:p>
        </w:tc>
        <w:tc>
          <w:tcPr>
            <w:tcW w:w="0" w:type="auto"/>
            <w:vAlign w:val="center"/>
            <w:hideMark/>
          </w:tcPr>
          <w:p w14:paraId="1375945C" w14:textId="77777777" w:rsidR="004F2D57" w:rsidRPr="004F2D57" w:rsidRDefault="004F2D57" w:rsidP="004F2D57">
            <w:pPr>
              <w:rPr>
                <w:b/>
                <w:bCs/>
              </w:rPr>
            </w:pPr>
            <w:r w:rsidRPr="004F2D57">
              <w:rPr>
                <w:b/>
                <w:bCs/>
              </w:rPr>
              <w:t>Uncouplers</w:t>
            </w:r>
          </w:p>
        </w:tc>
      </w:tr>
      <w:tr w:rsidR="004F2D57" w:rsidRPr="004F2D57" w14:paraId="3634CC00" w14:textId="77777777" w:rsidTr="004F2D57">
        <w:trPr>
          <w:tblCellSpacing w:w="15" w:type="dxa"/>
        </w:trPr>
        <w:tc>
          <w:tcPr>
            <w:tcW w:w="0" w:type="auto"/>
            <w:vAlign w:val="center"/>
            <w:hideMark/>
          </w:tcPr>
          <w:p w14:paraId="62CE949B" w14:textId="77777777" w:rsidR="004F2D57" w:rsidRPr="004F2D57" w:rsidRDefault="004F2D57" w:rsidP="004F2D57">
            <w:r w:rsidRPr="004F2D57">
              <w:rPr>
                <w:b/>
                <w:bCs/>
              </w:rPr>
              <w:t>Primary Target</w:t>
            </w:r>
          </w:p>
        </w:tc>
        <w:tc>
          <w:tcPr>
            <w:tcW w:w="0" w:type="auto"/>
            <w:vAlign w:val="center"/>
            <w:hideMark/>
          </w:tcPr>
          <w:p w14:paraId="2A27E915" w14:textId="77777777" w:rsidR="004F2D57" w:rsidRPr="004F2D57" w:rsidRDefault="004F2D57" w:rsidP="004F2D57">
            <w:r w:rsidRPr="004F2D57">
              <w:t>Complex I–IV or ATP synthase</w:t>
            </w:r>
          </w:p>
        </w:tc>
        <w:tc>
          <w:tcPr>
            <w:tcW w:w="0" w:type="auto"/>
            <w:vAlign w:val="center"/>
            <w:hideMark/>
          </w:tcPr>
          <w:p w14:paraId="58259E3F" w14:textId="77777777" w:rsidR="004F2D57" w:rsidRPr="004F2D57" w:rsidRDefault="004F2D57" w:rsidP="004F2D57">
            <w:r w:rsidRPr="004F2D57">
              <w:t>Inner mitochondrial membrane proton conductance</w:t>
            </w:r>
          </w:p>
        </w:tc>
      </w:tr>
      <w:tr w:rsidR="004F2D57" w:rsidRPr="004F2D57" w14:paraId="6565A6DD" w14:textId="77777777" w:rsidTr="004F2D57">
        <w:trPr>
          <w:tblCellSpacing w:w="15" w:type="dxa"/>
        </w:trPr>
        <w:tc>
          <w:tcPr>
            <w:tcW w:w="0" w:type="auto"/>
            <w:vAlign w:val="center"/>
            <w:hideMark/>
          </w:tcPr>
          <w:p w14:paraId="2282F22B" w14:textId="77777777" w:rsidR="004F2D57" w:rsidRPr="004F2D57" w:rsidRDefault="004F2D57" w:rsidP="004F2D57">
            <w:r w:rsidRPr="004F2D57">
              <w:rPr>
                <w:b/>
                <w:bCs/>
              </w:rPr>
              <w:t>Examples</w:t>
            </w:r>
          </w:p>
        </w:tc>
        <w:tc>
          <w:tcPr>
            <w:tcW w:w="0" w:type="auto"/>
            <w:vAlign w:val="center"/>
            <w:hideMark/>
          </w:tcPr>
          <w:p w14:paraId="1491311E" w14:textId="77777777" w:rsidR="004F2D57" w:rsidRPr="004F2D57" w:rsidRDefault="004F2D57" w:rsidP="004F2D57">
            <w:r w:rsidRPr="004F2D57">
              <w:t>Rotenone, Antimycin A, Cyanide, Oligomycin</w:t>
            </w:r>
          </w:p>
        </w:tc>
        <w:tc>
          <w:tcPr>
            <w:tcW w:w="0" w:type="auto"/>
            <w:vAlign w:val="center"/>
            <w:hideMark/>
          </w:tcPr>
          <w:p w14:paraId="2116090B" w14:textId="77777777" w:rsidR="004F2D57" w:rsidRPr="004F2D57" w:rsidRDefault="004F2D57" w:rsidP="004F2D57">
            <w:r w:rsidRPr="004F2D57">
              <w:t>DNP, FCCP, UCP1</w:t>
            </w:r>
          </w:p>
        </w:tc>
      </w:tr>
      <w:tr w:rsidR="004F2D57" w:rsidRPr="004F2D57" w14:paraId="150B97D0" w14:textId="77777777" w:rsidTr="004F2D57">
        <w:trPr>
          <w:tblCellSpacing w:w="15" w:type="dxa"/>
        </w:trPr>
        <w:tc>
          <w:tcPr>
            <w:tcW w:w="0" w:type="auto"/>
            <w:vAlign w:val="center"/>
            <w:hideMark/>
          </w:tcPr>
          <w:p w14:paraId="07BF4B26" w14:textId="77777777" w:rsidR="004F2D57" w:rsidRPr="004F2D57" w:rsidRDefault="004F2D57" w:rsidP="004F2D57">
            <w:r w:rsidRPr="004F2D57">
              <w:rPr>
                <w:b/>
                <w:bCs/>
              </w:rPr>
              <w:t>Electron Flow</w:t>
            </w:r>
          </w:p>
        </w:tc>
        <w:tc>
          <w:tcPr>
            <w:tcW w:w="0" w:type="auto"/>
            <w:vAlign w:val="center"/>
            <w:hideMark/>
          </w:tcPr>
          <w:p w14:paraId="50B2A2A2" w14:textId="77777777" w:rsidR="004F2D57" w:rsidRPr="004F2D57" w:rsidRDefault="004F2D57" w:rsidP="004F2D57">
            <w:r w:rsidRPr="004F2D57">
              <w:rPr>
                <w:b/>
                <w:bCs/>
              </w:rPr>
              <w:t>Blocked</w:t>
            </w:r>
          </w:p>
        </w:tc>
        <w:tc>
          <w:tcPr>
            <w:tcW w:w="0" w:type="auto"/>
            <w:vAlign w:val="center"/>
            <w:hideMark/>
          </w:tcPr>
          <w:p w14:paraId="7015F2AC" w14:textId="77777777" w:rsidR="004F2D57" w:rsidRPr="004F2D57" w:rsidRDefault="004F2D57" w:rsidP="004F2D57">
            <w:r w:rsidRPr="004F2D57">
              <w:rPr>
                <w:b/>
                <w:bCs/>
              </w:rPr>
              <w:t>Continues</w:t>
            </w:r>
          </w:p>
        </w:tc>
      </w:tr>
      <w:tr w:rsidR="004F2D57" w:rsidRPr="004F2D57" w14:paraId="5BB11FD2" w14:textId="77777777" w:rsidTr="004F2D57">
        <w:trPr>
          <w:tblCellSpacing w:w="15" w:type="dxa"/>
        </w:trPr>
        <w:tc>
          <w:tcPr>
            <w:tcW w:w="0" w:type="auto"/>
            <w:vAlign w:val="center"/>
            <w:hideMark/>
          </w:tcPr>
          <w:p w14:paraId="78CBCC9E" w14:textId="77777777" w:rsidR="004F2D57" w:rsidRPr="004F2D57" w:rsidRDefault="004F2D57" w:rsidP="004F2D57">
            <w:r w:rsidRPr="004F2D57">
              <w:rPr>
                <w:b/>
                <w:bCs/>
              </w:rPr>
              <w:t>ATP Synthesis</w:t>
            </w:r>
          </w:p>
        </w:tc>
        <w:tc>
          <w:tcPr>
            <w:tcW w:w="0" w:type="auto"/>
            <w:vAlign w:val="center"/>
            <w:hideMark/>
          </w:tcPr>
          <w:p w14:paraId="3D75C33B" w14:textId="77777777" w:rsidR="004F2D57" w:rsidRPr="004F2D57" w:rsidRDefault="004F2D57" w:rsidP="004F2D57">
            <w:r w:rsidRPr="004F2D57">
              <w:t>Stops due to halted proton pumping</w:t>
            </w:r>
          </w:p>
        </w:tc>
        <w:tc>
          <w:tcPr>
            <w:tcW w:w="0" w:type="auto"/>
            <w:vAlign w:val="center"/>
            <w:hideMark/>
          </w:tcPr>
          <w:p w14:paraId="69CF95C2" w14:textId="77777777" w:rsidR="004F2D57" w:rsidRPr="004F2D57" w:rsidRDefault="004F2D57" w:rsidP="004F2D57">
            <w:r w:rsidRPr="004F2D57">
              <w:t>Stops due to gradient collapse</w:t>
            </w:r>
          </w:p>
        </w:tc>
      </w:tr>
      <w:tr w:rsidR="004F2D57" w:rsidRPr="004F2D57" w14:paraId="080B910C" w14:textId="77777777" w:rsidTr="004F2D57">
        <w:trPr>
          <w:tblCellSpacing w:w="15" w:type="dxa"/>
        </w:trPr>
        <w:tc>
          <w:tcPr>
            <w:tcW w:w="0" w:type="auto"/>
            <w:vAlign w:val="center"/>
            <w:hideMark/>
          </w:tcPr>
          <w:p w14:paraId="351EAE28" w14:textId="77777777" w:rsidR="004F2D57" w:rsidRPr="004F2D57" w:rsidRDefault="004F2D57" w:rsidP="004F2D57">
            <w:r w:rsidRPr="004F2D57">
              <w:rPr>
                <w:b/>
                <w:bCs/>
              </w:rPr>
              <w:t>Oxygen Consumption</w:t>
            </w:r>
          </w:p>
        </w:tc>
        <w:tc>
          <w:tcPr>
            <w:tcW w:w="0" w:type="auto"/>
            <w:vAlign w:val="center"/>
            <w:hideMark/>
          </w:tcPr>
          <w:p w14:paraId="750BF976" w14:textId="77777777" w:rsidR="004F2D57" w:rsidRPr="004F2D57" w:rsidRDefault="004F2D57" w:rsidP="004F2D57">
            <w:r w:rsidRPr="004F2D57">
              <w:t>Decreased or halted</w:t>
            </w:r>
          </w:p>
        </w:tc>
        <w:tc>
          <w:tcPr>
            <w:tcW w:w="0" w:type="auto"/>
            <w:vAlign w:val="center"/>
            <w:hideMark/>
          </w:tcPr>
          <w:p w14:paraId="676E2843" w14:textId="77777777" w:rsidR="004F2D57" w:rsidRPr="004F2D57" w:rsidRDefault="004F2D57" w:rsidP="004F2D57">
            <w:r w:rsidRPr="004F2D57">
              <w:t>Increased to maximal ETC rate</w:t>
            </w:r>
          </w:p>
        </w:tc>
      </w:tr>
      <w:tr w:rsidR="004F2D57" w:rsidRPr="004F2D57" w14:paraId="740C0BCC" w14:textId="77777777" w:rsidTr="004F2D57">
        <w:trPr>
          <w:tblCellSpacing w:w="15" w:type="dxa"/>
        </w:trPr>
        <w:tc>
          <w:tcPr>
            <w:tcW w:w="0" w:type="auto"/>
            <w:vAlign w:val="center"/>
            <w:hideMark/>
          </w:tcPr>
          <w:p w14:paraId="3EC832C1" w14:textId="77777777" w:rsidR="004F2D57" w:rsidRPr="004F2D57" w:rsidRDefault="004F2D57" w:rsidP="004F2D57">
            <w:proofErr w:type="spellStart"/>
            <w:r w:rsidRPr="004F2D57">
              <w:rPr>
                <w:b/>
                <w:bCs/>
              </w:rPr>
              <w:t>Δψm</w:t>
            </w:r>
            <w:proofErr w:type="spellEnd"/>
            <w:r w:rsidRPr="004F2D57">
              <w:rPr>
                <w:b/>
                <w:bCs/>
              </w:rPr>
              <w:t xml:space="preserve"> / </w:t>
            </w:r>
            <w:proofErr w:type="spellStart"/>
            <w:r w:rsidRPr="004F2D57">
              <w:rPr>
                <w:b/>
                <w:bCs/>
              </w:rPr>
              <w:t>ΔpH</w:t>
            </w:r>
            <w:proofErr w:type="spellEnd"/>
          </w:p>
        </w:tc>
        <w:tc>
          <w:tcPr>
            <w:tcW w:w="0" w:type="auto"/>
            <w:vAlign w:val="center"/>
            <w:hideMark/>
          </w:tcPr>
          <w:p w14:paraId="214FF533" w14:textId="77777777" w:rsidR="004F2D57" w:rsidRPr="004F2D57" w:rsidRDefault="004F2D57" w:rsidP="004F2D57">
            <w:r w:rsidRPr="004F2D57">
              <w:t>Maintained until chain backs up</w:t>
            </w:r>
          </w:p>
        </w:tc>
        <w:tc>
          <w:tcPr>
            <w:tcW w:w="0" w:type="auto"/>
            <w:vAlign w:val="center"/>
            <w:hideMark/>
          </w:tcPr>
          <w:p w14:paraId="137E6C43" w14:textId="77777777" w:rsidR="004F2D57" w:rsidRPr="004F2D57" w:rsidRDefault="004F2D57" w:rsidP="004F2D57">
            <w:r w:rsidRPr="004F2D57">
              <w:t>Collapsed</w:t>
            </w:r>
          </w:p>
        </w:tc>
      </w:tr>
      <w:tr w:rsidR="004F2D57" w:rsidRPr="004F2D57" w14:paraId="7D9515AA" w14:textId="77777777" w:rsidTr="004F2D57">
        <w:trPr>
          <w:tblCellSpacing w:w="15" w:type="dxa"/>
        </w:trPr>
        <w:tc>
          <w:tcPr>
            <w:tcW w:w="0" w:type="auto"/>
            <w:vAlign w:val="center"/>
            <w:hideMark/>
          </w:tcPr>
          <w:p w14:paraId="0D2D7990" w14:textId="77777777" w:rsidR="004F2D57" w:rsidRPr="004F2D57" w:rsidRDefault="004F2D57" w:rsidP="004F2D57">
            <w:r w:rsidRPr="004F2D57">
              <w:rPr>
                <w:b/>
                <w:bCs/>
              </w:rPr>
              <w:t>Heat Generation</w:t>
            </w:r>
          </w:p>
        </w:tc>
        <w:tc>
          <w:tcPr>
            <w:tcW w:w="0" w:type="auto"/>
            <w:vAlign w:val="center"/>
            <w:hideMark/>
          </w:tcPr>
          <w:p w14:paraId="249D44E2" w14:textId="77777777" w:rsidR="004F2D57" w:rsidRPr="004F2D57" w:rsidRDefault="004F2D57" w:rsidP="004F2D57">
            <w:r w:rsidRPr="004F2D57">
              <w:t>No</w:t>
            </w:r>
          </w:p>
        </w:tc>
        <w:tc>
          <w:tcPr>
            <w:tcW w:w="0" w:type="auto"/>
            <w:vAlign w:val="center"/>
            <w:hideMark/>
          </w:tcPr>
          <w:p w14:paraId="40685516" w14:textId="77777777" w:rsidR="004F2D57" w:rsidRPr="004F2D57" w:rsidRDefault="004F2D57" w:rsidP="004F2D57">
            <w:r w:rsidRPr="004F2D57">
              <w:t>Yes</w:t>
            </w:r>
          </w:p>
        </w:tc>
      </w:tr>
      <w:tr w:rsidR="004F2D57" w:rsidRPr="004F2D57" w14:paraId="7A4528A7" w14:textId="77777777" w:rsidTr="004F2D57">
        <w:trPr>
          <w:tblCellSpacing w:w="15" w:type="dxa"/>
        </w:trPr>
        <w:tc>
          <w:tcPr>
            <w:tcW w:w="0" w:type="auto"/>
            <w:vAlign w:val="center"/>
            <w:hideMark/>
          </w:tcPr>
          <w:p w14:paraId="5B6D1171" w14:textId="77777777" w:rsidR="004F2D57" w:rsidRPr="004F2D57" w:rsidRDefault="004F2D57" w:rsidP="004F2D57">
            <w:r w:rsidRPr="004F2D57">
              <w:rPr>
                <w:b/>
                <w:bCs/>
              </w:rPr>
              <w:t>Clinical Implications</w:t>
            </w:r>
          </w:p>
        </w:tc>
        <w:tc>
          <w:tcPr>
            <w:tcW w:w="0" w:type="auto"/>
            <w:vAlign w:val="center"/>
            <w:hideMark/>
          </w:tcPr>
          <w:p w14:paraId="02431178" w14:textId="77777777" w:rsidR="004F2D57" w:rsidRPr="004F2D57" w:rsidRDefault="004F2D57" w:rsidP="004F2D57">
            <w:r w:rsidRPr="004F2D57">
              <w:t>Cyanide/CO poisoning, mitochondrial myopathies</w:t>
            </w:r>
          </w:p>
        </w:tc>
        <w:tc>
          <w:tcPr>
            <w:tcW w:w="0" w:type="auto"/>
            <w:vAlign w:val="center"/>
            <w:hideMark/>
          </w:tcPr>
          <w:p w14:paraId="6201CDE8" w14:textId="77777777" w:rsidR="004F2D57" w:rsidRPr="004F2D57" w:rsidRDefault="004F2D57" w:rsidP="004F2D57">
            <w:r w:rsidRPr="004F2D57">
              <w:t>Thermogenesis, DNP toxicity</w:t>
            </w:r>
          </w:p>
        </w:tc>
      </w:tr>
    </w:tbl>
    <w:p w14:paraId="31C395CF" w14:textId="77777777" w:rsidR="004F2D57" w:rsidRPr="004F2D57" w:rsidRDefault="004F2D57" w:rsidP="004F2D57">
      <w:r w:rsidRPr="004F2D57">
        <w:t> </w:t>
      </w:r>
    </w:p>
    <w:p w14:paraId="23CF9B56" w14:textId="77777777" w:rsidR="00C166E8" w:rsidRDefault="00C166E8"/>
    <w:sectPr w:rsidR="00C166E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C4C7F6" w14:textId="77777777" w:rsidR="00EB33C5" w:rsidRDefault="00EB33C5" w:rsidP="004F2D57">
      <w:pPr>
        <w:spacing w:after="0" w:line="240" w:lineRule="auto"/>
      </w:pPr>
      <w:r>
        <w:separator/>
      </w:r>
    </w:p>
  </w:endnote>
  <w:endnote w:type="continuationSeparator" w:id="0">
    <w:p w14:paraId="74B6F412" w14:textId="77777777" w:rsidR="00EB33C5" w:rsidRDefault="00EB33C5" w:rsidP="004F2D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B172C6" w14:textId="77777777" w:rsidR="00EB33C5" w:rsidRDefault="00EB33C5" w:rsidP="004F2D57">
      <w:pPr>
        <w:spacing w:after="0" w:line="240" w:lineRule="auto"/>
      </w:pPr>
      <w:r>
        <w:separator/>
      </w:r>
    </w:p>
  </w:footnote>
  <w:footnote w:type="continuationSeparator" w:id="0">
    <w:p w14:paraId="21EAF251" w14:textId="77777777" w:rsidR="00EB33C5" w:rsidRDefault="00EB33C5" w:rsidP="004F2D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DB39B8"/>
    <w:multiLevelType w:val="multilevel"/>
    <w:tmpl w:val="1C70371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FDA5375"/>
    <w:multiLevelType w:val="multilevel"/>
    <w:tmpl w:val="E99CB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2AC0ACC"/>
    <w:multiLevelType w:val="multilevel"/>
    <w:tmpl w:val="BA1E8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03E3B83"/>
    <w:multiLevelType w:val="multilevel"/>
    <w:tmpl w:val="C756A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1644914">
    <w:abstractNumId w:val="3"/>
  </w:num>
  <w:num w:numId="2" w16cid:durableId="371881489">
    <w:abstractNumId w:val="0"/>
  </w:num>
  <w:num w:numId="3" w16cid:durableId="1333334551">
    <w:abstractNumId w:val="1"/>
  </w:num>
  <w:num w:numId="4" w16cid:durableId="9318593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D57"/>
    <w:rsid w:val="002B6002"/>
    <w:rsid w:val="004F2D57"/>
    <w:rsid w:val="005579A5"/>
    <w:rsid w:val="00B24B5F"/>
    <w:rsid w:val="00C166E8"/>
    <w:rsid w:val="00EB33C5"/>
    <w:rsid w:val="00FA55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0FC9E"/>
  <w15:chartTrackingRefBased/>
  <w15:docId w15:val="{D65B070A-30AD-4549-81E6-87981A6EC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2D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F2D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F2D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2D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2D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2D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2D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2D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2D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2D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F2D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2D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2D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2D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2D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2D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2D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2D57"/>
    <w:rPr>
      <w:rFonts w:eastAsiaTheme="majorEastAsia" w:cstheme="majorBidi"/>
      <w:color w:val="272727" w:themeColor="text1" w:themeTint="D8"/>
    </w:rPr>
  </w:style>
  <w:style w:type="paragraph" w:styleId="Title">
    <w:name w:val="Title"/>
    <w:basedOn w:val="Normal"/>
    <w:next w:val="Normal"/>
    <w:link w:val="TitleChar"/>
    <w:uiPriority w:val="10"/>
    <w:qFormat/>
    <w:rsid w:val="004F2D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2D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2D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2D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2D57"/>
    <w:pPr>
      <w:spacing w:before="160"/>
      <w:jc w:val="center"/>
    </w:pPr>
    <w:rPr>
      <w:i/>
      <w:iCs/>
      <w:color w:val="404040" w:themeColor="text1" w:themeTint="BF"/>
    </w:rPr>
  </w:style>
  <w:style w:type="character" w:customStyle="1" w:styleId="QuoteChar">
    <w:name w:val="Quote Char"/>
    <w:basedOn w:val="DefaultParagraphFont"/>
    <w:link w:val="Quote"/>
    <w:uiPriority w:val="29"/>
    <w:rsid w:val="004F2D57"/>
    <w:rPr>
      <w:i/>
      <w:iCs/>
      <w:color w:val="404040" w:themeColor="text1" w:themeTint="BF"/>
    </w:rPr>
  </w:style>
  <w:style w:type="paragraph" w:styleId="ListParagraph">
    <w:name w:val="List Paragraph"/>
    <w:basedOn w:val="Normal"/>
    <w:uiPriority w:val="34"/>
    <w:qFormat/>
    <w:rsid w:val="004F2D57"/>
    <w:pPr>
      <w:ind w:left="720"/>
      <w:contextualSpacing/>
    </w:pPr>
  </w:style>
  <w:style w:type="character" w:styleId="IntenseEmphasis">
    <w:name w:val="Intense Emphasis"/>
    <w:basedOn w:val="DefaultParagraphFont"/>
    <w:uiPriority w:val="21"/>
    <w:qFormat/>
    <w:rsid w:val="004F2D57"/>
    <w:rPr>
      <w:i/>
      <w:iCs/>
      <w:color w:val="2F5496" w:themeColor="accent1" w:themeShade="BF"/>
    </w:rPr>
  </w:style>
  <w:style w:type="paragraph" w:styleId="IntenseQuote">
    <w:name w:val="Intense Quote"/>
    <w:basedOn w:val="Normal"/>
    <w:next w:val="Normal"/>
    <w:link w:val="IntenseQuoteChar"/>
    <w:uiPriority w:val="30"/>
    <w:qFormat/>
    <w:rsid w:val="004F2D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2D57"/>
    <w:rPr>
      <w:i/>
      <w:iCs/>
      <w:color w:val="2F5496" w:themeColor="accent1" w:themeShade="BF"/>
    </w:rPr>
  </w:style>
  <w:style w:type="character" w:styleId="IntenseReference">
    <w:name w:val="Intense Reference"/>
    <w:basedOn w:val="DefaultParagraphFont"/>
    <w:uiPriority w:val="32"/>
    <w:qFormat/>
    <w:rsid w:val="004F2D57"/>
    <w:rPr>
      <w:b/>
      <w:bCs/>
      <w:smallCaps/>
      <w:color w:val="2F5496" w:themeColor="accent1" w:themeShade="BF"/>
      <w:spacing w:val="5"/>
    </w:rPr>
  </w:style>
  <w:style w:type="paragraph" w:styleId="Header">
    <w:name w:val="header"/>
    <w:basedOn w:val="Normal"/>
    <w:link w:val="HeaderChar"/>
    <w:uiPriority w:val="99"/>
    <w:unhideWhenUsed/>
    <w:rsid w:val="004F2D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2D57"/>
  </w:style>
  <w:style w:type="paragraph" w:styleId="Footer">
    <w:name w:val="footer"/>
    <w:basedOn w:val="Normal"/>
    <w:link w:val="FooterChar"/>
    <w:uiPriority w:val="99"/>
    <w:unhideWhenUsed/>
    <w:rsid w:val="004F2D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2D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12</Pages>
  <Words>3291</Words>
  <Characters>18762</Characters>
  <Application>Microsoft Office Word</Application>
  <DocSecurity>0</DocSecurity>
  <Lines>156</Lines>
  <Paragraphs>44</Paragraphs>
  <ScaleCrop>false</ScaleCrop>
  <Company/>
  <LinksUpToDate>false</LinksUpToDate>
  <CharactersWithSpaces>22009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Editor Durranis</dc:creator>
  <cp:keywords/>
  <dc:description/>
  <cp:lastModifiedBy>Editor Durranis</cp:lastModifiedBy>
  <cp:revision>2</cp:revision>
  <dcterms:created xsi:type="dcterms:W3CDTF">2025-08-25T12:06:00Z</dcterms:created>
  <dcterms:modified xsi:type="dcterms:W3CDTF">2025-08-25T12:30:00Z</dcterms:modified>
</cp:coreProperties>
</file>