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4"/>
        </w:rPr>
        <w:t>Synthetic Credit Application Summary</w:t>
      </w:r>
    </w:p>
    <w:p>
      <w:pPr>
        <w:jc w:val="center"/>
      </w:pPr>
      <w:r>
        <w:t>Northstar Trading Ltd. - Test Case FA-2025-001</w:t>
      </w:r>
    </w:p>
    <w:p>
      <w:r>
        <w:rPr>
          <w:b/>
        </w:rPr>
        <w:t>SYNTHETIC TEST DATA - NOT A REAL APPLICATION</w:t>
      </w:r>
    </w:p>
    <w:p>
      <w:pPr>
        <w:pStyle w:val="Heading1"/>
      </w:pPr>
      <w:r>
        <w:t>Applicant overview</w:t>
      </w:r>
    </w:p>
    <w:p>
      <w:r>
        <w:rPr>
          <w:b/>
        </w:rPr>
        <w:t xml:space="preserve">Applicant: </w:t>
      </w:r>
      <w:r>
        <w:t>Northstar Trading Ltd.</w:t>
      </w:r>
    </w:p>
    <w:p>
      <w:r>
        <w:rPr>
          <w:b/>
        </w:rPr>
        <w:t xml:space="preserve">Requested facility: </w:t>
      </w:r>
      <w:r>
        <w:t>BDT 8,000,000 working-capital line</w:t>
      </w:r>
    </w:p>
    <w:p>
      <w:r>
        <w:rPr>
          <w:b/>
        </w:rPr>
        <w:t xml:space="preserve">Term: </w:t>
      </w:r>
      <w:r>
        <w:t>24 months</w:t>
      </w:r>
    </w:p>
    <w:p>
      <w:r>
        <w:rPr>
          <w:b/>
        </w:rPr>
        <w:t xml:space="preserve">Purpose: </w:t>
      </w:r>
      <w:r>
        <w:t>Inventory purchases and receivables financing</w:t>
      </w:r>
    </w:p>
    <w:p>
      <w:pPr>
        <w:pStyle w:val="Heading1"/>
      </w:pPr>
      <w:r>
        <w:t>Financial snapshot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Metric</w:t>
            </w:r>
          </w:p>
        </w:tc>
        <w:tc>
          <w:tcPr>
            <w:tcW w:type="dxa" w:w="3312"/>
          </w:tcPr>
          <w:p>
            <w:r>
              <w:t>2025</w:t>
            </w:r>
          </w:p>
        </w:tc>
        <w:tc>
          <w:tcPr>
            <w:tcW w:type="dxa" w:w="3312"/>
          </w:tcPr>
          <w:p>
            <w:r>
              <w:t>2024</w:t>
            </w:r>
          </w:p>
        </w:tc>
      </w:tr>
      <w:tr>
        <w:tc>
          <w:tcPr>
            <w:tcW w:type="dxa" w:w="3312"/>
          </w:tcPr>
          <w:p>
            <w:r>
              <w:t>Revenue</w:t>
            </w:r>
          </w:p>
        </w:tc>
        <w:tc>
          <w:tcPr>
            <w:tcW w:type="dxa" w:w="3312"/>
          </w:tcPr>
          <w:p>
            <w:r>
              <w:t>BDT 48,500,000</w:t>
            </w:r>
          </w:p>
        </w:tc>
        <w:tc>
          <w:tcPr>
            <w:tcW w:type="dxa" w:w="3312"/>
          </w:tcPr>
          <w:p>
            <w:r>
              <w:t>BDT 41,200,000</w:t>
            </w:r>
          </w:p>
        </w:tc>
      </w:tr>
      <w:tr>
        <w:tc>
          <w:tcPr>
            <w:tcW w:type="dxa" w:w="3312"/>
          </w:tcPr>
          <w:p>
            <w:r>
              <w:t>EBITDA</w:t>
            </w:r>
          </w:p>
        </w:tc>
        <w:tc>
          <w:tcPr>
            <w:tcW w:type="dxa" w:w="3312"/>
          </w:tcPr>
          <w:p>
            <w:r>
              <w:t>BDT 6,900,000</w:t>
            </w:r>
          </w:p>
        </w:tc>
        <w:tc>
          <w:tcPr>
            <w:tcW w:type="dxa" w:w="3312"/>
          </w:tcPr>
          <w:p>
            <w:r>
              <w:t>BDT 5,400,000</w:t>
            </w:r>
          </w:p>
        </w:tc>
      </w:tr>
      <w:tr>
        <w:tc>
          <w:tcPr>
            <w:tcW w:type="dxa" w:w="3312"/>
          </w:tcPr>
          <w:p>
            <w:r>
              <w:t>Net income</w:t>
            </w:r>
          </w:p>
        </w:tc>
        <w:tc>
          <w:tcPr>
            <w:tcW w:type="dxa" w:w="3312"/>
          </w:tcPr>
          <w:p>
            <w:r>
              <w:t>BDT 3,650,000</w:t>
            </w:r>
          </w:p>
        </w:tc>
        <w:tc>
          <w:tcPr>
            <w:tcW w:type="dxa" w:w="3312"/>
          </w:tcPr>
          <w:p>
            <w:r>
              <w:t>BDT 2,710,000</w:t>
            </w:r>
          </w:p>
        </w:tc>
      </w:tr>
      <w:tr>
        <w:tc>
          <w:tcPr>
            <w:tcW w:type="dxa" w:w="3312"/>
          </w:tcPr>
          <w:p>
            <w:r>
              <w:t>Total debt</w:t>
            </w:r>
          </w:p>
        </w:tc>
        <w:tc>
          <w:tcPr>
            <w:tcW w:type="dxa" w:w="3312"/>
          </w:tcPr>
          <w:p>
            <w:r>
              <w:t>BDT 9,500,000</w:t>
            </w:r>
          </w:p>
        </w:tc>
        <w:tc>
          <w:tcPr>
            <w:tcW w:type="dxa" w:w="3312"/>
          </w:tcPr>
          <w:p>
            <w:r>
              <w:t>BDT 8,100,000</w:t>
            </w:r>
          </w:p>
        </w:tc>
      </w:tr>
    </w:tbl>
    <w:p>
      <w:pPr>
        <w:pStyle w:val="Heading1"/>
      </w:pPr>
      <w:r>
        <w:t>Documents supplied</w:t>
      </w:r>
    </w:p>
    <w:p>
      <w:pPr>
        <w:pStyle w:val="ListBullet"/>
      </w:pPr>
      <w:r>
        <w:t>Audited financial statements for 2024 and 2025</w:t>
      </w:r>
    </w:p>
    <w:p>
      <w:pPr>
        <w:pStyle w:val="ListBullet"/>
      </w:pPr>
      <w:r>
        <w:t>Six-month bank statement</w:t>
      </w:r>
    </w:p>
    <w:p>
      <w:pPr>
        <w:pStyle w:val="ListBullet"/>
      </w:pPr>
      <w:r>
        <w:t>Trade license</w:t>
      </w:r>
    </w:p>
    <w:p>
      <w:pPr>
        <w:pStyle w:val="ListBullet"/>
      </w:pPr>
      <w:r>
        <w:t>Tax return acknowledgement</w:t>
      </w:r>
    </w:p>
    <w:p>
      <w:pPr>
        <w:pStyle w:val="Heading1"/>
      </w:pPr>
      <w:r>
        <w:t>Review flags</w:t>
      </w:r>
    </w:p>
    <w:p>
      <w:pPr>
        <w:pStyle w:val="ListBullet"/>
      </w:pPr>
      <w:r>
        <w:t>Customer concentration exceeds 30% for one buyer</w:t>
      </w:r>
    </w:p>
    <w:p>
      <w:pPr>
        <w:pStyle w:val="ListBullet"/>
      </w:pPr>
      <w:r>
        <w:t>Receivable days increased from 48 to 61</w:t>
      </w:r>
    </w:p>
    <w:p>
      <w:pPr>
        <w:pStyle w:val="ListBullet"/>
      </w:pPr>
      <w:r>
        <w:t>Latest inventory ageing report is missing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Synthetic fixture for Financial AI Agent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