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1980"/>
        <w:gridCol w:w="27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 Area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Team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Target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Route Optimization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Mandate immediate performance reviews and carrier renegotiations for all Bottom 10 routes.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Logistics Operations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Efficiency Score &gt;70 for all routes within 90 days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Bottleneck Mitigation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Shift carrier allocation for Central US corridor and South region to bypass infrastructure friction.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Network Strategy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Reduce South avg lead time from 8.1d → 6.5d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Ship Mode Policy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Restrict Expedited shipping to long-haul routes where ROI is statistically validated.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Procurement / Finance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Reduce unnecessary expedite spend by est. 20%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Delay Monitoring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Integrate Delay Frequency KPI into monthly executive scorecards.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18"/>
                <w:szCs w:val="18"/>
              </w:rPr>
              <w:t xml:space="preserve">Medium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Analytics &amp; BI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Monthly Delay Freq dashboard live within 30 days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Seasonal Planning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Pre-position Sugar division inventory (MN/IL) ahead of peak demand windows.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18"/>
                <w:szCs w:val="18"/>
              </w:rPr>
              <w:t xml:space="preserve">Medium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Supply Planning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Zero out-of-stock events during peak — Q4</w:t>
            </w:r>
          </w:p>
        </w:tc>
      </w:tr>
    </w:tbl>
    <w:p>
      <w:pPr>
        <w:spacing w:before="100" w:after="60"/>
      </w:pPr>
    </w:p>
    <w:p>
      <w:pPr>
        <w:pBdr>
          <w:bottom w:val="single" w:color="1565C0" w:sz="4" w:space="2"/>
        </w:pBdr>
        <w:spacing w:before="60" w:after="6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REFERENCES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[1]  McKinney, W. (2010). Data Structures for Statistical Computing in Python. Proceedings of the 9th Python in Science Conference.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[2]  Harris, C.R. et al. (2020). Array programming with NumPy. Nature, 585, 357–362.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[3]  Hunter, J.D. (2007). Matplotlib: A 2D Graphics Environment. Computing in Science &amp; Engineering, 9(3), 90–95.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[4]  Waskom, M. (2021). Seaborn: Statistical Data Visualization. Journal of Open Source Software, 6(60), 3021.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[5]  Streamlit Inc. (2020–2025). Streamlit: The fastest way to build data apps. https://streamlit.io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[6]  Project Jupyter. (2024). Jupyter Notebook Documentation. https://jupyter.org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[7]  Council of Supply Chain Management Professionals (CSCMP). (2025). Supply Chain Terms and Glossary.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[8]  Bureau of Transportation Statistics (BTS). (2024). Freight Analysis Framework Data. https://bts.gov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[9]  Techwithabhi. (2025). Nassau Shipping Analysis. GitHub: github.com/Techwithabhi/main_projects_da</w:t>
      </w:r>
    </w:p>
    <w:p>
      <w:pPr>
        <w:spacing w:before="80" w:after="40"/>
      </w:pPr>
    </w:p>
    <w:sectPr>
      <w:type w:val="continuous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3"/>
      </w:pBdr>
      <w:tabs>
        <w:tab w:val="right" w:pos="9026"/>
      </w:tabs>
      <w:spacing w:before="60"/>
    </w:pPr>
    <w:r>
      <w:rPr>
        <w:rFonts w:ascii="Times New Roman" w:cs="Times New Roman" w:eastAsia="Times New Roman" w:hAnsi="Times New Roman"/>
        <w:i/>
        <w:iCs/>
        <w:color w:val="888888"/>
        <w:sz w:val="16"/>
        <w:szCs w:val="16"/>
      </w:rPr>
      <w:t xml:space="preserve">© 2025 Nassau Candy Distributor — Shipping Route Efficiency Analysis  </w:t>
    </w:r>
    <w:r>
      <w:rPr>
        <w:rFonts w:ascii="Times New Roman" w:cs="Times New Roman" w:eastAsia="Times New Roman" w:hAnsi="Times New Roman"/>
      </w:rPr>
      <w:t xml:space="preserve">	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3"/>
      </w:pBdr>
      <w:tabs>
        <w:tab w:val="right" w:pos="9026"/>
      </w:tabs>
      <w:spacing w:after="60"/>
    </w:pPr>
    <w:r>
      <w:rPr>
        <w:rFonts w:ascii="Times New Roman" w:cs="Times New Roman" w:eastAsia="Times New Roman" w:hAnsi="Times New Roman"/>
        <w:i/>
        <w:iCs/>
        <w:color w:val="666666"/>
        <w:sz w:val="16"/>
        <w:szCs w:val="16"/>
      </w:rPr>
      <w:t xml:space="preserve">International Journal of Logistics &amp; Supply Chain Analytics  </w:t>
    </w:r>
    <w:r>
      <w:rPr>
        <w:rFonts w:ascii="Times New Roman" w:cs="Times New Roman" w:eastAsia="Times New Roman" w:hAnsi="Times New Roman"/>
      </w:rPr>
      <w:t xml:space="preserve">	</w:t>
    </w:r>
    <w:r>
      <w:rPr>
        <w:rFonts w:ascii="Times New Roman" w:cs="Times New Roman" w:eastAsia="Times New Roman" w:hAnsi="Times New Roman"/>
        <w:i/>
        <w:iCs/>
        <w:color w:val="666666"/>
        <w:sz w:val="16"/>
        <w:szCs w:val="16"/>
      </w:rPr>
      <w:t xml:space="preserve">Vol. 12, No. 3 (2025)   ISSN: 2398-4791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8a40f0e3034d0536d48ab4045ee9dae651d3cf8.png"/><Relationship Id="rId9" Type="http://schemas.openxmlformats.org/officeDocument/2006/relationships/image" Target="media/f642e1d19b0068268e7c0200f8943ee08fbfe6c6.png"/><Relationship Id="rId10" Type="http://schemas.openxmlformats.org/officeDocument/2006/relationships/image" Target="media/f9b6d15afe9534b55db69cdda279af64ead3b5a6.png"/><Relationship Id="rId11" Type="http://schemas.openxmlformats.org/officeDocument/2006/relationships/image" Target="media/154447b0dc4e3186bb11d788d21092ad72362238.png"/><Relationship Id="rId12" Type="http://schemas.openxmlformats.org/officeDocument/2006/relationships/image" Target="media/dd01c28bf46ec5699b103068daec142f84423547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2026-03-24T18:59:59.432Z</dcterms:created>
  <dcterms:modified xsi:type="dcterms:W3CDTF">2026-03-24T18:59:59.433Z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