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4A235A"/>
        </w:rPr>
        <w:t xml:space="preserve">Laws of Motion (TN Samacheer Kalvi) — Parallel Topics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Comparing every subtopic in Chapter 3, "Laws of Motion" (Samacheer Kalvi 11th Physics, Volume 1) against the topic list of the "Force and Newton's Laws" unit from the reference interactive-physics course (with circular-motion parallels drawn from that course's separate "Uniform Circular Motion and Gravitation" unit, since Tamil Nadu's syllabus places circular motion inside Laws of Motion itself).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4200"/>
        <w:gridCol w:w="3600"/>
      </w:tblGrid>
      <w:tr>
        <w:trPr>
          <w:tblHeader/>
        </w:trPr>
        <w:tc>
          <w:tcPr>
            <w:tcW w:type="dxa" w:w="24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LOM Section</w:t>
            </w:r>
          </w:p>
        </w:tc>
        <w:tc>
          <w:tcPr>
            <w:tcW w:type="dxa" w:w="42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LOM Subtopic</w:t>
            </w:r>
          </w:p>
        </w:tc>
        <w:tc>
          <w:tcPr>
            <w:tcW w:type="dxa" w:w="42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Parallel Topic — "Force and Newton's Laws" unit</w:t>
            </w:r>
          </w:p>
        </w:tc>
        <w:tc>
          <w:tcPr>
            <w:tcW w:type="dxa" w:w="36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Parallel Type / Notes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3.1 Introduction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(whole section — no numbered sub-items)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 framing (Aristotle vs. Galileo). The reference course has no 'nature of science' lesson; it starts directly with modeling assumptions.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3.2.1 Newton’s First Law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Mass, Inertia, and Newton’s First Law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3.2.2 Newton’s Second Law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Newton’s Second Law in 1D; Newton’s Second Law in 2D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 — reference course splits it into two lessons by dimension.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3.2.3 Newton’s Third Law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Newton’s Third Law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3.2.4 Discussion on Newton’s Laws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Systems and Internal vs External Forces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 parallel — both explore why action-reaction pairs don’t cancel a system’s motion (our horse-and-cart lesson).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 Free Body Diagram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Point Particle Model; Normal Forces from Surfaces; Strings and Tension Forces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 — FBD is taught as several building-block lessons rather than one.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3.3.2 Particle Moving in an Inclined Plane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Frictionless Inclines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3.3.3 Two Bodies in Contact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Stacked Objects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3.3.4 Motion of Connected Bodies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Connected Objects; Ideal Pulleys and Atwood Machines; Multiple Pulleys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3.3.5 Concurrent Forces and Lami’s Theorem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Traffic Light Static Tension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 parallel — same three-force equilibrium problem type.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3.4 Lami’s Theorem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(whole section — no numbered sub-items)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Traffic Light Static Tension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 parallel — the reference course solves the same equilibrium problems by resolving components, not via a named ‘Lami’s theorem’. The theorem itself is specific to the TN syllabus.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3.5 Law of Conservation of Total Linear Momentum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(whole section)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not in this unit —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parallel in the ‘Force and Newton’s Laws’ unit. Momentum/impulse is its own separate unit in the reference course.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3.5 Law of Conservation of Total Linear Momentum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3.5.1 Impulse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not in this unit 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above — covered in a different unit of the reference course.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3.6.1 Introduction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Static Friction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 parallel — introduced as part of the Static Friction lesson rather than a standalone intro.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3.6.2 Static Friction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Static Friction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3.6.3 Kinetic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Kinetic Friction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3.6.4 To Move an Object: Push or Pull?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Folded into Static Friction problem-solving rather than a separate named lesson.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3.6.5 Angle of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named separately; implicit in Rough Inclines problems.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3.6.6 Angle of Repose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above.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3.6.7 Application of Angle of Repose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Rough Inclines; Box Sliding Down Ramp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 parallel — same scenario family, different derivation approach.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3.6.8 Rolling Friction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covered in this unit’s topic list.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3.6.9 Methods to Reduce Friction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Applied/practical topic, not covered in this unit’s topic list.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3.7.1 Centripetal Force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Centripetal Force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 (from the reference course’s separate ‘Uniform Circular Motion and Gravitation’ unit).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3.7.2 Vehicle on a Leveled Circular Road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Flat Curves With Friction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3.7.3 Banking of Tracks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Frictionless Banked Curves; Design Speed of Frictionless Banked Curves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parallel.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3.7.4 Centrifugal Force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Curriculum gap: the reference course’s topic list has no rotating-frame / pseudo-force lesson.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3.7.5 Effects of Centrifugal Force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curriculum gap as above.</w:t>
            </w:r>
          </w:p>
        </w:tc>
      </w:tr>
      <w:tr>
        <w:trPr>
          <w:cantSplit/>
        </w:trPr>
        <w:tc>
          <w:tcPr>
            <w:tcW w:type="dxa" w:w="24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3.7.6 Centrifugal Force due to Rotation of the Earth</w:t>
            </w:r>
          </w:p>
        </w:tc>
        <w:tc>
          <w:tcPr>
            <w:tcW w:type="dxa" w:w="42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curriculum gap as above.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3.7.7 Centripetal Force Versus Centrifugal Force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 no dedicated topic 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Real-vs-pseudo-force distinction isn’t a named topic in the reference list.</w:t>
            </w:r>
          </w:p>
        </w:tc>
      </w:tr>
    </w:tbl>
    <w:p>
      <w:pPr>
        <w:spacing w:after="120" w:before="300"/>
      </w:pPr>
      <w:r>
        <w:rPr>
          <w:b/>
          <w:bCs/>
          <w:color w:val="4A235A"/>
          <w:sz w:val="22"/>
          <w:szCs w:val="22"/>
        </w:rPr>
        <w:t xml:space="preserve">Reading the "Parallel Type" column</w:t>
      </w:r>
    </w:p>
    <w:p>
      <w:pPr>
        <w:spacing w:after="60"/>
      </w:pPr>
      <w:r>
        <w:rPr>
          <w:sz w:val="19"/>
          <w:szCs w:val="19"/>
        </w:rPr>
        <w:t xml:space="preserve">Direct parallel — same concept, same scope, just a different name.</w:t>
      </w:r>
    </w:p>
    <w:p>
      <w:pPr>
        <w:spacing w:after="60"/>
      </w:pPr>
      <w:r>
        <w:rPr>
          <w:sz w:val="19"/>
          <w:szCs w:val="19"/>
        </w:rPr>
        <w:t xml:space="preserve">Close parallel — same underlying idea, taught through a different problem or framing.</w:t>
      </w:r>
    </w:p>
    <w:p>
      <w:pPr>
        <w:spacing w:after="60"/>
      </w:pPr>
      <w:r>
        <w:rPr>
          <w:sz w:val="19"/>
          <w:szCs w:val="19"/>
        </w:rPr>
        <w:t xml:space="preserve">Partial parallel — overlapping scenario, but solved with a different method or tool.</w:t>
      </w:r>
    </w:p>
    <w:p>
      <w:pPr>
        <w:spacing w:after="200"/>
      </w:pPr>
      <w:r>
        <w:rPr>
          <w:sz w:val="19"/>
          <w:szCs w:val="19"/>
        </w:rPr>
        <w:t xml:space="preserve">No dedicated topic / curriculum gap — the idea doesn’t appear as a named lesson in the reference course’s topic list.</w:t>
      </w:r>
    </w:p>
    <w:p>
      <w:pPr>
        <w:spacing w:after="120" w:before="200"/>
      </w:pPr>
      <w:r>
        <w:rPr>
          <w:b/>
          <w:bCs/>
          <w:color w:val="4A235A"/>
          <w:sz w:val="22"/>
          <w:szCs w:val="22"/>
        </w:rPr>
        <w:t xml:space="preserve">Appendix — "Force and Newton's Laws" topics with no Laws of Motion counterpart</w:t>
      </w:r>
    </w:p>
    <w:p>
      <w:pPr>
        <w:spacing w:after="120"/>
      </w:pPr>
      <w:r>
        <w:rPr>
          <w:sz w:val="19"/>
          <w:szCs w:val="19"/>
        </w:rPr>
        <w:t xml:space="preserve">These reference-course topics don’t map to anything in the Samacheer Kalvi Laws of Motion chapter at all — either because they’re covered in a different TN chapter (e.g. springs and center of mass appear elsewhere in Properties of Matter / Systems of Particles) or aren’t part of the TN syllabus: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Force (the introductory lesson on what a force is)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Center of Mass in 1D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Center of Mass in 2D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Weight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Spring Forces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Apparent Weight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2026-08-07T07:24:05.736Z</dcterms:created>
  <dcterms:modified xsi:type="dcterms:W3CDTF">2026-08-07T07:24:05.736Z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