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adc62f70d9beeb00a5d667d6b6f2da31054e84"/>
    <w:p>
      <w:pPr>
        <w:pStyle w:val="Heading1"/>
      </w:pPr>
      <w:r>
        <w:t xml:space="preserve">Filtro Prensa Móvil vs. Fijo: Marco de Decisión Económica</w:t>
      </w:r>
    </w:p>
    <w:p>
      <w:pPr>
        <w:pStyle w:val="FirstParagraph"/>
      </w:pPr>
      <w:r>
        <w:rPr>
          <w:b/>
          <w:bCs/>
        </w:rPr>
        <w:t xml:space="preserve">La decisión entre comprar equipos de filtración o contratar un servicio no es una pregunta técnica — es una pregunta de asignación de capital. Aquí está el marco honesto para evaluarla.</w:t>
      </w:r>
    </w:p>
    <w:p>
      <w:r>
        <w:pict>
          <v:rect style="width:0;height:1.5pt" o:hralign="center" o:hrstd="t" o:hr="t"/>
        </w:pict>
      </w:r>
    </w:p>
    <w:p>
      <w:pPr>
        <w:pStyle w:val="FirstParagraph"/>
      </w:pPr>
      <w:r>
        <w:rPr>
          <w:b/>
          <w:bCs/>
        </w:rPr>
        <w:t xml:space="preserve">Autor:</w:t>
      </w:r>
      <w:r>
        <w:t xml:space="preserve"> </w:t>
      </w:r>
      <w:r>
        <w:t xml:space="preserve">Equipo Técnico TSF</w:t>
      </w:r>
      <w:r>
        <w:t xml:space="preserve"> </w:t>
      </w:r>
      <w:r>
        <w:rPr>
          <w:b/>
          <w:bCs/>
        </w:rPr>
        <w:t xml:space="preserve">Tags:</w:t>
      </w:r>
      <w:r>
        <w:t xml:space="preserve"> </w:t>
      </w:r>
      <w:r>
        <w:t xml:space="preserve">CAPEX, OPEX, Decisión Estratégica, Filtración, Gestión de Capital</w:t>
      </w:r>
      <w:r>
        <w:t xml:space="preserve"> </w:t>
      </w:r>
      <w:r>
        <w:rPr>
          <w:b/>
          <w:bCs/>
        </w:rPr>
        <w:t xml:space="preserve">Impacto:</w:t>
      </w:r>
      <w:r>
        <w:t xml:space="preserve"> </w:t>
      </w:r>
      <w:r>
        <w:t xml:space="preserve">Alto</w:t>
      </w:r>
    </w:p>
    <w:p>
      <w:r>
        <w:pict>
          <v:rect style="width:0;height:1.5pt" o:hralign="center" o:hrstd="t" o:hr="t"/>
        </w:pict>
      </w:r>
    </w:p>
    <w:bookmarkStart w:id="9" w:name="Xd7c75407a317e52b68a3f4694e70e8e1265a541"/>
    <w:p>
      <w:pPr>
        <w:pStyle w:val="Heading2"/>
      </w:pPr>
      <w:r>
        <w:t xml:space="preserve">La Pregunta de USD $8-15M Que Todas las Operaciones Enfrentan</w:t>
      </w:r>
    </w:p>
    <w:p>
      <w:pPr>
        <w:pStyle w:val="FirstParagraph"/>
      </w:pPr>
      <w:r>
        <w:t xml:space="preserve">Si tu planta procesa entre 100 y 150 toneladas por día de borras, concentrados o relaves, tienes una decisión que revisar cada 5-10 años: ¿vale la pena inmovilizar capital en equipos de filtración propios, o conviene contratar esa capacidad como servicio?</w:t>
      </w:r>
    </w:p>
    <w:p>
      <w:pPr>
        <w:pStyle w:val="BodyText"/>
      </w:pPr>
      <w:r>
        <w:t xml:space="preserve">La respuesta por defecto de la industria minera durante décadas ha sido comprar. Pero ese default se estableció cuando los mercados de servicios móviles no existían, cuando los costos de capital eran más bajos, y cuando el ciclo de vida de una mina se medía en décadas predecibles.</w:t>
      </w:r>
    </w:p>
    <w:p>
      <w:pPr>
        <w:pStyle w:val="BodyText"/>
      </w:pPr>
      <w:r>
        <w:t xml:space="preserve">Ninguna de esas condiciones se mantiene hoy. Si tu comité de inversiones sigue usando el framework de 2005, probablemente está tomando la decisión equivocada.</w:t>
      </w:r>
    </w:p>
    <w:p>
      <w:pPr>
        <w:pStyle w:val="BlockText"/>
      </w:pPr>
      <w:r>
        <w:rPr>
          <w:b/>
          <w:bCs/>
        </w:rPr>
        <w:t xml:space="preserve">Este artículo no argumenta que lo móvil siempre gana.</w:t>
      </w:r>
      <w:r>
        <w:t xml:space="preserve"> </w:t>
      </w:r>
      <w:r>
        <w:t xml:space="preserve">Hay escenarios donde la compra de equipos sigue siendo la decisión correcta, y los identificamos explícitamente. El objetivo es darte un marco honesto para decidir según el perfil de tu operación, no venderte una solución.</w:t>
      </w:r>
    </w:p>
    <w:p>
      <w:r>
        <w:pict>
          <v:rect style="width:0;height:1.5pt" o:hralign="center" o:hrstd="t" o:hr="t"/>
        </w:pict>
      </w:r>
    </w:p>
    <w:bookmarkEnd w:id="9"/>
    <w:bookmarkStart w:id="10" w:name="Xbf4e95fefd6fcecff7408aa5336158e2d67a600"/>
    <w:p>
      <w:pPr>
        <w:pStyle w:val="Heading2"/>
      </w:pPr>
      <w:r>
        <w:t xml:space="preserve">El Modelo Tradicional: Operación con Equipos Propios</w:t>
      </w:r>
    </w:p>
    <w:p>
      <w:pPr>
        <w:pStyle w:val="FirstParagraph"/>
      </w:pPr>
      <w:r>
        <w:t xml:space="preserve">Un filtro prensa fijo de 100-150 TPD es una instalación seria: plataforma civil, sistema de alimentación, compresores, circuito hidráulico, sistemas de lavado, infraestructura eléctrica, y edificaciones para protección y mantención.</w:t>
      </w:r>
    </w:p>
    <w:p>
      <w:pPr>
        <w:pStyle w:val="BodyText"/>
      </w:pPr>
      <w:r>
        <w:t xml:space="preserve">La estructura de costos se compone de cuatro capas:</w:t>
      </w:r>
    </w:p>
    <w:p>
      <w:pPr>
        <w:pStyle w:val="Compact"/>
        <w:numPr>
          <w:ilvl w:val="0"/>
          <w:numId w:val="1001"/>
        </w:numPr>
      </w:pPr>
      <w:r>
        <w:rPr>
          <w:b/>
          <w:bCs/>
        </w:rPr>
        <w:t xml:space="preserve">Inversión inicial (CAPEX)</w:t>
      </w:r>
      <w:r>
        <w:t xml:space="preserve"> </w:t>
      </w:r>
      <w:r>
        <w:t xml:space="preserve">— Compra del equipo, ingeniería, obra civil, instalación, puesta en marcha. Rangos típicos publicados para operaciones LATAM: USD $8-15M para plantas de 100-150 TPD, dependiendo de especificaciones y ubicación.</w:t>
      </w:r>
    </w:p>
    <w:p>
      <w:pPr>
        <w:pStyle w:val="Compact"/>
        <w:numPr>
          <w:ilvl w:val="0"/>
          <w:numId w:val="1001"/>
        </w:numPr>
      </w:pPr>
      <w:r>
        <w:rPr>
          <w:b/>
          <w:bCs/>
        </w:rPr>
        <w:t xml:space="preserve">Amortización/depreciación</w:t>
      </w:r>
      <w:r>
        <w:t xml:space="preserve"> </w:t>
      </w:r>
      <w:r>
        <w:t xml:space="preserve">— Distribuida típicamente a 15-20 años según normativa tributaria local</w:t>
      </w:r>
    </w:p>
    <w:p>
      <w:pPr>
        <w:pStyle w:val="Compact"/>
        <w:numPr>
          <w:ilvl w:val="0"/>
          <w:numId w:val="1001"/>
        </w:numPr>
      </w:pPr>
      <w:r>
        <w:rPr>
          <w:b/>
          <w:bCs/>
        </w:rPr>
        <w:t xml:space="preserve">Mantención y repuestos</w:t>
      </w:r>
      <w:r>
        <w:t xml:space="preserve"> </w:t>
      </w:r>
      <w:r>
        <w:t xml:space="preserve">— Entre 3-5% del CAPEX anual para equipos bien operados; más si la operación es remota o la mantención es reactiva</w:t>
      </w:r>
    </w:p>
    <w:p>
      <w:pPr>
        <w:pStyle w:val="Compact"/>
        <w:numPr>
          <w:ilvl w:val="0"/>
          <w:numId w:val="1001"/>
        </w:numPr>
      </w:pPr>
      <w:r>
        <w:rPr>
          <w:b/>
          <w:bCs/>
        </w:rPr>
        <w:t xml:space="preserve">Personal dedicado</w:t>
      </w:r>
      <w:r>
        <w:t xml:space="preserve"> </w:t>
      </w:r>
      <w:r>
        <w:t xml:space="preserve">— Operadores, mecánicos, supervisores. 3-6 FTE dependiendo de turnos y automatización</w:t>
      </w:r>
    </w:p>
    <w:p>
      <w:pPr>
        <w:pStyle w:val="FirstParagraph"/>
      </w:pPr>
      <w:r>
        <w:t xml:space="preserve">El modelo tiene sentido cuando el horizonte operacional es largo, el volumen es estable, y la filtración es parte del core operativo que la empresa quiere controlar internamente.</w:t>
      </w:r>
    </w:p>
    <w:p>
      <w:r>
        <w:pict>
          <v:rect style="width:0;height:1.5pt" o:hralign="center" o:hrstd="t" o:hr="t"/>
        </w:pict>
      </w:r>
    </w:p>
    <w:bookmarkEnd w:id="10"/>
    <w:bookmarkStart w:id="11" w:name="X0875a86e471a8a643dafdea963bafb6cfea3d12"/>
    <w:p>
      <w:pPr>
        <w:pStyle w:val="Heading2"/>
      </w:pPr>
      <w:r>
        <w:t xml:space="preserve">El Modelo Alternativo: Filtración como Servicio</w:t>
      </w:r>
    </w:p>
    <w:p>
      <w:pPr>
        <w:pStyle w:val="FirstParagraph"/>
      </w:pPr>
      <w:r>
        <w:t xml:space="preserve">El servicio móvil invierte completamente la estructura: no hay CAPEX, no hay amortización, no hay equipo de operación interno. Lo que hay es un contrato mensual que incluye equipos, personal operativo, mantención, repuestos y respaldo técnico.</w:t>
      </w:r>
    </w:p>
    <w:p>
      <w:pPr>
        <w:pStyle w:val="BodyText"/>
      </w:pPr>
      <w:r>
        <w:t xml:space="preserve">La flota móvil se instala en tu faena en 48 horas, opera con tu personal o con el personal del proveedor según lo pactado, y se retira al final del contrato (o se escala si necesitas más capacidad).</w:t>
      </w:r>
    </w:p>
    <w:p>
      <w:pPr>
        <w:pStyle w:val="BodyText"/>
      </w:pPr>
      <w:r>
        <w:rPr>
          <w:b/>
          <w:bCs/>
        </w:rPr>
        <w:t xml:space="preserve">Lo que el OPEX mensual típicamente incluye:</w:t>
      </w:r>
    </w:p>
    <w:p>
      <w:pPr>
        <w:pStyle w:val="Compact"/>
        <w:numPr>
          <w:ilvl w:val="0"/>
          <w:numId w:val="1002"/>
        </w:numPr>
      </w:pPr>
      <w:r>
        <w:t xml:space="preserve">Equipos completos (filtros prensa, bombas, tableros, tuberías)</w:t>
      </w:r>
    </w:p>
    <w:p>
      <w:pPr>
        <w:pStyle w:val="Compact"/>
        <w:numPr>
          <w:ilvl w:val="0"/>
          <w:numId w:val="1002"/>
        </w:numPr>
      </w:pPr>
      <w:r>
        <w:t xml:space="preserve">Movilización y desmovilización</w:t>
      </w:r>
    </w:p>
    <w:p>
      <w:pPr>
        <w:pStyle w:val="Compact"/>
        <w:numPr>
          <w:ilvl w:val="0"/>
          <w:numId w:val="1002"/>
        </w:numPr>
      </w:pPr>
      <w:r>
        <w:t xml:space="preserve">Operación 24/7 si el contrato lo exige</w:t>
      </w:r>
    </w:p>
    <w:p>
      <w:pPr>
        <w:pStyle w:val="Compact"/>
        <w:numPr>
          <w:ilvl w:val="0"/>
          <w:numId w:val="1002"/>
        </w:numPr>
      </w:pPr>
      <w:r>
        <w:t xml:space="preserve">Mantención preventiva y correctiva</w:t>
      </w:r>
    </w:p>
    <w:p>
      <w:pPr>
        <w:pStyle w:val="Compact"/>
        <w:numPr>
          <w:ilvl w:val="0"/>
          <w:numId w:val="1002"/>
        </w:numPr>
      </w:pPr>
      <w:r>
        <w:t xml:space="preserve">Repuestos consumibles</w:t>
      </w:r>
    </w:p>
    <w:p>
      <w:pPr>
        <w:pStyle w:val="Compact"/>
        <w:numPr>
          <w:ilvl w:val="0"/>
          <w:numId w:val="1002"/>
        </w:numPr>
      </w:pPr>
      <w:r>
        <w:t xml:space="preserve">Supervisión técnica remota y en sitio</w:t>
      </w:r>
    </w:p>
    <w:p>
      <w:pPr>
        <w:pStyle w:val="FirstParagraph"/>
      </w:pPr>
      <w:r>
        <w:t xml:space="preserve">El modelo tiene sentido cuando el horizonte es incierto, el volumen es variable, el capital está restringido, o la filtración no es una competencia estratégica que la empresa quiera mantener internamente.</w:t>
      </w:r>
    </w:p>
    <w:p>
      <w:r>
        <w:pict>
          <v:rect style="width:0;height:1.5pt" o:hralign="center" o:hrstd="t" o:hr="t"/>
        </w:pict>
      </w:r>
    </w:p>
    <w:bookmarkEnd w:id="11"/>
    <w:bookmarkStart w:id="13" w:name="Xe0d0fd1a86d72e5a78c9cf3730f5cddd5caab48"/>
    <w:p>
      <w:pPr>
        <w:pStyle w:val="Heading2"/>
      </w:pPr>
      <w:r>
        <w:t xml:space="preserve">Comparación Económica: Horizontes de 5 y 10 Años</w:t>
      </w:r>
    </w:p>
    <w:p>
      <w:pPr>
        <w:pStyle w:val="FirstParagraph"/>
      </w:pPr>
      <w:r>
        <w:t xml:space="preserve">La trampa mental más común es comparar</w:t>
      </w:r>
      <w:r>
        <w:t xml:space="preserve"> </w:t>
      </w:r>
      <w:r>
        <w:t xml:space="preserve">“el precio del equipo”</w:t>
      </w:r>
      <w:r>
        <w:t xml:space="preserve"> </w:t>
      </w:r>
      <w:r>
        <w:t xml:space="preserve">contra</w:t>
      </w:r>
      <w:r>
        <w:t xml:space="preserve"> </w:t>
      </w:r>
      <w:r>
        <w:t xml:space="preserve">“la suma de 12 meses de servicio”</w:t>
      </w:r>
      <w:r>
        <w:t xml:space="preserve">. Esa comparación favorece al equipo propio porque ignora el costo real de operarlo.</w:t>
      </w:r>
    </w:p>
    <w:p>
      <w:pPr>
        <w:pStyle w:val="BodyText"/>
      </w:pPr>
      <w:r>
        <w:t xml:space="preserve">Una comparación válida incluye el</w:t>
      </w:r>
      <w:r>
        <w:t xml:space="preserve"> </w:t>
      </w:r>
      <w:r>
        <w:rPr>
          <w:b/>
          <w:bCs/>
        </w:rPr>
        <w:t xml:space="preserve">costo total de propiedad (TCO)</w:t>
      </w:r>
      <w:r>
        <w:t xml:space="preserve"> </w:t>
      </w:r>
      <w:r>
        <w:t xml:space="preserve">de cada modelo a 5 y 10 años: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Modelo Fijo (5 años)</w:t>
            </w:r>
          </w:p>
        </w:tc>
        <w:tc>
          <w:tcPr/>
          <w:p>
            <w:pPr>
              <w:pStyle w:val="Compact"/>
            </w:pPr>
            <w:r>
              <w:t xml:space="preserve">Modelo Móvil (5 años)</w:t>
            </w:r>
          </w:p>
        </w:tc>
      </w:tr>
      <w:tr>
        <w:tc>
          <w:tcPr/>
          <w:p>
            <w:pPr>
              <w:pStyle w:val="Compact"/>
            </w:pPr>
            <w:r>
              <w:t xml:space="preserve">CAPEX inicial</w:t>
            </w:r>
          </w:p>
        </w:tc>
        <w:tc>
          <w:tcPr/>
          <w:p>
            <w:pPr>
              <w:pStyle w:val="Compact"/>
            </w:pPr>
            <w:r>
              <w:t xml:space="preserve">$10M USD</w:t>
            </w:r>
          </w:p>
        </w:tc>
        <w:tc>
          <w:tcPr/>
          <w:p>
            <w:pPr>
              <w:pStyle w:val="Compact"/>
            </w:pPr>
            <w:r>
              <w:t xml:space="preserve">$0</w:t>
            </w:r>
          </w:p>
        </w:tc>
      </w:tr>
      <w:tr>
        <w:tc>
          <w:tcPr/>
          <w:p>
            <w:pPr>
              <w:pStyle w:val="Compact"/>
            </w:pPr>
            <w:r>
              <w:t xml:space="preserve">Amortización anualizada</w:t>
            </w:r>
          </w:p>
        </w:tc>
        <w:tc>
          <w:tcPr/>
          <w:p>
            <w:pPr>
              <w:pStyle w:val="Compact"/>
            </w:pPr>
            <w:r>
              <w:t xml:space="preserve">$500K-$650K/año</w:t>
            </w:r>
          </w:p>
        </w:tc>
        <w:tc>
          <w:tcPr/>
          <w:p>
            <w:pPr>
              <w:pStyle w:val="Compact"/>
            </w:pPr>
            <w:r>
              <w:t xml:space="preserve">No aplica</w:t>
            </w:r>
          </w:p>
        </w:tc>
      </w:tr>
      <w:tr>
        <w:tc>
          <w:tcPr/>
          <w:p>
            <w:pPr>
              <w:pStyle w:val="Compact"/>
            </w:pPr>
            <w:r>
              <w:t xml:space="preserve">Mantención</w:t>
            </w:r>
          </w:p>
        </w:tc>
        <w:tc>
          <w:tcPr/>
          <w:p>
            <w:pPr>
              <w:pStyle w:val="Compact"/>
            </w:pPr>
            <w:r>
              <w:t xml:space="preserve">3-5% CAPEX/año</w:t>
            </w:r>
          </w:p>
        </w:tc>
        <w:tc>
          <w:tcPr/>
          <w:p>
            <w:pPr>
              <w:pStyle w:val="Compact"/>
            </w:pPr>
            <w:r>
              <w:t xml:space="preserve">Incluido en fee</w:t>
            </w:r>
          </w:p>
        </w:tc>
      </w:tr>
      <w:tr>
        <w:tc>
          <w:tcPr/>
          <w:p>
            <w:pPr>
              <w:pStyle w:val="Compact"/>
            </w:pPr>
            <w:r>
              <w:t xml:space="preserve">Personal operativo</w:t>
            </w:r>
          </w:p>
        </w:tc>
        <w:tc>
          <w:tcPr/>
          <w:p>
            <w:pPr>
              <w:pStyle w:val="Compact"/>
            </w:pPr>
            <w:r>
              <w:t xml:space="preserve">$300-500K/año</w:t>
            </w:r>
          </w:p>
        </w:tc>
        <w:tc>
          <w:tcPr/>
          <w:p>
            <w:pPr>
              <w:pStyle w:val="Compact"/>
            </w:pPr>
            <w:r>
              <w:t xml:space="preserve">Incluido en fee</w:t>
            </w:r>
          </w:p>
        </w:tc>
      </w:tr>
      <w:tr>
        <w:tc>
          <w:tcPr/>
          <w:p>
            <w:pPr>
              <w:pStyle w:val="Compact"/>
            </w:pPr>
            <w:r>
              <w:t xml:space="preserve">Energía + consumibles</w:t>
            </w:r>
          </w:p>
        </w:tc>
        <w:tc>
          <w:tcPr/>
          <w:p>
            <w:pPr>
              <w:pStyle w:val="Compact"/>
            </w:pPr>
            <w:r>
              <w:t xml:space="preserve">$150-300K/año</w:t>
            </w:r>
          </w:p>
        </w:tc>
        <w:tc>
          <w:tcPr/>
          <w:p>
            <w:pPr>
              <w:pStyle w:val="Compact"/>
            </w:pPr>
            <w:r>
              <w:t xml:space="preserve">Cliente provee</w:t>
            </w:r>
          </w:p>
        </w:tc>
      </w:tr>
      <w:tr>
        <w:tc>
          <w:tcPr/>
          <w:p>
            <w:pPr>
              <w:pStyle w:val="Compact"/>
            </w:pPr>
            <w:r>
              <w:t xml:space="preserve">Downtime en mantenciones</w:t>
            </w:r>
          </w:p>
        </w:tc>
        <w:tc>
          <w:tcPr/>
          <w:p>
            <w:pPr>
              <w:pStyle w:val="Compact"/>
            </w:pPr>
            <w:r>
              <w:t xml:space="preserve">Pérdidas variables</w:t>
            </w:r>
          </w:p>
        </w:tc>
        <w:tc>
          <w:tcPr/>
          <w:p>
            <w:pPr>
              <w:pStyle w:val="Compact"/>
            </w:pPr>
            <w:r>
              <w:t xml:space="preserve">Cubierto con redundancia</w:t>
            </w:r>
          </w:p>
        </w:tc>
      </w:tr>
      <w:tr>
        <w:tc>
          <w:tcPr/>
          <w:p>
            <w:pPr>
              <w:pStyle w:val="Compact"/>
            </w:pPr>
            <w:r>
              <w:t xml:space="preserve">Fee de servicio mensual</w:t>
            </w:r>
          </w:p>
        </w:tc>
        <w:tc>
          <w:tcPr/>
          <w:p>
            <w:pPr>
              <w:pStyle w:val="Compact"/>
            </w:pPr>
            <w:r>
              <w:t xml:space="preserve">No aplica</w:t>
            </w:r>
          </w:p>
        </w:tc>
        <w:tc>
          <w:tcPr/>
          <w:p>
            <w:pPr>
              <w:pStyle w:val="Compact"/>
            </w:pPr>
            <w:r>
              <w:t xml:space="preserve">$70-150K/mes (indicativo)</w:t>
            </w:r>
          </w:p>
        </w:tc>
      </w:tr>
      <w:tr>
        <w:tc>
          <w:tcPr/>
          <w:p>
            <w:pPr>
              <w:pStyle w:val="Compact"/>
            </w:pPr>
            <w:r>
              <w:rPr>
                <w:b/>
                <w:bCs/>
              </w:rPr>
              <w:t xml:space="preserve">TCO 5 años aproximado</w:t>
            </w:r>
          </w:p>
        </w:tc>
        <w:tc>
          <w:tcPr/>
          <w:p>
            <w:pPr>
              <w:pStyle w:val="Compact"/>
            </w:pPr>
            <w:r>
              <w:t xml:space="preserve">$13-16M USD</w:t>
            </w:r>
          </w:p>
        </w:tc>
        <w:tc>
          <w:tcPr/>
          <w:p>
            <w:pPr>
              <w:pStyle w:val="Compact"/>
            </w:pPr>
            <w:r>
              <w:t xml:space="preserve">$4-9M USD</w:t>
            </w:r>
          </w:p>
        </w:tc>
      </w:tr>
    </w:tbl>
    <w:p>
      <w:pPr>
        <w:pStyle w:val="BlockText"/>
      </w:pPr>
      <w:r>
        <w:rPr>
          <w:b/>
          <w:bCs/>
        </w:rPr>
        <w:t xml:space="preserve">Nota sobre los rangos:</w:t>
      </w:r>
      <w:r>
        <w:t xml:space="preserve"> </w:t>
      </w:r>
      <w:r>
        <w:t xml:space="preserve">Los números anteriores son órdenes de magnitud basados en operaciones publicadas en la industria minera latinoamericana. Tu operación específica puede variar significativamente según ubicación, volumen real, y términos contractuales. El propósito de la tabla es ilustrar la estructura de la comparación, no entregar números para usar sin adaptación.</w:t>
      </w:r>
    </w:p>
    <w:p>
      <w:pPr>
        <w:pStyle w:val="FirstParagraph"/>
      </w:pPr>
      <w:r>
        <w:rPr>
          <w:b/>
          <w:bCs/>
        </w:rPr>
        <w:t xml:space="preserve">La pregunta clave que revela el TCO:</w:t>
      </w:r>
      <w:r>
        <w:t xml:space="preserve"> </w:t>
      </w:r>
      <w:r>
        <w:t xml:space="preserve">a 10 años, ¿tu volumen real será lo suficientemente estable y alto como para que la inversión inicial se justifique? Si la respuesta es</w:t>
      </w:r>
      <w:r>
        <w:t xml:space="preserve"> </w:t>
      </w:r>
      <w:r>
        <w:t xml:space="preserve">“probablemente sí pero con riesgos”</w:t>
      </w:r>
      <w:r>
        <w:t xml:space="preserve">, estás asumiendo un riesgo de capital que el OPEX no tiene.</w:t>
      </w:r>
    </w:p>
    <w:bookmarkStart w:id="12" w:name="implicancias-tributarias"/>
    <w:p>
      <w:pPr>
        <w:pStyle w:val="Heading3"/>
      </w:pPr>
      <w:r>
        <w:t xml:space="preserve">Implicancias tributarias</w:t>
      </w:r>
    </w:p>
    <w:p>
      <w:pPr>
        <w:pStyle w:val="FirstParagraph"/>
      </w:pPr>
      <w:r>
        <w:t xml:space="preserve">El OPEX es directamente deducible como gasto operacional en Chile (Ley de Renta), Perú, y México — lo que acelera el beneficio tributario frente a la amortización a 15-20 años del equipo propio. Este es un factor que los modelos financieros frecuentemente subestiman.</w:t>
      </w:r>
    </w:p>
    <w:p>
      <w:r>
        <w:pict>
          <v:rect style="width:0;height:1.5pt" o:hralign="center" o:hrstd="t" o:hr="t"/>
        </w:pict>
      </w:r>
    </w:p>
    <w:bookmarkEnd w:id="12"/>
    <w:bookmarkEnd w:id="13"/>
    <w:bookmarkStart w:id="14" w:name="X023981fbd5e8400f37ffc9e2351046147d9f70d"/>
    <w:p>
      <w:pPr>
        <w:pStyle w:val="Heading2"/>
      </w:pPr>
      <w:r>
        <w:t xml:space="preserve">Factores Operacionales Más Allá del Dinero</w:t>
      </w:r>
    </w:p>
    <w:p>
      <w:pPr>
        <w:pStyle w:val="FirstParagraph"/>
      </w:pPr>
      <w:r>
        <w:t xml:space="preserve">La decisión económica no captura todo. Cuatro factores operacionales mueven la balanza en la vida real:</w:t>
      </w:r>
    </w:p>
    <w:p>
      <w:pPr>
        <w:pStyle w:val="BodyText"/>
      </w:pPr>
      <w:r>
        <w:rPr>
          <w:b/>
          <w:bCs/>
        </w:rPr>
        <w:t xml:space="preserve">1. Velocidad de despliegue.</w:t>
      </w:r>
      <w:r>
        <w:t xml:space="preserve"> </w:t>
      </w:r>
      <w:r>
        <w:t xml:space="preserve">Una planta de filtración fija requiere entre 18 y 36 meses desde la decisión hasta la puesta en marcha — ingeniería, permisos, construcción, puesta en marcha. Un servicio móvil se despliega en 48-72 horas. Si tu operación necesita capacidad</w:t>
      </w:r>
      <w:r>
        <w:t xml:space="preserve"> </w:t>
      </w:r>
      <w:r>
        <w:rPr>
          <w:i/>
          <w:iCs/>
        </w:rPr>
        <w:t xml:space="preserve">ahora</w:t>
      </w:r>
      <w:r>
        <w:t xml:space="preserve">, no en dos años, la decisión es obvia.</w:t>
      </w:r>
    </w:p>
    <w:p>
      <w:pPr>
        <w:pStyle w:val="BodyText"/>
      </w:pPr>
      <w:r>
        <w:rPr>
          <w:b/>
          <w:bCs/>
        </w:rPr>
        <w:t xml:space="preserve">2. Flexibilidad de escala.</w:t>
      </w:r>
      <w:r>
        <w:t xml:space="preserve"> </w:t>
      </w:r>
      <w:r>
        <w:t xml:space="preserve">Un equipo fijo se dimensiona para un volumen específico. Si la operación baja un 40% por ciclo de precios, estás pagando depreciación por capacidad ociosa. Si sube un 30% en un año bueno, tu equipo es el cuello de botella. El servicio móvil escala por contrato — subes o bajas módulos según necesidad.</w:t>
      </w:r>
    </w:p>
    <w:p>
      <w:pPr>
        <w:pStyle w:val="BodyText"/>
      </w:pPr>
      <w:r>
        <w:rPr>
          <w:b/>
          <w:bCs/>
        </w:rPr>
        <w:t xml:space="preserve">3. Permisos ambientales.</w:t>
      </w:r>
      <w:r>
        <w:t xml:space="preserve"> </w:t>
      </w:r>
      <w:r>
        <w:t xml:space="preserve">Una instalación permanente requiere resolución ambiental, permisos de construcción, y frecuentemente consulta comunitaria — procesos que pueden tomar 12-24 meses en Chile y Perú. Una instalación temporal para servicio móvil típicamente no requiere estos procesos, lo que abre opciones operacionales que el modelo fijo no tiene.</w:t>
      </w:r>
    </w:p>
    <w:p>
      <w:pPr>
        <w:pStyle w:val="BodyText"/>
      </w:pPr>
      <w:r>
        <w:rPr>
          <w:b/>
          <w:bCs/>
        </w:rPr>
        <w:t xml:space="preserve">4. Continuidad durante mantenciones.</w:t>
      </w:r>
      <w:r>
        <w:t xml:space="preserve"> </w:t>
      </w:r>
      <w:r>
        <w:t xml:space="preserve">Incluso las plantas fijas más confiables requieren paradas de mantención mayores cada 12-18 meses. Durante esas paradas, tu filtración se detiene — con pérdidas que pueden superar USD $100K por día. Un respaldo móvil se despliega durante la parada y mantiene la producción.</w:t>
      </w:r>
    </w:p>
    <w:p>
      <w:r>
        <w:pict>
          <v:rect style="width:0;height:1.5pt" o:hralign="center" o:hrstd="t" o:hr="t"/>
        </w:pict>
      </w:r>
    </w:p>
    <w:bookmarkEnd w:id="14"/>
    <w:bookmarkStart w:id="15" w:name="Xe1886f172e4d3a23b3261c4fa612997ff1e1a12"/>
    <w:p>
      <w:pPr>
        <w:pStyle w:val="Heading2"/>
      </w:pPr>
      <w:r>
        <w:t xml:space="preserve">Cuándo el Modelo Fijo Es la Opción Correcta</w:t>
      </w:r>
    </w:p>
    <w:p>
      <w:pPr>
        <w:pStyle w:val="FirstParagraph"/>
      </w:pPr>
      <w:r>
        <w:t xml:space="preserve">Hay escenarios claros donde comprar equipos propios es la decisión correcta. Si tu operación encaja en más de uno de estos, inclínate al modelo fijo:</w:t>
      </w:r>
    </w:p>
    <w:p>
      <w:pPr>
        <w:pStyle w:val="Compact"/>
        <w:numPr>
          <w:ilvl w:val="0"/>
          <w:numId w:val="1003"/>
        </w:numPr>
      </w:pPr>
      <w:r>
        <w:rPr>
          <w:b/>
          <w:bCs/>
        </w:rPr>
        <w:t xml:space="preserve">Horizonte de operación superior a 15-20 años</w:t>
      </w:r>
      <w:r>
        <w:t xml:space="preserve"> </w:t>
      </w:r>
      <w:r>
        <w:t xml:space="preserve">con volumen estable proyectado y reservas confirmadas. Operaciones mineras con vida útil larga y demanda constante de filtración absorben bien la inversión inicial.</w:t>
      </w:r>
    </w:p>
    <w:p>
      <w:pPr>
        <w:pStyle w:val="Compact"/>
        <w:numPr>
          <w:ilvl w:val="0"/>
          <w:numId w:val="1003"/>
        </w:numPr>
      </w:pPr>
      <w:r>
        <w:rPr>
          <w:b/>
          <w:bCs/>
        </w:rPr>
        <w:t xml:space="preserve">Volúmenes grandes y continuos.</w:t>
      </w:r>
      <w:r>
        <w:t xml:space="preserve"> </w:t>
      </w:r>
      <w:r>
        <w:t xml:space="preserve">Sobre ciertos umbrales de producción, la economía del OPEX móvil se vuelve menos atractiva frente a una planta fija optimizada para esa escala específica.</w:t>
      </w:r>
    </w:p>
    <w:p>
      <w:pPr>
        <w:pStyle w:val="Compact"/>
        <w:numPr>
          <w:ilvl w:val="0"/>
          <w:numId w:val="1003"/>
        </w:numPr>
      </w:pPr>
      <w:r>
        <w:rPr>
          <w:b/>
          <w:bCs/>
        </w:rPr>
        <w:t xml:space="preserve">Infraestructura permanente ya existe y está depreciada.</w:t>
      </w:r>
      <w:r>
        <w:t xml:space="preserve"> </w:t>
      </w:r>
      <w:r>
        <w:t xml:space="preserve">Si compraste equipos hace 10 años que todavía funcionan, la decisión relevante es mantenerlos o reemplazarlos — no si comprar o contratar.</w:t>
      </w:r>
    </w:p>
    <w:p>
      <w:pPr>
        <w:pStyle w:val="Compact"/>
        <w:numPr>
          <w:ilvl w:val="0"/>
          <w:numId w:val="1003"/>
        </w:numPr>
      </w:pPr>
      <w:r>
        <w:rPr>
          <w:b/>
          <w:bCs/>
        </w:rPr>
        <w:t xml:space="preserve">La filtración es core competitivo.</w:t>
      </w:r>
      <w:r>
        <w:t xml:space="preserve"> </w:t>
      </w:r>
      <w:r>
        <w:t xml:space="preserve">Algunas operaciones han construido ventaja operacional a través de ingeniería propia de filtración muy afinada a su mineral. Si es tu caso, externalizar puede perder esa ventaja.</w:t>
      </w:r>
    </w:p>
    <w:p>
      <w:pPr>
        <w:pStyle w:val="Compact"/>
        <w:numPr>
          <w:ilvl w:val="0"/>
          <w:numId w:val="1003"/>
        </w:numPr>
      </w:pPr>
      <w:r>
        <w:rPr>
          <w:b/>
          <w:bCs/>
        </w:rPr>
        <w:t xml:space="preserve">Cultura organizacional fuerte en operación de equipos.</w:t>
      </w:r>
      <w:r>
        <w:t xml:space="preserve"> </w:t>
      </w:r>
      <w:r>
        <w:t xml:space="preserve">Si tu empresa tiene décadas de experiencia operando plantas similares y tiene la estructura de mantención establecida, el modelo fijo aprovecha esa fortaleza.</w:t>
      </w:r>
    </w:p>
    <w:p>
      <w:pPr>
        <w:pStyle w:val="FirstParagraph"/>
      </w:pPr>
      <w:r>
        <w:t xml:space="preserve">Si ninguna de estas condiciones aplica, la elección fija probablemente está operando por inercia, no por estrategia.</w:t>
      </w:r>
    </w:p>
    <w:p>
      <w:r>
        <w:pict>
          <v:rect style="width:0;height:1.5pt" o:hralign="center" o:hrstd="t" o:hr="t"/>
        </w:pict>
      </w:r>
    </w:p>
    <w:bookmarkEnd w:id="15"/>
    <w:bookmarkStart w:id="16" w:name="X1f635a7852d72909861ec0f90a0e6d0769fb750"/>
    <w:p>
      <w:pPr>
        <w:pStyle w:val="Heading2"/>
      </w:pPr>
      <w:r>
        <w:t xml:space="preserve">Cuándo el Modelo Móvil Es la Opción Correcta</w:t>
      </w:r>
    </w:p>
    <w:p>
      <w:pPr>
        <w:pStyle w:val="FirstParagraph"/>
      </w:pPr>
      <w:r>
        <w:t xml:space="preserve">Seis escenarios donde lo móvil tiene ventaja económica y operacional clara:</w:t>
      </w:r>
    </w:p>
    <w:p>
      <w:pPr>
        <w:pStyle w:val="Compact"/>
        <w:numPr>
          <w:ilvl w:val="0"/>
          <w:numId w:val="1004"/>
        </w:numPr>
      </w:pPr>
      <w:r>
        <w:rPr>
          <w:b/>
          <w:bCs/>
        </w:rPr>
        <w:t xml:space="preserve">Graduación piloto → demostración → comercial.</w:t>
      </w:r>
      <w:r>
        <w:t xml:space="preserve"> </w:t>
      </w:r>
      <w:r>
        <w:t xml:space="preserve">Proyectos nuevos que están probando viabilidad no deberían inmovilizar capital en equipos dimensionados para incertidumbre. Comenzar móvil y escalar permite validar antes de comprometer capital.</w:t>
      </w:r>
    </w:p>
    <w:p>
      <w:pPr>
        <w:pStyle w:val="Compact"/>
        <w:numPr>
          <w:ilvl w:val="0"/>
          <w:numId w:val="1004"/>
        </w:numPr>
      </w:pPr>
      <w:r>
        <w:rPr>
          <w:b/>
          <w:bCs/>
        </w:rPr>
        <w:t xml:space="preserve">Demanda variable o cíclica.</w:t>
      </w:r>
      <w:r>
        <w:t xml:space="preserve"> </w:t>
      </w:r>
      <w:r>
        <w:t xml:space="preserve">Operaciones con producción estacional, proyectos de remediación con duración definida, o faenas que siguen ciclos de precios beneficiosos.</w:t>
      </w:r>
    </w:p>
    <w:p>
      <w:pPr>
        <w:pStyle w:val="Compact"/>
        <w:numPr>
          <w:ilvl w:val="0"/>
          <w:numId w:val="1004"/>
        </w:numPr>
      </w:pPr>
      <w:r>
        <w:rPr>
          <w:b/>
          <w:bCs/>
        </w:rPr>
        <w:t xml:space="preserve">Contratos de corto y mediano plazo.</w:t>
      </w:r>
      <w:r>
        <w:t xml:space="preserve"> </w:t>
      </w:r>
      <w:r>
        <w:t xml:space="preserve">Operaciones bajo contratos de 3-7 años no justifican la inversión a 15-20 años de un filtro fijo.</w:t>
      </w:r>
    </w:p>
    <w:p>
      <w:pPr>
        <w:pStyle w:val="Compact"/>
        <w:numPr>
          <w:ilvl w:val="0"/>
          <w:numId w:val="1004"/>
        </w:numPr>
      </w:pPr>
      <w:r>
        <w:rPr>
          <w:b/>
          <w:bCs/>
        </w:rPr>
        <w:t xml:space="preserve">Respaldo durante mantenciones programadas.</w:t>
      </w:r>
      <w:r>
        <w:t xml:space="preserve"> </w:t>
      </w:r>
      <w:r>
        <w:t xml:space="preserve">Mantener un servicio móvil de respaldo cuesta una fracción de lo que cuesta una parada de producción no cubierta.</w:t>
      </w:r>
    </w:p>
    <w:p>
      <w:pPr>
        <w:pStyle w:val="Compact"/>
        <w:numPr>
          <w:ilvl w:val="0"/>
          <w:numId w:val="1004"/>
        </w:numPr>
      </w:pPr>
      <w:r>
        <w:rPr>
          <w:b/>
          <w:bCs/>
        </w:rPr>
        <w:t xml:space="preserve">Operaciones multi-sitio.</w:t>
      </w:r>
      <w:r>
        <w:t xml:space="preserve"> </w:t>
      </w:r>
      <w:r>
        <w:t xml:space="preserve">Empresas que operan varias faenas pueden compartir una flota móvil entre sitios según necesidad, aprovechando capacidad que un equipo fijo por sitio desperdiciaría.</w:t>
      </w:r>
    </w:p>
    <w:p>
      <w:pPr>
        <w:pStyle w:val="Compact"/>
        <w:numPr>
          <w:ilvl w:val="0"/>
          <w:numId w:val="1004"/>
        </w:numPr>
      </w:pPr>
      <w:r>
        <w:rPr>
          <w:b/>
          <w:bCs/>
        </w:rPr>
        <w:t xml:space="preserve">Capital restringido o priorizado para expansión del core.</w:t>
      </w:r>
      <w:r>
        <w:t xml:space="preserve"> </w:t>
      </w:r>
      <w:r>
        <w:t xml:space="preserve">Si el capital disponible puede destinarse a extender reservas, aumentar capacidad de planta, o explorar, el OPEX libera el capital para lo que realmente mueve valor.</w:t>
      </w:r>
    </w:p>
    <w:p>
      <w:r>
        <w:pict>
          <v:rect style="width:0;height:1.5pt" o:hralign="center" o:hrstd="t" o:hr="t"/>
        </w:pict>
      </w:r>
    </w:p>
    <w:bookmarkEnd w:id="16"/>
    <w:bookmarkStart w:id="17" w:name="Xab8d8a24c2525708c4fbe35fa101ebdb3e62991"/>
    <w:p>
      <w:pPr>
        <w:pStyle w:val="Heading2"/>
      </w:pPr>
      <w:r>
        <w:t xml:space="preserve">Marco de Decisión: 5 Preguntas para tu Comité</w:t>
      </w:r>
    </w:p>
    <w:p>
      <w:pPr>
        <w:pStyle w:val="FirstParagraph"/>
      </w:pPr>
      <w:r>
        <w:t xml:space="preserve">Si estás evaluando el tema, estas son las preguntas que deberían guiar la discusión interna. Cada una inclina la balanza hacia un modelo:</w:t>
      </w:r>
    </w:p>
    <w:p>
      <w:pPr>
        <w:numPr>
          <w:ilvl w:val="0"/>
          <w:numId w:val="1005"/>
        </w:numPr>
      </w:pPr>
      <w:r>
        <w:rPr>
          <w:b/>
          <w:bCs/>
        </w:rPr>
        <w:t xml:space="preserve">¿Cuál es el horizonte realista de operación con este volumen?</w:t>
      </w:r>
      <w:r>
        <w:t xml:space="preserve"> </w:t>
      </w:r>
      <w:r>
        <w:rPr>
          <w:i/>
          <w:iCs/>
        </w:rPr>
        <w:t xml:space="preserve">Mayor a 15 años con alta certeza → favorece fijo. Menor o con incertidumbre → favorece móvil.</w:t>
      </w:r>
    </w:p>
    <w:p>
      <w:pPr>
        <w:numPr>
          <w:ilvl w:val="0"/>
          <w:numId w:val="1005"/>
        </w:numPr>
      </w:pPr>
      <w:r>
        <w:rPr>
          <w:b/>
          <w:bCs/>
        </w:rPr>
        <w:t xml:space="preserve">¿Qué tan estable es el volumen proyectado a 5 años?</w:t>
      </w:r>
      <w:r>
        <w:t xml:space="preserve"> </w:t>
      </w:r>
      <w:r>
        <w:rPr>
          <w:i/>
          <w:iCs/>
        </w:rPr>
        <w:t xml:space="preserve">Estable y alto → favorece fijo. Variable o incierto → favorece móvil.</w:t>
      </w:r>
    </w:p>
    <w:p>
      <w:pPr>
        <w:numPr>
          <w:ilvl w:val="0"/>
          <w:numId w:val="1005"/>
        </w:numPr>
      </w:pPr>
      <w:r>
        <w:rPr>
          <w:b/>
          <w:bCs/>
        </w:rPr>
        <w:t xml:space="preserve">¿Cómo está tu disponibilidad de capital vs. prioridades de inversión?</w:t>
      </w:r>
      <w:r>
        <w:t xml:space="preserve"> </w:t>
      </w:r>
      <w:r>
        <w:rPr>
          <w:i/>
          <w:iCs/>
        </w:rPr>
        <w:t xml:space="preserve">Capital abundante y sin mejores alternativas → favorece fijo. Capital restringido o con alto costo de oportunidad → favorece móvil.</w:t>
      </w:r>
    </w:p>
    <w:p>
      <w:pPr>
        <w:numPr>
          <w:ilvl w:val="0"/>
          <w:numId w:val="1005"/>
        </w:numPr>
      </w:pPr>
      <w:r>
        <w:rPr>
          <w:b/>
          <w:bCs/>
        </w:rPr>
        <w:t xml:space="preserve">¿La operación de filtración es core estratégico o es una función de soporte?</w:t>
      </w:r>
      <w:r>
        <w:t xml:space="preserve"> </w:t>
      </w:r>
      <w:r>
        <w:rPr>
          <w:i/>
          <w:iCs/>
        </w:rPr>
        <w:t xml:space="preserve">Core estratégico → favorece fijo. Soporte operacional → favorece móvil.</w:t>
      </w:r>
    </w:p>
    <w:p>
      <w:pPr>
        <w:numPr>
          <w:ilvl w:val="0"/>
          <w:numId w:val="1005"/>
        </w:numPr>
      </w:pPr>
      <w:r>
        <w:rPr>
          <w:b/>
          <w:bCs/>
        </w:rPr>
        <w:t xml:space="preserve">¿Qué restricciones de permisos y acceso al sitio enfrentas?</w:t>
      </w:r>
      <w:r>
        <w:t xml:space="preserve"> </w:t>
      </w:r>
      <w:r>
        <w:rPr>
          <w:i/>
          <w:iCs/>
        </w:rPr>
        <w:t xml:space="preserve">Sitio establecido con permisos existentes → fijo factible. Sitio nuevo, remoto, o con complejidad regulatoria → favorece móvil.</w:t>
      </w:r>
    </w:p>
    <w:p>
      <w:pPr>
        <w:pStyle w:val="FirstParagraph"/>
      </w:pPr>
      <w:r>
        <w:t xml:space="preserve">Si tres o más respuestas apuntan a móvil, el modelo OPEX es tu camino. Si tres o más apuntan a fijo, mantente en el modelo tradicional. Si están repartidas, vale la pena hacer el ejercicio de TCO comparado con números de tu operación específica antes de decidir.</w:t>
      </w:r>
    </w:p>
    <w:p>
      <w:r>
        <w:pict>
          <v:rect style="width:0;height:1.5pt" o:hralign="center" o:hrstd="t" o:hr="t"/>
        </w:pict>
      </w:r>
    </w:p>
    <w:bookmarkEnd w:id="17"/>
    <w:bookmarkStart w:id="18" w:name="la-trampa-de-la-decisión-histórica"/>
    <w:p>
      <w:pPr>
        <w:pStyle w:val="Heading2"/>
      </w:pPr>
      <w:r>
        <w:t xml:space="preserve">La Trampa de la Decisión Histórica</w:t>
      </w:r>
    </w:p>
    <w:p>
      <w:pPr>
        <w:pStyle w:val="FirstParagraph"/>
      </w:pPr>
      <w:r>
        <w:t xml:space="preserve">El error más costoso que vemos en evaluaciones de esta decisión es</w:t>
      </w:r>
      <w:r>
        <w:t xml:space="preserve"> </w:t>
      </w:r>
      <w:r>
        <w:rPr>
          <w:b/>
          <w:bCs/>
        </w:rPr>
        <w:t xml:space="preserve">asumir que la decisión correcta de hace 10-15 años sigue siendo correcta hoy</w:t>
      </w:r>
      <w:r>
        <w:t xml:space="preserve">. Las condiciones que hicieron sentido al modelo fijo en 2010 — ciclos largos, capital barato, demanda estable, servicios móviles inmaduros — no son las de 2026.</w:t>
      </w:r>
    </w:p>
    <w:p>
      <w:pPr>
        <w:pStyle w:val="BodyText"/>
      </w:pPr>
      <w:r>
        <w:t xml:space="preserve">Si tu planta fija está operando bien y ya está depreciada, continuar es defendible. Pero si estás frente a una decisión de inversión</w:t>
      </w:r>
      <w:r>
        <w:t xml:space="preserve"> </w:t>
      </w:r>
      <w:r>
        <w:rPr>
          <w:i/>
          <w:iCs/>
        </w:rPr>
        <w:t xml:space="preserve">nueva</w:t>
      </w:r>
      <w:r>
        <w:t xml:space="preserve"> </w:t>
      </w:r>
      <w:r>
        <w:t xml:space="preserve">— renovar equipos al final de su vida útil, dimensionar capacidad para una expansión, o responder a un requerimiento emergente — el framework actual debe reflejar las condiciones actuales: horizontes más inciertos, capital más caro, demanda más variable, y servicios móviles que son competitivos en costo y operación.</w:t>
      </w:r>
    </w:p>
    <w:p>
      <w:r>
        <w:pict>
          <v:rect style="width:0;height:1.5pt" o:hralign="center" o:hrstd="t" o:hr="t"/>
        </w:pict>
      </w:r>
    </w:p>
    <w:bookmarkEnd w:id="18"/>
    <w:bookmarkStart w:id="19" w:name="conclusión"/>
    <w:p>
      <w:pPr>
        <w:pStyle w:val="Heading2"/>
      </w:pPr>
      <w:r>
        <w:t xml:space="preserve">Conclusión</w:t>
      </w:r>
    </w:p>
    <w:p>
      <w:pPr>
        <w:pStyle w:val="FirstParagraph"/>
      </w:pPr>
      <w:r>
        <w:t xml:space="preserve">Ninguno de los dos modelos es universalmente mejor. La decisión correcta depende del perfil específico de tu operación — horizonte, estabilidad de volumen, estrategia de capital, y contexto regulatorio.</w:t>
      </w:r>
    </w:p>
    <w:p>
      <w:pPr>
        <w:pStyle w:val="BodyText"/>
      </w:pPr>
      <w:r>
        <w:t xml:space="preserve">Lo que sí es universal:</w:t>
      </w:r>
      <w:r>
        <w:t xml:space="preserve"> </w:t>
      </w:r>
      <w:r>
        <w:rPr>
          <w:b/>
          <w:bCs/>
        </w:rPr>
        <w:t xml:space="preserve">tomar esta decisión sin un marco explícito es dejarla en manos del estado del arte de hace una década.</w:t>
      </w:r>
      <w:r>
        <w:t xml:space="preserve"> </w:t>
      </w:r>
      <w:r>
        <w:t xml:space="preserve">Las condiciones cambiaron. El framework debe cambiar con ellas.</w:t>
      </w:r>
    </w:p>
    <w:p>
      <w:r>
        <w:pict>
          <v:rect style="width:0;height:1.5pt" o:hralign="center" o:hrstd="t" o:hr="t"/>
        </w:pict>
      </w:r>
    </w:p>
    <w:p>
      <w:pPr>
        <w:pStyle w:val="FirstParagraph"/>
      </w:pPr>
      <w:r>
        <w:rPr>
          <w:i/>
          <w:iCs/>
        </w:rPr>
        <w:t xml:space="preserve">El marco que presentamos aquí es general. Tu operación tiene variables específicas que ningún artículo puede capturar — volumen proyectado, horizonte contractual, disponibilidad de capital, contexto regulatorio local. Si el tema está en tu mesa, nuestro equipo puede aplicar este marco a tu caso particular y entregar un modelo económico con números de tu operación.</w:t>
      </w:r>
    </w:p>
    <w:p>
      <w:pPr>
        <w:pStyle w:val="BodyText"/>
      </w:pPr>
      <w:r>
        <w:rPr>
          <w:b/>
          <w:bCs/>
        </w:rPr>
        <w:t xml:space="preserve">[Contactar equipo técnico →]</w:t>
      </w:r>
    </w:p>
    <w:p>
      <w:r>
        <w:pict>
          <v:rect style="width:0;height:1.5pt" o:hralign="center" o:hrstd="t" o:hr="t"/>
        </w:pict>
      </w:r>
    </w:p>
    <w:bookmarkEnd w:id="19"/>
    <w:bookmarkStart w:id="20" w:name="fuentes"/>
    <w:p>
      <w:pPr>
        <w:pStyle w:val="Heading2"/>
      </w:pPr>
      <w:r>
        <w:t xml:space="preserve">Fuentes</w:t>
      </w:r>
    </w:p>
    <w:p>
      <w:pPr>
        <w:pStyle w:val="Compact"/>
        <w:numPr>
          <w:ilvl w:val="0"/>
          <w:numId w:val="1006"/>
        </w:numPr>
      </w:pPr>
      <w:r>
        <w:t xml:space="preserve">Cochilco — Informes de Consumo de Agua y Capital en Minería Chilena</w:t>
      </w:r>
    </w:p>
    <w:p>
      <w:pPr>
        <w:pStyle w:val="Compact"/>
        <w:numPr>
          <w:ilvl w:val="0"/>
          <w:numId w:val="1006"/>
        </w:numPr>
      </w:pPr>
      <w:r>
        <w:t xml:space="preserve">Deloitte — Tracking the Trends in Mining (annual)</w:t>
      </w:r>
    </w:p>
    <w:p>
      <w:pPr>
        <w:pStyle w:val="Compact"/>
        <w:numPr>
          <w:ilvl w:val="0"/>
          <w:numId w:val="1006"/>
        </w:numPr>
      </w:pPr>
      <w:r>
        <w:t xml:space="preserve">BHP, Codelco, Anglo American — Annual Reports (CAPEX disclosures)</w:t>
      </w:r>
    </w:p>
    <w:p>
      <w:pPr>
        <w:pStyle w:val="Compact"/>
        <w:numPr>
          <w:ilvl w:val="0"/>
          <w:numId w:val="1006"/>
        </w:numPr>
      </w:pPr>
      <w:r>
        <w:t xml:space="preserve">SNL Minerals &amp; Mining — Capital Project Data</w:t>
      </w:r>
    </w:p>
    <w:p>
      <w:r>
        <w:pict>
          <v:rect style="width:0;height:1.5pt" o:hralign="center" o:hrstd="t" o:hr="t"/>
        </w:pict>
      </w:r>
    </w:p>
    <w:bookmarkEnd w:id="20"/>
    <w:bookmarkStart w:id="21" w:name="notas-para-el-equipo-que-revise"/>
    <w:p>
      <w:pPr>
        <w:pStyle w:val="Heading2"/>
      </w:pPr>
      <w:r>
        <w:t xml:space="preserve">Notas para el equipo que revise</w:t>
      </w:r>
    </w:p>
    <w:p>
      <w:pPr>
        <w:pStyle w:val="Compact"/>
        <w:numPr>
          <w:ilvl w:val="0"/>
          <w:numId w:val="1007"/>
        </w:numPr>
      </w:pPr>
      <w:r>
        <w:rPr>
          <w:b/>
          <w:bCs/>
        </w:rPr>
        <w:t xml:space="preserve">Números en la tabla TCO:</w:t>
      </w:r>
      <w:r>
        <w:t xml:space="preserve"> </w:t>
      </w:r>
      <w:r>
        <w:t xml:space="preserve">Son órdenes de magnitud. Antes de publicar, idealmente reemplazar con rangos citables de una fuente pública (Cochilco, reportes anuales de majors, o estudios de MIT/Stanford sobre mining capital).</w:t>
      </w:r>
    </w:p>
    <w:p>
      <w:pPr>
        <w:pStyle w:val="Compact"/>
        <w:numPr>
          <w:ilvl w:val="0"/>
          <w:numId w:val="1007"/>
        </w:numPr>
      </w:pPr>
      <w:r>
        <w:rPr>
          <w:b/>
          <w:bCs/>
        </w:rPr>
        <w:t xml:space="preserve">Fee mensual $70-150K:</w:t>
      </w:r>
      <w:r>
        <w:t xml:space="preserve"> </w:t>
      </w:r>
      <w:r>
        <w:t xml:space="preserve">Indicativo. Si decidimos publicar con rango, asegurarnos que refleja la banda real de contratos Tecionic sin comprometer negociación comercial.</w:t>
      </w:r>
    </w:p>
    <w:p>
      <w:pPr>
        <w:pStyle w:val="Compact"/>
        <w:numPr>
          <w:ilvl w:val="0"/>
          <w:numId w:val="1007"/>
        </w:numPr>
      </w:pPr>
      <w:r>
        <w:rPr>
          <w:b/>
          <w:bCs/>
        </w:rPr>
        <w:t xml:space="preserve">Secciones de</w:t>
      </w:r>
      <w:r>
        <w:rPr>
          <w:b/>
          <w:bCs/>
        </w:rPr>
        <w:t xml:space="preserve"> </w:t>
      </w:r>
      <w:r>
        <w:rPr>
          <w:b/>
          <w:bCs/>
        </w:rPr>
        <w:t xml:space="preserve">“cuándo fijo gana”</w:t>
      </w:r>
      <w:r>
        <w:rPr>
          <w:b/>
          <w:bCs/>
        </w:rPr>
        <w:t xml:space="preserve">:</w:t>
      </w:r>
      <w:r>
        <w:t xml:space="preserve"> </w:t>
      </w:r>
      <w:r>
        <w:t xml:space="preserve">Son cruciales para credibilidad. No suavizar ni sacarlas.</w:t>
      </w:r>
    </w:p>
    <w:p>
      <w:pPr>
        <w:pStyle w:val="Compact"/>
        <w:numPr>
          <w:ilvl w:val="0"/>
          <w:numId w:val="1007"/>
        </w:numPr>
      </w:pPr>
      <w:r>
        <w:rPr>
          <w:b/>
          <w:bCs/>
        </w:rPr>
        <w:t xml:space="preserve">Tono:</w:t>
      </w:r>
      <w:r>
        <w:t xml:space="preserve"> </w:t>
      </w:r>
      <w:r>
        <w:t xml:space="preserve">Formal pero directo.</w:t>
      </w:r>
      <w:r>
        <w:t xml:space="preserve"> </w:t>
      </w:r>
      <w:r>
        <w:t xml:space="preserve">“Tu”</w:t>
      </w:r>
      <w:r>
        <w:t xml:space="preserve"> </w:t>
      </w:r>
      <w:r>
        <w:t xml:space="preserve">informal (coherente con otros trend articles). Sin jerga de consultoría (</w:t>
      </w:r>
      <w:r>
        <w:t xml:space="preserve">“leverage”</w:t>
      </w:r>
      <w:r>
        <w:t xml:space="preserve">,</w:t>
      </w:r>
      <w:r>
        <w:t xml:space="preserve"> </w:t>
      </w:r>
      <w:r>
        <w:t xml:space="preserve">“optimización holística”</w:t>
      </w:r>
      <w:r>
        <w:t xml:space="preserve">, etc.).</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2026-04-18T15:47:27Z</dcterms:created>
  <dcterms:modified xsi:type="dcterms:W3CDTF">2026-04-18T15:47:27Z</dcterms:modified>
</cp:coreProperties>
</file>

<file path=docProps/custom.xml><?xml version="1.0" encoding="utf-8"?>
<Properties xmlns="http://schemas.openxmlformats.org/officeDocument/2006/custom-properties" xmlns:vt="http://schemas.openxmlformats.org/officeDocument/2006/docPropsVTypes"/>
</file>