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18"/>
          <w:sz w:val="52"/>
          <w:szCs w:val="52"/>
        </w:rPr>
        <w:t xml:space="preserve">WEBSITE DEVELOPMENT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B8860E"/>
          <w:sz w:val="32"/>
          <w:szCs w:val="32"/>
        </w:rPr>
        <w:t xml:space="preserve">QUOTATION &amp; MILESTONE SCHEDULE</w:t>
      </w:r>
    </w:p>
    <w:p>
      <w:pPr>
        <w:pBdr>
          <w:bottom w:val="single" w:color="B8860E" w:sz="12" w:space="1"/>
        </w:pBdr>
        <w:spacing w:after="240" w:before="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Prepared by: </w:t>
      </w:r>
      <w:r>
        <w:rPr>
          <w:rFonts w:ascii="Arial" w:cs="Arial" w:eastAsia="Arial" w:hAnsi="Arial"/>
          <w:sz w:val="20"/>
          <w:szCs w:val="20"/>
        </w:rPr>
        <w:t xml:space="preserve">Kohasa Group Digital Team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Prepared for: </w:t>
      </w:r>
      <w:r>
        <w:rPr>
          <w:rFonts w:ascii="Arial" w:cs="Arial" w:eastAsia="Arial" w:hAnsi="Arial"/>
          <w:color w:val="AA3300"/>
          <w:sz w:val="20"/>
          <w:szCs w:val="20"/>
        </w:rPr>
        <w:t xml:space="preserve">[Client Name] — INSERT CLIENT NAME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Project: </w:t>
      </w:r>
      <w:r>
        <w:rPr>
          <w:rFonts w:ascii="Arial" w:cs="Arial" w:eastAsia="Arial" w:hAnsi="Arial"/>
          <w:sz w:val="20"/>
          <w:szCs w:val="20"/>
        </w:rPr>
        <w:t xml:space="preserve">KohasaConstruction.com — New Website Design &amp; Development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Quotation Ref: </w:t>
      </w:r>
      <w:r>
        <w:rPr>
          <w:rFonts w:ascii="Arial" w:cs="Arial" w:eastAsia="Arial" w:hAnsi="Arial"/>
          <w:sz w:val="20"/>
          <w:szCs w:val="20"/>
        </w:rPr>
        <w:t xml:space="preserve">KCCL-WEB-2026-001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Date: </w:t>
      </w:r>
      <w:r>
        <w:rPr>
          <w:rFonts w:ascii="Arial" w:cs="Arial" w:eastAsia="Arial" w:hAnsi="Arial"/>
          <w:sz w:val="20"/>
          <w:szCs w:val="20"/>
        </w:rPr>
        <w:t xml:space="preserve">21 May 2026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Validity: </w:t>
      </w:r>
      <w:r>
        <w:rPr>
          <w:rFonts w:ascii="Arial" w:cs="Arial" w:eastAsia="Arial" w:hAnsi="Arial"/>
          <w:sz w:val="20"/>
          <w:szCs w:val="20"/>
        </w:rPr>
        <w:t xml:space="preserve">30 days from date of issue</w:t>
      </w:r>
    </w:p>
    <w:p>
      <w:pPr>
        <w:spacing w:after="300" w:before="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Estimated Duration: </w:t>
      </w:r>
      <w:r>
        <w:rPr>
          <w:rFonts w:ascii="Arial" w:cs="Arial" w:eastAsia="Arial" w:hAnsi="Arial"/>
          <w:sz w:val="20"/>
          <w:szCs w:val="20"/>
        </w:rPr>
        <w:t xml:space="preserve">4 weeks (28 calendar days) from signed acceptance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B8860E"/>
          <w:spacing w:val="40"/>
          <w:sz w:val="22"/>
          <w:szCs w:val="22"/>
        </w:rPr>
        <w:t xml:space="preserve">1. PROJECT SCOPE &amp; DELIVERABLES</w:t>
      </w:r>
    </w:p>
    <w:p>
      <w:pPr>
        <w:pBdr>
          <w:bottom w:val="single" w:color="DDD8CE" w:sz="4" w:space="1"/>
        </w:pBdr>
        <w:spacing w:after="200" w:before="0"/>
      </w:pPr>
    </w:p>
    <w:p>
      <w:pPr>
        <w:spacing w:after="120" w:before="6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This quotation covers the full design and development of the Kohasa Construction Company Limited website (KohasaConstruction.com) — a new standalone site for the Construction Division of the Kohasa Group, linked to the existing KohasaEng site.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B8860E"/>
          <w:spacing w:val="40"/>
          <w:sz w:val="22"/>
          <w:szCs w:val="22"/>
        </w:rPr>
        <w:t xml:space="preserve">1.1  SHARED GROUP LANDING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New shared Kohasa Group portal page — displayed on both kohasaeng.com and kohasaconstruction.com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Two division cards linking to KohasaEng homepage and KohasaConstruction homepage respectively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Key group statistics, contact strip, and footer</w:t>
      </w:r>
    </w:p>
    <w:p>
      <w:pPr>
        <w:spacing w:after="1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B8860E"/>
          <w:spacing w:val="40"/>
          <w:sz w:val="22"/>
          <w:szCs w:val="22"/>
        </w:rPr>
        <w:t xml:space="preserve">1.2  KOHASACONSTRUCTION HOMEPAGE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Full homepage with sticky navigation, hero section with real KPI stats (20+ yrs, 14,092 m2, 0 LTI, NGN5B+)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Three core service lines: Construction &amp; Fabrication, Industrial Maintenance, Specialist Field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Photo gallery grid sourced from SharePoint media library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Fabrication yard specifications panel (14,092 m2, 1,500t jetty, river access)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9-capability technical grid (piping, platforms, tanks, pipelines, NDT, civil, structural, metering, LPG/CPF)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Six featured project reference cards (Shell SNEPCO, WAGL/Escravos, Green Energy/Lekoil, Heirs Energies, Newcross/Awoba, FPSO Bonga)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HSE record panel: 0 LTI, 0 Fatalities, 0 Environmental Incidents (2021-2025)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Client portfolio: 15 named clients including Shell, TotalEnergies, ExxonMobil, Heirs Energies, Seplat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8 credentials &amp; certifications: ISO 9001/14001/45001, COREN, ACEN, NIPEX, IMS, ASNT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Group advantage section + CTA + footer with 3 office addresses (PH HQ, Fabrication Yard, Lagos)</w:t>
      </w:r>
    </w:p>
    <w:p>
      <w:pPr>
        <w:spacing w:after="1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B8860E"/>
          <w:spacing w:val="40"/>
          <w:sz w:val="22"/>
          <w:szCs w:val="22"/>
        </w:rPr>
        <w:t xml:space="preserve">1.3  KOHASAENG HOMEPAGE UPDATE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Group top bar added to existing KohasaEng site with link back to Construction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Navigation updated with KohasaConstruction cross-link button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Sister-site bar in footer linking to KohasaConstruction and Group Overview</w:t>
      </w:r>
    </w:p>
    <w:p>
      <w:pPr>
        <w:spacing w:after="12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B8860E"/>
          <w:spacing w:val="40"/>
          <w:sz w:val="22"/>
          <w:szCs w:val="22"/>
        </w:rPr>
        <w:t xml:space="preserve">1.4  TECHNICAL &amp;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Full mobile-responsive design (tested across desktop, tablet, and mobile breakpoints)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WordPress-compatible HTML/CSS files ready for upload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Image integration from Kohasa SharePoint media library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URL and internal link configuration between both sites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One round of revisions included post-delivery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Handover documentation and link update guide</w:t>
      </w:r>
    </w:p>
    <w:p>
      <w:pPr>
        <w:spacing w:after="200"/>
      </w:pP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B8860E"/>
          <w:spacing w:val="40"/>
          <w:sz w:val="22"/>
          <w:szCs w:val="22"/>
        </w:rPr>
        <w:t xml:space="preserve">2. COST BREAKDOWN</w:t>
      </w:r>
    </w:p>
    <w:p>
      <w:pPr>
        <w:pBdr>
          <w:bottom w:val="single" w:color="DDD8CE" w:sz="4" w:space="1"/>
        </w:pBdr>
        <w:spacing w:after="200" w:before="0"/>
      </w:pPr>
    </w:p>
    <w:p>
      <w:pPr>
        <w:spacing w:after="200" w:before="6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All fees are quoted in Nigerian Naira (NGN). VAT applicable at the prevailing rate (currently 7.5%) where required by law.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4460"/>
        <w:gridCol w:w="2300"/>
      </w:tblGrid>
      <w:tr>
        <w:tc>
          <w:tcPr>
            <w:tcW w:type="dxa" w:w="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44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(NGN)</w:t>
            </w:r>
          </w:p>
        </w:tc>
      </w:tr>
      <w:tr>
        <w:tc>
          <w:tcPr>
            <w:tcW w:type="dxa" w:w="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Shared Group Landing Page</w:t>
            </w:r>
          </w:p>
        </w:tc>
        <w:tc>
          <w:tcPr>
            <w:tcW w:type="dxa" w:w="44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Design &amp; build of the Kohasa Group portal — the shared front door for both kohasaeng.com and kohasaconstruction.com. Includes hero, two division cards, stats bar, and footer.</w:t>
            </w:r>
          </w:p>
        </w:tc>
        <w:tc>
          <w:tcPr>
            <w:tcW w:type="dxa" w:w="23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480,000</w:t>
            </w:r>
          </w:p>
        </w:tc>
      </w:tr>
      <w:tr>
        <w:tc>
          <w:tcPr>
            <w:tcW w:type="dxa" w:w="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KohasaConstruction Homepage</w:t>
            </w:r>
          </w:p>
        </w:tc>
        <w:tc>
          <w:tcPr>
            <w:tcW w:type="dxa" w:w="44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Full homepage design &amp; development: navigation, hero, service lines (3), fabrication yard panel, photo gallery (5 images), 9-capability grid, 6 project reference cards, HSE panel, client portfolio, 8 credentials cards, group advantage section, CTA, footer.</w:t>
            </w:r>
          </w:p>
        </w:tc>
        <w:tc>
          <w:tcPr>
            <w:tcW w:type="dxa" w:w="23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1,650,000</w:t>
            </w:r>
          </w:p>
        </w:tc>
      </w:tr>
      <w:tr>
        <w:tc>
          <w:tcPr>
            <w:tcW w:type="dxa" w:w="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KohasaEng Homepage Update</w:t>
            </w:r>
          </w:p>
        </w:tc>
        <w:tc>
          <w:tcPr>
            <w:tcW w:type="dxa" w:w="44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Integration of group top bar, cross-link nav button, and sister-site footer bar into the existing KohasaEng site. Ensures seamless navigation between both divisions.</w:t>
            </w:r>
          </w:p>
        </w:tc>
        <w:tc>
          <w:tcPr>
            <w:tcW w:type="dxa" w:w="23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220,000</w:t>
            </w:r>
          </w:p>
        </w:tc>
      </w:tr>
      <w:tr>
        <w:tc>
          <w:tcPr>
            <w:tcW w:type="dxa" w:w="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Image Integration</w:t>
            </w:r>
          </w:p>
        </w:tc>
        <w:tc>
          <w:tcPr>
            <w:tcW w:type="dxa" w:w="44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Sourcing, optimising, and placing images from the Kohasa SharePoint media library across the Construction homepage photo grid and hero sections.</w:t>
            </w:r>
          </w:p>
        </w:tc>
        <w:tc>
          <w:tcPr>
            <w:tcW w:type="dxa" w:w="23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150,000</w:t>
            </w:r>
          </w:p>
        </w:tc>
      </w:tr>
      <w:tr>
        <w:tc>
          <w:tcPr>
            <w:tcW w:type="dxa" w:w="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Mobile Responsive Development</w:t>
            </w:r>
          </w:p>
        </w:tc>
        <w:tc>
          <w:tcPr>
            <w:tcW w:type="dxa" w:w="44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Full responsive testing and optimisation across desktop, tablet (768px), and mobile (375px) breakpoints for all three pages.</w:t>
            </w:r>
          </w:p>
        </w:tc>
        <w:tc>
          <w:tcPr>
            <w:tcW w:type="dxa" w:w="23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180,000</w:t>
            </w:r>
          </w:p>
        </w:tc>
      </w:tr>
      <w:tr>
        <w:tc>
          <w:tcPr>
            <w:tcW w:type="dxa" w:w="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WordPress Upload &amp; Configuration</w:t>
            </w:r>
          </w:p>
        </w:tc>
        <w:tc>
          <w:tcPr>
            <w:tcW w:type="dxa" w:w="44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Uploading all HTML/CSS files to WordPress, configuring page URLs, testing all internal cross-links between kohasaeng.com and kohasaconstruction.com.</w:t>
            </w:r>
          </w:p>
        </w:tc>
        <w:tc>
          <w:tcPr>
            <w:tcW w:type="dxa" w:w="23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240,000</w:t>
            </w:r>
          </w:p>
        </w:tc>
      </w:tr>
      <w:tr>
        <w:tc>
          <w:tcPr>
            <w:tcW w:type="dxa" w:w="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Revision Round (1x)</w:t>
            </w:r>
          </w:p>
        </w:tc>
        <w:tc>
          <w:tcPr>
            <w:tcW w:type="dxa" w:w="44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One complete round of client-requested revisions following initial delivery, including content, layout, and colour adjustments.</w:t>
            </w:r>
          </w:p>
        </w:tc>
        <w:tc>
          <w:tcPr>
            <w:tcW w:type="dxa" w:w="23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Handover &amp; Documentation</w:t>
            </w:r>
          </w:p>
        </w:tc>
        <w:tc>
          <w:tcPr>
            <w:tcW w:type="dxa" w:w="44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URL update guide, link configuration notes, and post-handover support instructions (PDF).</w:t>
            </w:r>
          </w:p>
        </w:tc>
        <w:tc>
          <w:tcPr>
            <w:tcW w:type="dxa" w:w="23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Included</w:t>
            </w:r>
          </w:p>
        </w:tc>
      </w:tr>
      <w:tr>
        <w:tc>
          <w:tcPr>
            <w:tcW w:type="dxa" w:w="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EDEA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SUBTOTAL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EDEA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EDEA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EDEA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A1A18"/>
                <w:sz w:val="18"/>
                <w:szCs w:val="18"/>
              </w:rPr>
              <w:t xml:space="preserve">2,920,000</w:t>
            </w:r>
          </w:p>
        </w:tc>
      </w:tr>
      <w:tr>
        <w:tc>
          <w:tcPr>
            <w:tcW w:type="dxa" w:w="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VAT (7.5%)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/>
            </w:r>
          </w:p>
        </w:tc>
        <w:tc>
          <w:tcPr>
            <w:tcW w:type="dxa" w:w="23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219,000</w:t>
            </w:r>
          </w:p>
        </w:tc>
      </w:tr>
      <w:tr>
        <w:tc>
          <w:tcPr>
            <w:tcW w:type="dxa" w:w="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BF4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E"/>
                <w:sz w:val="18"/>
                <w:szCs w:val="18"/>
              </w:rPr>
              <w:t xml:space="preserve">TOTAL</w:t>
            </w:r>
          </w:p>
        </w:tc>
        <w:tc>
          <w:tcPr>
            <w:tcW w:type="dxa" w:w="2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BF4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E"/>
                <w:sz w:val="18"/>
                <w:szCs w:val="18"/>
              </w:rPr>
              <w:t xml:space="preserve">TOTAL PROJECT FEE</w:t>
            </w:r>
          </w:p>
        </w:tc>
        <w:tc>
          <w:tcPr>
            <w:tcW w:type="dxa" w:w="44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BF4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E"/>
                <w:sz w:val="18"/>
                <w:szCs w:val="18"/>
              </w:rPr>
              <w:t xml:space="preserve">All items above | VAT inclusive</w:t>
            </w:r>
          </w:p>
        </w:tc>
        <w:tc>
          <w:tcPr>
            <w:tcW w:type="dxa" w:w="23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BF4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E"/>
                <w:sz w:val="18"/>
                <w:szCs w:val="18"/>
              </w:rPr>
              <w:t xml:space="preserve">NGN 3,139,000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A1A18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666660"/>
          <w:sz w:val="18"/>
          <w:szCs w:val="18"/>
        </w:rPr>
        <w:t xml:space="preserve">Domain registration/hosting costs for kohasaconstruction.com are not included in this quotation. Client is responsible for procuring and configuring the domain and hosting environment.</w:t>
      </w:r>
    </w:p>
    <w:p>
      <w:pPr>
        <w:spacing w:after="200" w:before="40"/>
      </w:pPr>
      <w:r>
        <w:rPr>
          <w:rFonts w:ascii="Arial" w:cs="Arial" w:eastAsia="Arial" w:hAnsi="Arial"/>
          <w:b/>
          <w:bCs/>
          <w:color w:val="1A1A18"/>
          <w:sz w:val="18"/>
          <w:szCs w:val="18"/>
        </w:rPr>
        <w:t xml:space="preserve">Exchange rate note: </w:t>
      </w:r>
      <w:r>
        <w:rPr>
          <w:rFonts w:ascii="Arial" w:cs="Arial" w:eastAsia="Arial" w:hAnsi="Arial"/>
          <w:color w:val="666660"/>
          <w:sz w:val="18"/>
          <w:szCs w:val="18"/>
        </w:rPr>
        <w:t xml:space="preserve">USD equivalent is approximately USD 1,750 at a rate of NGN 1,794/$1 (May 2026). Final invoicing in NGN.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B8860E"/>
          <w:spacing w:val="40"/>
          <w:sz w:val="22"/>
          <w:szCs w:val="22"/>
        </w:rPr>
        <w:t xml:space="preserve">3. PAYMENT SCHEDULE</w:t>
      </w:r>
    </w:p>
    <w:p>
      <w:pPr>
        <w:pBdr>
          <w:bottom w:val="single" w:color="DDD8CE" w:sz="4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60"/>
        <w:gridCol w:w="1900"/>
        <w:gridCol w:w="1700"/>
      </w:tblGrid>
      <w:tr>
        <w:tc>
          <w:tcPr>
            <w:tcW w:type="dxa" w:w="3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PAYMENT</w:t>
            </w:r>
          </w:p>
        </w:tc>
        <w:tc>
          <w:tcPr>
            <w:tcW w:type="dxa" w:w="25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9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 (NGN)</w:t>
            </w:r>
          </w:p>
        </w:tc>
        <w:tc>
          <w:tcPr>
            <w:tcW w:type="dxa" w:w="17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A1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3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1st Instalment — Mobilisation Fee</w:t>
            </w:r>
          </w:p>
        </w:tc>
        <w:tc>
          <w:tcPr>
            <w:tcW w:type="dxa" w:w="25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Contract signed and accepted</w:t>
            </w:r>
          </w:p>
        </w:tc>
        <w:tc>
          <w:tcPr>
            <w:tcW w:type="dxa" w:w="19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1,255,600</w:t>
            </w:r>
          </w:p>
        </w:tc>
        <w:tc>
          <w:tcPr>
            <w:tcW w:type="dxa" w:w="17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Day 0 (before work begins)</w:t>
            </w:r>
          </w:p>
        </w:tc>
      </w:tr>
      <w:tr>
        <w:tc>
          <w:tcPr>
            <w:tcW w:type="dxa" w:w="3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2nd Instalment — Delivery Milestone</w:t>
            </w:r>
          </w:p>
        </w:tc>
        <w:tc>
          <w:tcPr>
            <w:tcW w:type="dxa" w:w="25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Delivery of all pages for client review</w:t>
            </w:r>
          </w:p>
        </w:tc>
        <w:tc>
          <w:tcPr>
            <w:tcW w:type="dxa" w:w="19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1,255,600</w:t>
            </w:r>
          </w:p>
        </w:tc>
        <w:tc>
          <w:tcPr>
            <w:tcW w:type="dxa" w:w="17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Day 21 (3 weeks)</w:t>
            </w:r>
          </w:p>
        </w:tc>
      </w:tr>
      <w:tr>
        <w:tc>
          <w:tcPr>
            <w:tcW w:type="dxa" w:w="3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3rd Instalment — Final Sign-Off</w:t>
            </w:r>
          </w:p>
        </w:tc>
        <w:tc>
          <w:tcPr>
            <w:tcW w:type="dxa" w:w="25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Revisions complete, files uploaded to WordPress, handover done</w:t>
            </w:r>
          </w:p>
        </w:tc>
        <w:tc>
          <w:tcPr>
            <w:tcW w:type="dxa" w:w="19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627,800</w:t>
            </w:r>
          </w:p>
        </w:tc>
        <w:tc>
          <w:tcPr>
            <w:tcW w:type="dxa" w:w="17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18"/>
                <w:sz w:val="18"/>
                <w:szCs w:val="18"/>
              </w:rPr>
              <w:t xml:space="preserve">Day 28 (project close)</w:t>
            </w:r>
          </w:p>
        </w:tc>
      </w:tr>
      <w:tr>
        <w:tc>
          <w:tcPr>
            <w:tcW w:type="dxa" w:w="3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BF4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E"/>
                <w:sz w:val="18"/>
                <w:szCs w:val="18"/>
              </w:rPr>
              <w:t xml:space="preserve">TOTAL</w:t>
            </w:r>
          </w:p>
        </w:tc>
        <w:tc>
          <w:tcPr>
            <w:tcW w:type="dxa" w:w="25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BF4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8860E"/>
                <w:sz w:val="18"/>
                <w:szCs w:val="18"/>
              </w:rPr>
              <w:t xml:space="preserve"/>
            </w:r>
          </w:p>
        </w:tc>
        <w:tc>
          <w:tcPr>
            <w:tcW w:type="dxa" w:w="19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BF4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E"/>
                <w:sz w:val="18"/>
                <w:szCs w:val="18"/>
              </w:rPr>
              <w:t xml:space="preserve">NGN 3,139,000</w:t>
            </w:r>
          </w:p>
        </w:tc>
        <w:tc>
          <w:tcPr>
            <w:tcW w:type="dxa" w:w="17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BF4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8860E"/>
                <w:sz w:val="18"/>
                <w:szCs w:val="18"/>
              </w:rPr>
              <w:t xml:space="preserve">VAT inclusive</w:t>
            </w:r>
          </w:p>
        </w:tc>
      </w:tr>
    </w:tbl>
    <w:p>
      <w:pPr>
        <w:spacing w:after="240" w:before="160"/>
      </w:pPr>
      <w:r>
        <w:rPr>
          <w:rFonts w:ascii="Arial" w:cs="Arial" w:eastAsia="Arial" w:hAnsi="Arial"/>
          <w:b/>
          <w:bCs/>
          <w:color w:val="1A1A18"/>
          <w:sz w:val="18"/>
          <w:szCs w:val="18"/>
        </w:rPr>
        <w:t xml:space="preserve">Payment terms: </w:t>
      </w:r>
      <w:r>
        <w:rPr>
          <w:rFonts w:ascii="Arial" w:cs="Arial" w:eastAsia="Arial" w:hAnsi="Arial"/>
          <w:color w:val="666660"/>
          <w:sz w:val="18"/>
          <w:szCs w:val="18"/>
        </w:rPr>
        <w:t xml:space="preserve">Each instalment payable within 5 business days of the stated trigger. Bank details will be provided on the formal invoice.</w:t>
      </w:r>
    </w:p>
    <w:p>
      <w:r>
        <w:br w:type="pag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B8860E"/>
          <w:spacing w:val="40"/>
          <w:sz w:val="22"/>
          <w:szCs w:val="22"/>
        </w:rPr>
        <w:t xml:space="preserve">4. PROJECT MILESTONES &amp; SCHEDULE</w:t>
      </w:r>
    </w:p>
    <w:p>
      <w:pPr>
        <w:pBdr>
          <w:bottom w:val="single" w:color="DDD8CE" w:sz="4" w:space="1"/>
        </w:pBdr>
        <w:spacing w:after="200" w:before="0"/>
      </w:pPr>
    </w:p>
    <w:p>
      <w:pPr>
        <w:spacing w:after="160" w:before="6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Timeline commences from the date of receipt of signed acceptance and 1st instalment payment.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560"/>
        <w:gridCol w:w="1600"/>
        <w:gridCol w:w="1400"/>
      </w:tblGrid>
      <w:tr>
        <w:tc>
          <w:tcPr>
            <w:tcW w:type="dxa" w:w="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A1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A1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MILESTONE</w:t>
            </w:r>
          </w:p>
        </w:tc>
        <w:tc>
          <w:tcPr>
            <w:tcW w:type="dxa" w:w="25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A1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DELIVERABLE / TRIGGER</w:t>
            </w:r>
          </w:p>
        </w:tc>
        <w:tc>
          <w:tcPr>
            <w:tcW w:type="dxa" w:w="1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A1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TIMING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1A1A1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OF TOTAL</w:t>
            </w:r>
          </w:p>
        </w:tc>
      </w:tr>
      <w:tr>
        <w:tc>
          <w:tcPr>
            <w:tcW w:type="dxa" w:w="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M1</w:t>
            </w:r>
          </w:p>
        </w:tc>
        <w:tc>
          <w:tcPr>
            <w:tcW w:type="dxa" w:w="3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Contract Signed &amp; Mobilisation</w:t>
            </w:r>
          </w:p>
        </w:tc>
        <w:tc>
          <w:tcPr>
            <w:tcW w:type="dxa" w:w="25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Signed quotation acceptance + 1st instalment received</w:t>
            </w:r>
          </w:p>
        </w:tc>
        <w:tc>
          <w:tcPr>
            <w:tcW w:type="dxa" w:w="1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Day 0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M2</w:t>
            </w:r>
          </w:p>
        </w:tc>
        <w:tc>
          <w:tcPr>
            <w:tcW w:type="dxa" w:w="3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Kickoff &amp; Content Lock</w:t>
            </w:r>
          </w:p>
        </w:tc>
        <w:tc>
          <w:tcPr>
            <w:tcW w:type="dxa" w:w="25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Client confirms: domain URL, all image assets shared, any content corrections agreed</w:t>
            </w:r>
          </w:p>
        </w:tc>
        <w:tc>
          <w:tcPr>
            <w:tcW w:type="dxa" w:w="1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Day 1–3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M3</w:t>
            </w:r>
          </w:p>
        </w:tc>
        <w:tc>
          <w:tcPr>
            <w:tcW w:type="dxa" w:w="3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Shared Group Landing Page — Delivered</w:t>
            </w:r>
          </w:p>
        </w:tc>
        <w:tc>
          <w:tcPr>
            <w:tcW w:type="dxa" w:w="25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Group portal page (HTML file) delivered for client review</w:t>
            </w:r>
          </w:p>
        </w:tc>
        <w:tc>
          <w:tcPr>
            <w:tcW w:type="dxa" w:w="1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Day 7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~16%</w:t>
            </w:r>
          </w:p>
        </w:tc>
      </w:tr>
      <w:tr>
        <w:tc>
          <w:tcPr>
            <w:tcW w:type="dxa" w:w="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M4</w:t>
            </w:r>
          </w:p>
        </w:tc>
        <w:tc>
          <w:tcPr>
            <w:tcW w:type="dxa" w:w="3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KohasaConstruction Homepage — Delivered</w:t>
            </w:r>
          </w:p>
        </w:tc>
        <w:tc>
          <w:tcPr>
            <w:tcW w:type="dxa" w:w="25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Full construction homepage (HTML file) delivered for client review</w:t>
            </w:r>
          </w:p>
        </w:tc>
        <w:tc>
          <w:tcPr>
            <w:tcW w:type="dxa" w:w="1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Day 14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~57%</w:t>
            </w:r>
          </w:p>
        </w:tc>
      </w:tr>
      <w:tr>
        <w:tc>
          <w:tcPr>
            <w:tcW w:type="dxa" w:w="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M5</w:t>
            </w:r>
          </w:p>
        </w:tc>
        <w:tc>
          <w:tcPr>
            <w:tcW w:type="dxa" w:w="3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KohasaEng Update — Delivered</w:t>
            </w:r>
          </w:p>
        </w:tc>
        <w:tc>
          <w:tcPr>
            <w:tcW w:type="dxa" w:w="25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Updated KohasaEng homepage with cross-links delivered</w:t>
            </w:r>
          </w:p>
        </w:tc>
        <w:tc>
          <w:tcPr>
            <w:tcW w:type="dxa" w:w="1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Day 16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~7%</w:t>
            </w:r>
          </w:p>
        </w:tc>
      </w:tr>
      <w:tr>
        <w:tc>
          <w:tcPr>
            <w:tcW w:type="dxa" w:w="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M6</w:t>
            </w:r>
          </w:p>
        </w:tc>
        <w:tc>
          <w:tcPr>
            <w:tcW w:type="dxa" w:w="3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Client Review Period</w:t>
            </w:r>
          </w:p>
        </w:tc>
        <w:tc>
          <w:tcPr>
            <w:tcW w:type="dxa" w:w="25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Client reviews all 3 pages and provides consolidated feedback (1 round)</w:t>
            </w:r>
          </w:p>
        </w:tc>
        <w:tc>
          <w:tcPr>
            <w:tcW w:type="dxa" w:w="1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Day 17–20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M7</w:t>
            </w:r>
          </w:p>
        </w:tc>
        <w:tc>
          <w:tcPr>
            <w:tcW w:type="dxa" w:w="3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2nd Instalment Due</w:t>
            </w:r>
          </w:p>
        </w:tc>
        <w:tc>
          <w:tcPr>
            <w:tcW w:type="dxa" w:w="25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All pages delivered for review — 2nd payment triggered</w:t>
            </w:r>
          </w:p>
        </w:tc>
        <w:tc>
          <w:tcPr>
            <w:tcW w:type="dxa" w:w="1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Day 21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40%</w:t>
            </w:r>
          </w:p>
        </w:tc>
      </w:tr>
      <w:tr>
        <w:tc>
          <w:tcPr>
            <w:tcW w:type="dxa" w:w="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M8</w:t>
            </w:r>
          </w:p>
        </w:tc>
        <w:tc>
          <w:tcPr>
            <w:tcW w:type="dxa" w:w="3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Revisions Complete</w:t>
            </w:r>
          </w:p>
        </w:tc>
        <w:tc>
          <w:tcPr>
            <w:tcW w:type="dxa" w:w="25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All client-requested revisions implemented and re-submitted</w:t>
            </w:r>
          </w:p>
        </w:tc>
        <w:tc>
          <w:tcPr>
            <w:tcW w:type="dxa" w:w="1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Day 24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M9</w:t>
            </w:r>
          </w:p>
        </w:tc>
        <w:tc>
          <w:tcPr>
            <w:tcW w:type="dxa" w:w="3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WordPress Upload &amp; Go-Live</w:t>
            </w:r>
          </w:p>
        </w:tc>
        <w:tc>
          <w:tcPr>
            <w:tcW w:type="dxa" w:w="25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All files uploaded to WordPress, links configured and tested on live domains</w:t>
            </w:r>
          </w:p>
        </w:tc>
        <w:tc>
          <w:tcPr>
            <w:tcW w:type="dxa" w:w="1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Day 26–27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M10</w:t>
            </w:r>
          </w:p>
        </w:tc>
        <w:tc>
          <w:tcPr>
            <w:tcW w:type="dxa" w:w="32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Final Handover &amp; Sign-Off</w:t>
            </w:r>
          </w:p>
        </w:tc>
        <w:tc>
          <w:tcPr>
            <w:tcW w:type="dxa" w:w="256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Handover document issued. Final instalment due upon client sign-off.</w:t>
            </w:r>
          </w:p>
        </w:tc>
        <w:tc>
          <w:tcPr>
            <w:tcW w:type="dxa" w:w="16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Day 28</w:t>
            </w:r>
          </w:p>
        </w:tc>
        <w:tc>
          <w:tcPr>
            <w:tcW w:type="dxa" w:w="1400"/>
            <w:tcBorders>
              <w:top w:val="single" w:color="DDD8CE" w:sz="1"/>
              <w:left w:val="single" w:color="DDD8CE" w:sz="1"/>
              <w:bottom w:val="single" w:color="DDD8CE" w:sz="1"/>
              <w:right w:val="single" w:color="DDD8CE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17"/>
                <w:szCs w:val="17"/>
              </w:rPr>
              <w:t xml:space="preserve">20%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A1A18"/>
          <w:sz w:val="18"/>
          <w:szCs w:val="18"/>
        </w:rPr>
        <w:t xml:space="preserve">Timeline assumptions: </w:t>
      </w:r>
      <w:r>
        <w:rPr>
          <w:rFonts w:ascii="Arial" w:cs="Arial" w:eastAsia="Arial" w:hAnsi="Arial"/>
          <w:color w:val="666660"/>
          <w:sz w:val="18"/>
          <w:szCs w:val="18"/>
        </w:rPr>
        <w:t xml:space="preserve">The above schedule assumes client feedback is provided within 3 business days of each delivery. Delays in client feedback, content supply, or payment of milestones will extend the project timeline proportionally.</w:t>
      </w:r>
    </w:p>
    <w:p>
      <w:pPr>
        <w:spacing w:after="240" w:before="40"/>
      </w:pPr>
      <w:r>
        <w:rPr>
          <w:rFonts w:ascii="Arial" w:cs="Arial" w:eastAsia="Arial" w:hAnsi="Arial"/>
          <w:b/>
          <w:bCs/>
          <w:color w:val="1A1A18"/>
          <w:sz w:val="18"/>
          <w:szCs w:val="18"/>
        </w:rPr>
        <w:t xml:space="preserve">Revisions: </w:t>
      </w:r>
      <w:r>
        <w:rPr>
          <w:rFonts w:ascii="Arial" w:cs="Arial" w:eastAsia="Arial" w:hAnsi="Arial"/>
          <w:color w:val="666660"/>
          <w:sz w:val="18"/>
          <w:szCs w:val="18"/>
        </w:rPr>
        <w:t xml:space="preserve">One (1) consolidated round of revisions is included. Additional revision rounds beyond this scope will be quoted separately at NGN 95,000 per round.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B8860E"/>
          <w:spacing w:val="40"/>
          <w:sz w:val="22"/>
          <w:szCs w:val="22"/>
        </w:rPr>
        <w:t xml:space="preserve">5. TERMS &amp; CONDITIONS</w:t>
      </w:r>
    </w:p>
    <w:p>
      <w:pPr>
        <w:pBdr>
          <w:bottom w:val="single" w:color="DDD8CE" w:sz="4" w:space="1"/>
        </w:pBdr>
        <w:spacing w:after="20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This quotation is valid for 30 days from the date of issue.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Work commences upon receipt of the signed acceptance and the first instalment payment.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All deliverables remain the intellectual property of Kohasa Construction Company Limited upon full and final payment.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Client is responsible for providing: domain and hosting access, SharePoint image assets, and any content corrections within the agreed timeline.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Additional pages (e.g. Services subpages, Projects gallery, Careers page) beyond this scope can be quoted separately.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>Cancellation after kickoff: the first instalment is non-refundable. Cancellation after M4 (page delivery): 70% of total fee is payable.</w:t>
      </w:r>
    </w:p>
    <w:p>
      <w:pPr>
        <w:spacing w:after="3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B8860E"/>
          <w:spacing w:val="40"/>
          <w:sz w:val="22"/>
          <w:szCs w:val="22"/>
        </w:rPr>
        <w:t xml:space="preserve">6. ACCEPTANCE</w:t>
      </w:r>
    </w:p>
    <w:p>
      <w:pPr>
        <w:pBdr>
          <w:bottom w:val="single" w:color="DDD8CE" w:sz="4" w:space="1"/>
        </w:pBdr>
        <w:spacing w:after="200" w:before="0"/>
      </w:pPr>
    </w:p>
    <w:p>
      <w:pPr>
        <w:spacing w:after="240" w:before="60"/>
      </w:pPr>
      <w:r>
        <w:rPr>
          <w:rFonts w:ascii="Arial" w:cs="Arial" w:eastAsia="Arial" w:hAnsi="Arial"/>
          <w:color w:val="1A1A18"/>
          <w:sz w:val="20"/>
          <w:szCs w:val="20"/>
        </w:rPr>
        <w:t xml:space="preserve">To accept this quotation, please sign below and return with proof of the first instalment payment.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00"/>
        <w:gridCol w:w="4560"/>
      </w:tblGrid>
      <w:tr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1A1A18" w:sz="4"/>
              </w:pBdr>
              <w:spacing w:after="80" w:before="560"/>
            </w:pPr>
          </w:p>
          <w:p>
            <w:r>
              <w:rPr>
                <w:rFonts w:ascii="Arial" w:cs="Arial" w:eastAsia="Arial" w:hAnsi="Arial"/>
                <w:color w:val="888880"/>
                <w:sz w:val="18"/>
                <w:szCs w:val="18"/>
              </w:rPr>
              <w:t xml:space="preserve">Client Signature</w:t>
            </w:r>
          </w:p>
          <w:p>
            <w:pPr>
              <w:pBdr>
                <w:bottom w:val="single" w:color="1A1A18" w:sz="4"/>
              </w:pBdr>
              <w:spacing w:before="200"/>
            </w:pPr>
          </w:p>
          <w:p>
            <w:r>
              <w:rPr>
                <w:rFonts w:ascii="Arial" w:cs="Arial" w:eastAsia="Arial" w:hAnsi="Arial"/>
                <w:color w:val="888880"/>
                <w:sz w:val="18"/>
                <w:szCs w:val="18"/>
              </w:rPr>
              <w:t xml:space="preserve">Full Name &amp; Title</w:t>
            </w:r>
          </w:p>
          <w:p>
            <w:pPr>
              <w:pBdr>
                <w:bottom w:val="single" w:color="1A1A18" w:sz="4"/>
              </w:pBdr>
              <w:spacing w:before="200"/>
            </w:pPr>
          </w:p>
          <w:p>
            <w:r>
              <w:rPr>
                <w:rFonts w:ascii="Arial" w:cs="Arial" w:eastAsia="Arial" w:hAnsi="Arial"/>
                <w:color w:val="888880"/>
                <w:sz w:val="18"/>
                <w:szCs w:val="18"/>
              </w:rPr>
              <w:t xml:space="preserve">Date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B8860E" w:sz="4"/>
              </w:pBdr>
              <w:spacing w:after="80" w:before="560"/>
            </w:pPr>
          </w:p>
          <w:p>
            <w:r>
              <w:rPr>
                <w:rFonts w:ascii="Arial" w:cs="Arial" w:eastAsia="Arial" w:hAnsi="Arial"/>
                <w:color w:val="888880"/>
                <w:sz w:val="18"/>
                <w:szCs w:val="18"/>
              </w:rPr>
              <w:t xml:space="preserve">For Kohasa Group</w:t>
            </w:r>
          </w:p>
          <w:p>
            <w:pPr>
              <w:pBdr>
                <w:bottom w:val="single" w:color="B8860E" w:sz="4"/>
              </w:pBdr>
              <w:spacing w:before="200"/>
            </w:pPr>
          </w:p>
          <w:p>
            <w:r>
              <w:rPr>
                <w:rFonts w:ascii="Arial" w:cs="Arial" w:eastAsia="Arial" w:hAnsi="Arial"/>
                <w:color w:val="888880"/>
                <w:sz w:val="18"/>
                <w:szCs w:val="18"/>
              </w:rPr>
              <w:t xml:space="preserve">Name &amp; Title</w:t>
            </w:r>
          </w:p>
          <w:p>
            <w:pPr>
              <w:pBdr>
                <w:bottom w:val="single" w:color="B8860E" w:sz="4"/>
              </w:pBdr>
              <w:spacing w:before="200"/>
            </w:pPr>
          </w:p>
          <w:p>
            <w:r>
              <w:rPr>
                <w:rFonts w:ascii="Arial" w:cs="Arial" w:eastAsia="Arial" w:hAnsi="Arial"/>
                <w:color w:val="888880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80" w:before="400"/>
      </w:pPr>
      <w:r>
        <w:rPr>
          <w:rFonts w:ascii="Arial" w:cs="Arial" w:eastAsia="Arial" w:hAnsi="Arial"/>
          <w:b/>
          <w:bCs/>
          <w:color w:val="1A1A18"/>
          <w:sz w:val="20"/>
          <w:szCs w:val="20"/>
        </w:rPr>
        <w:t xml:space="preserve">Kohasa Construction Company Limited</w:t>
      </w:r>
    </w:p>
    <w:p>
      <w:pPr>
        <w:spacing w:after="40" w:before="0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Plot 474, Trans-Amadi Industrial Layout, Port Harcourt, Rivers State, Nigeria</w:t>
      </w:r>
    </w:p>
    <w:p>
      <w:pPr>
        <w:spacing w:after="40" w:before="0"/>
      </w:pPr>
      <w:r>
        <w:rPr>
          <w:rFonts w:ascii="Arial" w:cs="Arial" w:eastAsia="Arial" w:hAnsi="Arial"/>
          <w:color w:val="888880"/>
          <w:sz w:val="18"/>
          <w:szCs w:val="18"/>
        </w:rPr>
        <w:t xml:space="preserve">Tel: +234 (0)1 255 0161 / 0162   |   Email: info@kohasaeng.com   |   Web: kohasaeng.com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8CE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888880"/>
        <w:sz w:val="16"/>
        <w:szCs w:val="16"/>
      </w:rPr>
      <w:t xml:space="preserve">info@kohasaeng.com   |   +234 (0)1 255 0161 / 0162</w:t>
    </w:r>
    <w:r>
      <w:rPr>
        <w:rFonts w:ascii="Arial" w:cs="Arial" w:eastAsia="Arial" w:hAnsi="Arial"/>
        <w:color w:val="888880"/>
        <w:sz w:val="16"/>
        <w:szCs w:val="16"/>
      </w:rPr>
      <w:t xml:space="preserve">	Page </w:t>
    </w:r>
    <w:r>
      <w:rPr>
        <w:rFonts w:ascii="Arial" w:cs="Arial" w:eastAsia="Arial" w:hAnsi="Arial"/>
        <w:color w:val="888880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860E" w:sz="6" w:space="4"/>
      </w:pBdr>
      <w:spacing w:after="0"/>
    </w:pPr>
    <w:r>
      <w:rPr>
        <w:rFonts w:ascii="Arial" w:cs="Arial" w:eastAsia="Arial" w:hAnsi="Arial"/>
        <w:b/>
        <w:bCs/>
        <w:color w:val="1A1A18"/>
        <w:spacing w:val="30"/>
        <w:sz w:val="16"/>
        <w:szCs w:val="16"/>
      </w:rPr>
      <w:t xml:space="preserve">KOHASA CONSTRUCTION COMPANY LIMITED</w:t>
    </w:r>
    <w:r>
      <w:rPr>
        <w:rFonts w:ascii="Arial" w:cs="Arial" w:eastAsia="Arial" w:hAnsi="Arial"/>
        <w:color w:val="888880"/>
        <w:sz w:val="16"/>
        <w:szCs w:val="16"/>
      </w:rPr>
      <w:t xml:space="preserve">   |   WEBSITE DEVELOPMENT QUOTATION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60" w:hanging="28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2026-05-21T21:38:21.936Z</dcterms:created>
  <dcterms:modified xsi:type="dcterms:W3CDTF">2026-05-21T21:38:21.936Z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