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flcun8l837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Monitoramento de Exames de Rastreio Oncológico na Atenção Primária à Saúde: Uma Análise Exploratória na Região do Cariri Cearense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Equipe: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Fernando Barbosa da Silva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Gustavo Eliel de Figueiredo Silva</w:t>
        </w:r>
      </w:hyperlink>
      <w:r w:rsidDel="00000000" w:rsidR="00000000" w:rsidRPr="00000000">
        <w:rPr>
          <w:rtl w:val="0"/>
        </w:rPr>
        <w:t xml:space="preserve">, Tecla Fernandes, Lucas Oliveira de Souza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62mkfo99mz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rastreamento do câncer de colo de útero e de mama é um pilar da Saúde da Mulher na Atenção Primária à Saúde (APS). Este relatório apresenta uma análise exploratória quantitativa dos registros de exames citopatológicos e mamografias em 28 municípios da região do Cariri, no estado do Ceará. O estudo avalia a distribuição dos procedimentos, a evolução temporal das notificações entre 2016 e 2025 e os impactos inerentes à arquitetura de sistemas de informação em saúde no Brasil, especificamente a transição e consolidação do Prontuário Eletrônico do Cidadão (e-SUS APS).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Visão geral dos indicadores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base de dados abrange registros como vistos anteriormente de 2016 a 2025. No total, a região contabilizou: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Exames Citopatológicos (Papanicolau): </w:t>
      </w:r>
      <w:r w:rsidDel="00000000" w:rsidR="00000000" w:rsidRPr="00000000">
        <w:rPr>
          <w:rtl w:val="0"/>
        </w:rPr>
        <w:t xml:space="preserve">306.146 procedimentos registrados.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Exames de Mamografia: </w:t>
      </w:r>
      <w:r w:rsidDel="00000000" w:rsidR="00000000" w:rsidRPr="00000000">
        <w:rPr>
          <w:rtl w:val="0"/>
        </w:rPr>
        <w:t xml:space="preserve">75.239 procedimentos registrados.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volume de exames citopatológicos é consideravelmente maior, representando cerca de 80% do volume total analisado, o que reflete a sua posição como o principal método de rastreamento do câncer de colo de útero na faixa etária de 25 a 64 anos.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Metodologia e métricas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base de dados foi submetida a uma Análise Exploratória de Dados (EDA) composta por 114 observações. Para eliminar as inconsistências por valores extremos de municípios-pólo (Crato, Juazeiro e Barbalha), optou pela utilização do Intervalo Interquartílico (IQR) em detrimento do desvio padrão tradicional como principal métrica de dispersão e detecção de anomalias. A normalidade da distribuição foi testada via Q-Q Plot e Teste de Shapiro</w:t>
      </w:r>
      <w:r w:rsidDel="00000000" w:rsidR="00000000" w:rsidRPr="00000000">
        <w:rPr>
          <w:rtl w:val="0"/>
        </w:rPr>
        <w:t xml:space="preserve">-Wilk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v1peascxhl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Origem dos Dados, Dicionário de Variáveis e Justificativas de Tratamento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da aplicação dos modelos estatísticos, a base de dados bruta passou por um processo de Entendimento de Negócio e Limpeza (Data Cleaning). Os dados aqui analisados são derivados de recortes de macro bases de dados do Sistema de Informação em Saúde para a Atenção Básica (SISAB), focados especificamente no monitoramento do rastreio do câncer de colo de útero (público-alvo de 25 a 64 anos) e mamografias na Atenção Primária.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2.2. Dicionário de Variáveis e Origem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arquivo original continha dados consolidados a nível estadual e nacional. Foi realizado um filtro rigoroso para manter apenas os dados correspondentes aos 28 municípios da região do Cariri cearense. As colunas mantidas e criadas para a análise foram: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sg_uf</w:t>
      </w:r>
      <w:r w:rsidDel="00000000" w:rsidR="00000000" w:rsidRPr="00000000">
        <w:rPr>
          <w:rtl w:val="0"/>
        </w:rPr>
        <w:t xml:space="preserve">): Unidade Federativa de origem do dado (CE).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município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no_municipio</w:t>
      </w:r>
      <w:r w:rsidDel="00000000" w:rsidR="00000000" w:rsidRPr="00000000">
        <w:rPr>
          <w:rtl w:val="0"/>
        </w:rPr>
        <w:t xml:space="preserve">): Identificação nominal do município caririense.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valor_indicador</w:t>
      </w:r>
      <w:r w:rsidDel="00000000" w:rsidR="00000000" w:rsidRPr="00000000">
        <w:rPr>
          <w:rtl w:val="0"/>
        </w:rPr>
        <w:t xml:space="preserve"> (vl_indicador_calculado_mun): Variável contínua que representa a quantidade absoluta de exames realizados no nível geográfico municipal.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ano_mes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co_anomes</w:t>
      </w:r>
      <w:r w:rsidDel="00000000" w:rsidR="00000000" w:rsidRPr="00000000">
        <w:rPr>
          <w:rtl w:val="0"/>
        </w:rPr>
        <w:t xml:space="preserve">): Variável temporal (formato numérico YYYYMM) que indica a competência do registro da informação.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data_atualizacao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dt_atualizacao</w:t>
      </w:r>
      <w:r w:rsidDel="00000000" w:rsidR="00000000" w:rsidRPr="00000000">
        <w:rPr>
          <w:rtl w:val="0"/>
        </w:rPr>
        <w:t xml:space="preserve">): Data em que os registros foram consolidados ou extraídos dos sistemas do Ministério da Saúde.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tipo_exame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Variável categórica adicionada durante o tratamento dos dados para consolidar os dois datasets originais (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ccmec50a69.csv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ccmec25a64_main.csv</w:t>
      </w:r>
      <w:r w:rsidDel="00000000" w:rsidR="00000000" w:rsidRPr="00000000">
        <w:rPr>
          <w:rtl w:val="0"/>
        </w:rPr>
        <w:t xml:space="preserve">), diferenciando se o volume se refere à Mamografia ou Citopatologia.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2.2. Tratamento de Dados: Exclusão de Zeros e Valores Ausentes</w:t>
      </w:r>
      <w:r w:rsidDel="00000000" w:rsidR="00000000" w:rsidRPr="00000000">
        <w:rPr>
          <w:rtl w:val="0"/>
        </w:rPr>
        <w:t xml:space="preserve"> Durante a etapa de preparação, detectou-se a presença de registros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valor_indicador</w:t>
      </w:r>
      <w:r w:rsidDel="00000000" w:rsidR="00000000" w:rsidRPr="00000000">
        <w:rPr>
          <w:rtl w:val="0"/>
        </w:rPr>
        <w:t xml:space="preserve"> igual a 0.0, bem como a completa ausência de registros (hiatos) para determinados municípios em anos específicos. As seguintes justificativas técnicas embasaram o tratamento desses dados: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Exclusão dos Valores Zerados (0.0):</w:t>
      </w:r>
      <w:r w:rsidDel="00000000" w:rsidR="00000000" w:rsidRPr="00000000">
        <w:rPr>
          <w:rtl w:val="0"/>
        </w:rPr>
        <w:t xml:space="preserve"> Às linhas contendo o valor exato de zero não foram consideradas como "zero exames realizados" pela gestão municipal, mas sim como a ausência de envio de dados ou falha no processamento do lote daquele período para a base central. Clinicamente e estatisticamente, é altamente improvável que um município inteiro não realize um único exame de rastreio ao longo de um ano. Manter esses falsos zeros no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provocaria uma distorção severa nas métricas de posição e dispersão, puxando a média e a mediana artificialmente para baixo e invalidando os cálculos de variância.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Hiatos de Valores e Inconsistências:</w:t>
      </w:r>
      <w:r w:rsidDel="00000000" w:rsidR="00000000" w:rsidRPr="00000000">
        <w:rPr>
          <w:rtl w:val="0"/>
        </w:rPr>
        <w:t xml:space="preserve"> A ausência de dados contínuos para alguns municípios ao longo da série histórica justifica-se pelas complexidades técnicas de transição. Entre 2013 e 2017, a obrigatoriedade da troca do SIAB pelo e-SUS APS gerou perda de pacotes de dados locais. Além disso, práticas como o acúmulo de dados (onde municípios que não enviaram registros em anos anteriores submetem faturamentos cumulativos de forma tardia em um único ano) explicam tanto a falta temporária de informações quanto picos atípicos de registros de compensação em anos subsequentes.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Resultados da Análise Exploratória (EAD)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Distribuição dos dados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A análise estatística revelou que o volume de exames não segue uma distribuição normal(p-valor &lt; 0.05). O comportamento dos dados caracteriza-se por: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Medidas de Tendência Central:</w:t>
      </w:r>
      <w:r w:rsidDel="00000000" w:rsidR="00000000" w:rsidRPr="00000000">
        <w:rPr>
          <w:rtl w:val="0"/>
        </w:rPr>
        <w:t xml:space="preserve"> A média de exames registrados por observação é de 3.345,48, enquanto a mediana é de apenas 1.255,00. Esse distanciamento expressivo é um forte indicador de assimetria.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Média (x):</w:t>
      </w:r>
      <w:r w:rsidDel="00000000" w:rsidR="00000000" w:rsidRPr="00000000">
        <w:rPr>
          <w:rtl w:val="0"/>
        </w:rPr>
        <w:t xml:space="preserve"> Calculada somando todos os valores da coluna </w:t>
      </w:r>
      <w:r w:rsidDel="00000000" w:rsidR="00000000" w:rsidRPr="00000000">
        <w:rPr>
          <w:rtl w:val="0"/>
        </w:rPr>
        <w:t xml:space="preserve">valor_indicador</w:t>
      </w:r>
      <w:r w:rsidDel="00000000" w:rsidR="00000000" w:rsidRPr="00000000">
        <w:rPr>
          <w:rtl w:val="0"/>
        </w:rPr>
        <w:t xml:space="preserve"> (exames realizados) e dividindo pelo número total de observações N = 114.</w:t>
      </w:r>
    </w:p>
    <w:p w:rsidR="00000000" w:rsidDel="00000000" w:rsidP="00000000" w:rsidRDefault="00000000" w:rsidRPr="00000000" w14:paraId="00000027">
      <w:pPr>
        <w:spacing w:after="240" w:lineRule="auto"/>
        <w:ind w:left="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Mediana:</w:t>
      </w:r>
      <w:r w:rsidDel="00000000" w:rsidR="00000000" w:rsidRPr="00000000">
        <w:rPr>
          <w:rtl w:val="0"/>
        </w:rPr>
        <w:t xml:space="preserve"> Calculada ordenando-se os 114 registros em ordem crescente. Por ser um número par de observações, encontrou-se o ponto central exato tirando a média dos dois valores do meio (posições 57 e 58), resultando em 1.255,00.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Assimetria: </w:t>
      </w:r>
      <w:r w:rsidDel="00000000" w:rsidR="00000000" w:rsidRPr="00000000">
        <w:rPr>
          <w:rtl w:val="0"/>
        </w:rPr>
        <w:t xml:space="preserve">O coeficiente de 2,14 indica uma distribuição com assimetria forte à direita, revelando que a maioria dos municípios apresenta baixos volumes de registros, enquanto poucos municípios concentram volumes altíssimos.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A assimetria foi aferida utilizando o terceiro momento central padronizado.</w:t>
      </w:r>
    </w:p>
    <w:p w:rsidR="00000000" w:rsidDel="00000000" w:rsidP="00000000" w:rsidRDefault="00000000" w:rsidRPr="00000000" w14:paraId="0000002B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</w:t>
      </w:r>
      <m:oMath>
        <m:r>
          <w:rPr>
            <w:sz w:val="26"/>
            <w:szCs w:val="26"/>
          </w:rPr>
          <m:t xml:space="preserve">s = </m:t>
        </m:r>
        <m:f>
          <m:fPr>
            <m:ctrlPr>
              <w:rPr>
                <w:sz w:val="26"/>
                <w:szCs w:val="26"/>
              </w:rPr>
            </m:ctrlPr>
          </m:fPr>
          <m:num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sz w:val="26"/>
                    <w:szCs w:val="26"/>
                  </w:rPr>
                  <m:t xml:space="preserve">N  </m:t>
                </m:r>
              </m:den>
            </m:f>
            <m:nary>
              <m:naryPr>
                <m:chr m:val="∑"/>
                <m:ctrlPr>
                  <w:rPr>
                    <w:sz w:val="26"/>
                    <w:szCs w:val="26"/>
                  </w:rPr>
                </m:ctrlPr>
              </m:naryPr>
              <m:sub/>
              <m:sup/>
            </m:nary>
            <m:r>
              <w:rPr>
                <w:sz w:val="26"/>
                <w:szCs w:val="26"/>
              </w:rPr>
              <m:t xml:space="preserve"> (</m:t>
            </m:r>
            <m:sSub>
              <m:sSubPr>
                <m:ctrlPr>
                  <w:rPr>
                    <w:rFonts w:ascii="Courier New" w:cs="Courier New" w:eastAsia="Courier New" w:hAnsi="Courier New"/>
                    <w:color w:val="e6e8f0"/>
                    <w:sz w:val="25"/>
                    <w:szCs w:val="25"/>
                    <w:shd w:fill="2c2e35" w:val="clear"/>
                  </w:rPr>
                </m:ctrlPr>
              </m:sSubPr>
              <m:e>
                <m:r>
                  <w:rPr>
                    <w:rFonts w:ascii="Courier New" w:cs="Courier New" w:eastAsia="Courier New" w:hAnsi="Courier New"/>
                    <w:color w:val="e6e8f0"/>
                    <w:sz w:val="25"/>
                    <w:szCs w:val="25"/>
                    <w:shd w:fill="2c2e35" w:val="clear"/>
                  </w:rPr>
                  <m:t xml:space="preserve">x</m:t>
                </m:r>
              </m:e>
              <m:sub>
                <m:r>
                  <w:rPr>
                    <w:rFonts w:ascii="Courier New" w:cs="Courier New" w:eastAsia="Courier New" w:hAnsi="Courier New"/>
                    <w:color w:val="e6e8f0"/>
                    <w:sz w:val="25"/>
                    <w:szCs w:val="25"/>
                    <w:shd w:fill="2c2e35" w:val="clear"/>
                  </w:rPr>
                  <m:t xml:space="preserve">i </m:t>
                </m:r>
              </m:sub>
            </m:sSub>
            <m:r>
              <w:rPr>
                <w:rFonts w:ascii="Courier New" w:cs="Courier New" w:eastAsia="Courier New" w:hAnsi="Courier New"/>
                <w:color w:val="e6e8f0"/>
                <w:sz w:val="25"/>
                <w:szCs w:val="25"/>
                <w:shd w:fill="2c2e35" w:val="clear"/>
              </w:rPr>
              <m:t xml:space="preserve"> </m:t>
            </m:r>
            <m:r>
              <w:rPr>
                <w:sz w:val="26"/>
                <w:szCs w:val="26"/>
              </w:rPr>
              <m:t xml:space="preserve"> - </m:t>
            </m:r>
            <m:acc>
              <m:accPr>
                <m:chr m:val="̄"/>
                <m:ctrlPr>
                  <w:rPr>
                    <w:sz w:val="26"/>
                    <w:szCs w:val="26"/>
                  </w:rPr>
                </m:ctrlPr>
              </m:accPr>
              <m:e>
                <m:r>
                  <w:rPr>
                    <w:sz w:val="26"/>
                    <w:szCs w:val="26"/>
                  </w:rPr>
                  <m:t xml:space="preserve">x</m:t>
                </m:r>
              </m:e>
            </m:acc>
            <m:r>
              <w:rPr>
                <w:sz w:val="26"/>
                <w:szCs w:val="26"/>
              </w:rPr>
              <m:t xml:space="preserve">)</m:t>
            </m:r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 </m:t>
                </m:r>
              </m:e>
              <m:sup>
                <m:r>
                  <w:rPr>
                    <w:sz w:val="26"/>
                    <w:szCs w:val="26"/>
                  </w:rPr>
                  <m:t xml:space="preserve">3</m:t>
                </m:r>
              </m:sup>
            </m:sSup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s</m:t>
                </m:r>
              </m:e>
              <m:sup>
                <m:r>
                  <w:rPr>
                    <w:sz w:val="26"/>
                    <w:szCs w:val="26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Interpretação Matemática:</w:t>
      </w:r>
      <w:r w:rsidDel="00000000" w:rsidR="00000000" w:rsidRPr="00000000">
        <w:rPr>
          <w:rtl w:val="0"/>
        </w:rPr>
        <w:t xml:space="preserve"> Como os valores atípicos são muito altos e positivos (puxando a média para cima da mediana), o resultado da equação gera um coeficiente fortemente positivo (+2,14), comprovando matematicamente a "cauda longa" à direita do gráfico.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Curtose: </w:t>
      </w:r>
      <w:r w:rsidDel="00000000" w:rsidR="00000000" w:rsidRPr="00000000">
        <w:rPr>
          <w:rtl w:val="0"/>
        </w:rPr>
        <w:t xml:space="preserve">O coeficiente de 4,11 caracteriza a curva como leptocúrtica. Estatisticamente, isso significa possuir “caudas pesadas”, ou seja, uma frequência de valores extremos(outliers) muito superior ao esperado em uma distribuição normal.</w:t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 curtose foi calculada a partir do quarto momento central padronizado.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K = 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N</m:t>
                </m:r>
              </m:den>
            </m:f>
            <m:r>
              <w:rPr/>
              <m:t xml:space="preserve"> </m:t>
            </m:r>
            <m:nary>
              <m:naryPr>
                <m:chr m:val="∑"/>
                <m:ctrlPr>
                  <w:rPr/>
                </m:ctrlPr>
              </m:naryPr>
              <m:sub/>
              <m:sup/>
            </m:nary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i </m:t>
                </m:r>
              </m:sub>
            </m:sSub>
            <m:r>
              <w:rPr/>
              <m:t xml:space="preserve">- </m:t>
            </m:r>
            <m:acc>
              <m:accPr>
                <m:chr m:val="̄"/>
                <m:ctrlPr>
                  <w:rPr/>
                </m:ctrlPr>
              </m:accPr>
              <m:e>
                <m:r>
                  <w:rPr/>
                  <m:t xml:space="preserve">x )</m:t>
                </m:r>
              </m:e>
            </m:acc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 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 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s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  <m:r>
          <w:rPr/>
          <m:t xml:space="preserve">- 3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Interpretação Matemática:</w:t>
      </w:r>
      <w:r w:rsidDel="00000000" w:rsidR="00000000" w:rsidRPr="00000000">
        <w:rPr>
          <w:rtl w:val="0"/>
        </w:rPr>
        <w:t xml:space="preserve"> O valor positivo e elevado (4,11) evidencia que a variância não é proveniente de desvios frequentes e pequenos, mas sim de raros e gigantescos desvios extremos (outliers).</w:t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2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Detecção de outliers e concentração regional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Aplicando a métrica de detecção por IQR (limite superior estipulado em 9.683,12), foram identificadas 13 ocorrências de anomalias estatísticas (11,4% do dataset). De forma contundente, todas as anomalias são categorizadas como "Outliers Superiores" e pertencem exclusivamente aos municípios de Crato e Juazeiro do Norte. Isso evidencia que essas duas cidades funcionam como macropolos de atendimento ou possuem uma infraestrutura de informatização e alimentação de dados de saúde consideravelmente mais robusta que o restante dos 26 municípios da região. 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escolha do Intervalo Interquartílico (IQR) em vez do desvio padrão foi feita por ser uma métrica que não se contamina pelos próprios outliers.</w:t>
      </w:r>
    </w:p>
    <w:p w:rsidR="00000000" w:rsidDel="00000000" w:rsidP="00000000" w:rsidRDefault="00000000" w:rsidRPr="00000000" w14:paraId="00000045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Primeiro Quartil (Q1):</w:t>
      </w:r>
      <w:r w:rsidDel="00000000" w:rsidR="00000000" w:rsidRPr="00000000">
        <w:rPr>
          <w:rtl w:val="0"/>
        </w:rPr>
        <w:t xml:space="preserve"> Valor que delimita os 25% menores dados da amostra. Resultou em 155,00.</w:t>
      </w:r>
    </w:p>
    <w:p w:rsidR="00000000" w:rsidDel="00000000" w:rsidP="00000000" w:rsidRDefault="00000000" w:rsidRPr="00000000" w14:paraId="00000046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Terceiro Quartil (Q3):</w:t>
      </w:r>
      <w:r w:rsidDel="00000000" w:rsidR="00000000" w:rsidRPr="00000000">
        <w:rPr>
          <w:rtl w:val="0"/>
        </w:rPr>
        <w:t xml:space="preserve"> Valor que delimita os 75% dos dados. Resultou em 3.966,25.</w:t>
      </w:r>
    </w:p>
    <w:p w:rsidR="00000000" w:rsidDel="00000000" w:rsidP="00000000" w:rsidRDefault="00000000" w:rsidRPr="00000000" w14:paraId="00000047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Cálculo do IQR:</w:t>
      </w:r>
      <w:r w:rsidDel="00000000" w:rsidR="00000000" w:rsidRPr="00000000">
        <w:rPr>
          <w:rtl w:val="0"/>
        </w:rPr>
        <w:t xml:space="preserve"> A distância entre o Q1 e o Q3.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IQR = Q3 - Q1 = 3.966,25 - 155,00 = 3.811,25</w:t>
      </w:r>
    </w:p>
    <w:p w:rsidR="00000000" w:rsidDel="00000000" w:rsidP="00000000" w:rsidRDefault="00000000" w:rsidRPr="00000000" w14:paraId="00000049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Definição do Limite Superior de Detecção:</w:t>
      </w:r>
      <w:r w:rsidDel="00000000" w:rsidR="00000000" w:rsidRPr="00000000">
        <w:rPr>
          <w:rtl w:val="0"/>
        </w:rPr>
        <w:t xml:space="preserve"> Foi aplicado o fator padrão de 1,5 vezes o IQR acima do Q3.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Limite = Q3 + (1,5 X IQR)$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Limite = 3.966,25 + (1,5 X 3.811,25)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Limite = 3.966,25 + 5.716,87 = 9.683,12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1127288</wp:posOffset>
            </wp:positionH>
            <wp:positionV relativeFrom="paragraph">
              <wp:posOffset>114300</wp:posOffset>
            </wp:positionV>
            <wp:extent cx="3471863" cy="202307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023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Composição dos exames 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Do volume total coletado, a proporção mantém-se historicamente favorável aos exames citopatológicos, que representam em média de 75% a 85% das notificações anuais, enquanto as mamografias compõem a fatia restante. Os citopatológicos apresentam uma variância muito superior(média de 7.289 contra 1.044 das mamografias), reforçando seu papel como procedimento de rastreio primário contínuo nas Unidades Básicas de Saúde(UBS). 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Cálculo da Proporção Anual:</w:t>
      </w:r>
      <w:r w:rsidDel="00000000" w:rsidR="00000000" w:rsidRPr="00000000">
        <w:rPr>
          <w:rtl w:val="0"/>
        </w:rPr>
        <w:t xml:space="preserve"> Em cada ano, somou-se a totalidade de procedimentos realizados na região. Posteriormente, dividiu-se o montante específico pelo total geral.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lineRule="auto"/>
        <w:ind w:left="72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Exemplo do cálculo em 2019:</w:t>
      </w:r>
      <w:r w:rsidDel="00000000" w:rsidR="00000000" w:rsidRPr="00000000">
        <w:rPr>
          <w:rtl w:val="0"/>
        </w:rPr>
        <w:t xml:space="preserve"> Citopatológico (30.662) dividido pelo Total Geral (35.311) multiplicado por 100 = 86,8%.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Cálculo das Médias e Variâncias Específicas:</w:t>
      </w:r>
      <w:r w:rsidDel="00000000" w:rsidR="00000000" w:rsidRPr="00000000">
        <w:rPr>
          <w:rtl w:val="0"/>
        </w:rPr>
        <w:t xml:space="preserve"> Os dados foram segmentados pela coluna </w:t>
      </w:r>
      <w:r w:rsidDel="00000000" w:rsidR="00000000" w:rsidRPr="00000000">
        <w:rPr>
          <w:rtl w:val="0"/>
        </w:rPr>
        <w:t xml:space="preserve">tipo_exame</w:t>
      </w:r>
      <w:r w:rsidDel="00000000" w:rsidR="00000000" w:rsidRPr="00000000">
        <w:rPr>
          <w:rtl w:val="0"/>
        </w:rPr>
        <w:t xml:space="preserve">. A média isolada de registros por lançamento de citopatológicos foi de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</m:oMath>
      <w:r w:rsidDel="00000000" w:rsidR="00000000" w:rsidRPr="00000000">
        <w:rPr>
          <w:rtl w:val="0"/>
        </w:rPr>
        <w:t xml:space="preserve"> = 7.289,19 (em 42 registros validados), enquanto a de mamografias foi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x</m:t>
            </m:r>
          </m:e>
        </m:acc>
      </m:oMath>
      <w:r w:rsidDel="00000000" w:rsidR="00000000" w:rsidRPr="00000000">
        <w:rPr>
          <w:rtl w:val="0"/>
        </w:rPr>
        <w:t xml:space="preserve"> = 1.044,99 (em 72 registros validados), atestando o maior volume e flutuação da coleta do Papanicolau em nível de APS.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0413" cy="2464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799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413" cy="246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Evolução temporal e arquitetura de informação do SUS</w:t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A análise temporal em barras demonstra que a flutuação dos indicadores está estritamente condicionada ao amadurecimento tecnológico do SUS e a fatores externos: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Fragmentação e especialização (Antecedentes):</w:t>
      </w:r>
      <w:r w:rsidDel="00000000" w:rsidR="00000000" w:rsidRPr="00000000">
        <w:rPr>
          <w:rtl w:val="0"/>
        </w:rPr>
        <w:t xml:space="preserve"> Durante a primeira década dos anos 2000, o monitoramento oncológico era realizado por sistemas isolados e especializados: o SISCOLO (colo do útero) e o SISMAMA (mama). A partir de 2012, a implementação do SISCAN buscou unificar essas informações para promover o acompanhamento integral da paciente. No entanto, o período de coexistência entre os sistemas antigos e o novo gerou descontinuidades nos registros que ainda repercutem em análises de séries históricas longas.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Transição de sistemas (2016-2019):</w:t>
      </w:r>
      <w:r w:rsidDel="00000000" w:rsidR="00000000" w:rsidRPr="00000000">
        <w:rPr>
          <w:rtl w:val="0"/>
        </w:rPr>
        <w:t xml:space="preserve"> Observa-se um crescimento dos dados associado à abolição do antigo Sistema de Informação da Atenção Básica (SIAB) em 2017 e à obrigatoriedade gradativa do e-SUS APS.</w:t>
      </w:r>
    </w:p>
    <w:p w:rsidR="00000000" w:rsidDel="00000000" w:rsidP="00000000" w:rsidRDefault="00000000" w:rsidRPr="00000000" w14:paraId="0000007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Desafios técnicos e perda de integridade  (2012-2017): </w:t>
      </w:r>
      <w:r w:rsidDel="00000000" w:rsidR="00000000" w:rsidRPr="00000000">
        <w:rPr>
          <w:rtl w:val="0"/>
        </w:rPr>
        <w:t xml:space="preserve"> Os processos de migração entre sistemas, tanto na transição para o SISCAN quanto na adoção do e-SUS APS, foram marcados por desafios operacionais críticos. Incompatibilidades estruturais entre bases de dados, falhas na exportação de arquivos e a ausência de identificadores únicos em registros antigos resultaram em fragmentação de séries e perda parcial de informações. Essas inconsistências explicam por que alguns municípios da região apresentam hiatos ou volumes subestimados no período compreendido entre 2012 e 2017.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 externo (2020):</w:t>
      </w:r>
      <w:r w:rsidDel="00000000" w:rsidR="00000000" w:rsidRPr="00000000">
        <w:rPr>
          <w:rtl w:val="0"/>
        </w:rPr>
        <w:t xml:space="preserve"> O dataset acusa uma queda brusca e severa de registros em 2020 (totalizando apenas 20.327 exames no ano), reflexo direto do isolamento social e da realocação de recursos da APS durante o auge da pandemia, resultando na interrupção de coletas de rastreio de rotina.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Consolidação e demanda reprimida (2022-2023):</w:t>
      </w:r>
      <w:r w:rsidDel="00000000" w:rsidR="00000000" w:rsidRPr="00000000">
        <w:rPr>
          <w:rtl w:val="0"/>
        </w:rPr>
        <w:t xml:space="preserve"> O período marca a estabilização da arquitetura do e-SUS APS. O ano de 2023 atinge o pico da série histórica com 53.842 exames totais registrados, o que pode ser interpretado tanto pela maturidade no uso do software pelos profissionais quanto pelo escoamento de demandas preventivas reprimidas nos anos anteriores.</w:t>
      </w:r>
    </w:p>
    <w:p w:rsidR="00000000" w:rsidDel="00000000" w:rsidP="00000000" w:rsidRDefault="00000000" w:rsidRPr="00000000" w14:paraId="0000007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Considerações finais e limitações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Os indicadores levantados fornecem um panorama valioso sobre a informatização da saúde no Cariri cearense. Contudo, o</w:t>
      </w:r>
      <w:r w:rsidDel="00000000" w:rsidR="00000000" w:rsidRPr="00000000">
        <w:rPr>
          <w:rtl w:val="0"/>
        </w:rPr>
        <w:t xml:space="preserve">s relatórios mostram menos do que realmente acontece devido a falhas de registro. O e-SUS AOS capta principalmente a produção profissional direto da UBS. Historicamente, parte considerável das coletas de colo de útero e mama coletadas são lançadas diretamente no SISCAN(Sistema de Informação do Câncer), sistemas que atuam de forma complementar e não se sobrepõem no cálculo automático.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Dessa forma, os números apresentados representam um "piso" sólido de atuação. Para que os municípios sejam devidamente avaliados segundo os Benchmarks de Saúde Pública da OMS e do INCA (como a meta de 70% de cobertura citopatológica), torna-se necessário, em trabalhos futuros, a unificação das bases do e-SUS com os dados do SISCAN, bem como o cruzamento com o censo demográfico populacional feminino da região caririense.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fernando.barbosa63@aluno.ifce.edu.br" TargetMode="External"/><Relationship Id="rId7" Type="http://schemas.openxmlformats.org/officeDocument/2006/relationships/hyperlink" Target="mailto:gustavo.eliel.figueiredo09@aluno.ifce.edu.br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