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225E" w14:textId="7902A30A" w:rsidR="005C134D" w:rsidRP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0. ¿Cuál es el perfil o rol que debo adoptar?</w:t>
      </w:r>
    </w:p>
    <w:p w14:paraId="6FB06110" w14:textId="7D2299F3" w:rsidR="005C134D" w:rsidRPr="005C134D" w:rsidRDefault="005C134D" w:rsidP="005C134D">
      <w:pPr>
        <w:rPr>
          <w:i/>
          <w:iCs/>
        </w:rPr>
      </w:pPr>
      <w:r w:rsidRPr="005C134D">
        <w:rPr>
          <w:i/>
          <w:iCs/>
        </w:rPr>
        <w:t> </w:t>
      </w:r>
      <w:r w:rsidRPr="005C134D">
        <w:rPr>
          <w:i/>
          <w:iCs/>
        </w:rPr>
        <w:t>Asume el rol de un experto en medicamentos, especialmente los genéricos.</w:t>
      </w:r>
    </w:p>
    <w:p w14:paraId="5C8898D3" w14:textId="0EC31982" w:rsidR="005C134D" w:rsidRP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1.</w:t>
      </w:r>
      <w:r w:rsidR="00603A25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 xml:space="preserve">¿Cuáles son los antecedentes del proyecto? </w:t>
      </w:r>
      <w:r w:rsidRPr="005C134D">
        <w:rPr>
          <w:b/>
          <w:bCs/>
          <w:sz w:val="20"/>
          <w:szCs w:val="20"/>
          <w:highlight w:val="yellow"/>
        </w:rPr>
        <w:t>(categoría, cliente, problema de investigación, etc.)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6706"/>
      </w:tblGrid>
      <w:tr w:rsidR="00603A25" w:rsidRPr="00603A25" w14:paraId="468D0AAD" w14:textId="77777777" w:rsidTr="00603A25">
        <w:trPr>
          <w:trHeight w:val="430"/>
        </w:trPr>
        <w:tc>
          <w:tcPr>
            <w:tcW w:w="2122" w:type="dxa"/>
            <w:vAlign w:val="center"/>
          </w:tcPr>
          <w:p w14:paraId="22D34E55" w14:textId="77777777" w:rsidR="00603A25" w:rsidRPr="00603A25" w:rsidRDefault="00603A25" w:rsidP="004E0276">
            <w:pPr>
              <w:jc w:val="center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¿Qué son los medicamentos genéricos?</w:t>
            </w:r>
          </w:p>
        </w:tc>
        <w:tc>
          <w:tcPr>
            <w:tcW w:w="6706" w:type="dxa"/>
            <w:vAlign w:val="center"/>
          </w:tcPr>
          <w:p w14:paraId="1F70D44B" w14:textId="77777777" w:rsidR="00603A25" w:rsidRPr="00603A25" w:rsidRDefault="00603A25" w:rsidP="004E0276">
            <w:p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Los medicamentos genéricos son productos farmacéuticos que contienen el mismo principio activo, concentración y forma farmacéutica que un medicamento de marca, pero se comercializan bajo el nombre del principio activo y a un menor costo. Tienen la misma eficacia terapéutica comprobada que los medicamentos de referencia.</w:t>
            </w:r>
          </w:p>
        </w:tc>
      </w:tr>
      <w:tr w:rsidR="00603A25" w:rsidRPr="00603A25" w14:paraId="5D5AF3DC" w14:textId="77777777" w:rsidTr="00603A25">
        <w:trPr>
          <w:trHeight w:val="396"/>
        </w:trPr>
        <w:tc>
          <w:tcPr>
            <w:tcW w:w="2122" w:type="dxa"/>
            <w:vAlign w:val="center"/>
          </w:tcPr>
          <w:p w14:paraId="2BDF68FD" w14:textId="77777777" w:rsidR="00603A25" w:rsidRPr="00603A25" w:rsidRDefault="00603A25" w:rsidP="004E0276">
            <w:pPr>
              <w:jc w:val="center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Regulación en Colombia</w:t>
            </w:r>
          </w:p>
        </w:tc>
        <w:tc>
          <w:tcPr>
            <w:tcW w:w="6706" w:type="dxa"/>
            <w:vAlign w:val="center"/>
          </w:tcPr>
          <w:p w14:paraId="7CF1569F" w14:textId="0A075BDF" w:rsidR="00603A25" w:rsidRPr="00603A25" w:rsidRDefault="00603A25" w:rsidP="004E0276">
            <w:p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En Colombia, los medicamentos genéricos están regulados por el Instituto Nacional de Vigilancia de Medicamentos y Alimentos (INVIMA). Desde la Ley 100 de 1993 y especialmente con el Decreto 677 de 1995, se han establecido normas para garantizar la calidad, seguridad y eficacia de los medicamentos genéricos.</w:t>
            </w:r>
          </w:p>
          <w:p w14:paraId="519507D9" w14:textId="77777777" w:rsidR="00603A25" w:rsidRPr="00603A25" w:rsidRDefault="00603A25" w:rsidP="004E0276">
            <w:p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En 2013, se estableció la política de control de precios de medicamentos, que incentivó aún más el consumo de genéricos al regular los precios máximos de venta.</w:t>
            </w:r>
          </w:p>
        </w:tc>
      </w:tr>
      <w:tr w:rsidR="00603A25" w:rsidRPr="00603A25" w14:paraId="79DA7B6E" w14:textId="77777777" w:rsidTr="00603A25">
        <w:tc>
          <w:tcPr>
            <w:tcW w:w="2122" w:type="dxa"/>
            <w:vAlign w:val="center"/>
          </w:tcPr>
          <w:p w14:paraId="054A2B92" w14:textId="77777777" w:rsidR="00603A25" w:rsidRPr="00603A25" w:rsidRDefault="00603A25" w:rsidP="004E0276">
            <w:pPr>
              <w:jc w:val="center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Marcas y actores relevantes</w:t>
            </w:r>
          </w:p>
        </w:tc>
        <w:tc>
          <w:tcPr>
            <w:tcW w:w="6706" w:type="dxa"/>
            <w:vAlign w:val="center"/>
          </w:tcPr>
          <w:p w14:paraId="18D0C78A" w14:textId="575C3760" w:rsidR="00603A25" w:rsidRPr="00603A25" w:rsidRDefault="00603A25" w:rsidP="004E0276">
            <w:p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Los medicamentos genéricos pueden ser fabricados por empresas multinacionales o laboratorios nacionales. Algunos de los principales actores del mercado colombiano son:</w:t>
            </w:r>
          </w:p>
          <w:p w14:paraId="1C83B24E" w14:textId="77777777" w:rsidR="00603A25" w:rsidRPr="00603A25" w:rsidRDefault="00603A25" w:rsidP="004E0276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  <w:sz w:val="16"/>
                <w:szCs w:val="16"/>
                <w:lang w:val="es-ES_tradnl"/>
              </w:rPr>
            </w:pPr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>Tecnoquímicas:</w:t>
            </w:r>
            <w:r w:rsidRPr="00603A25">
              <w:rPr>
                <w:rFonts w:ascii="Calibri" w:hAnsi="Calibri" w:cs="Calibri"/>
                <w:sz w:val="16"/>
                <w:szCs w:val="16"/>
                <w:lang w:val="es-ES_tradnl"/>
              </w:rPr>
              <w:t xml:space="preserve"> Una de las farmacéuticas más grandes de Colombia, ofrece genéricos y medicamentos de marca.</w:t>
            </w:r>
          </w:p>
          <w:p w14:paraId="035C2485" w14:textId="77777777" w:rsidR="00603A25" w:rsidRPr="00603A25" w:rsidRDefault="00603A25" w:rsidP="004E0276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  <w:sz w:val="16"/>
                <w:szCs w:val="16"/>
                <w:lang w:val="es-ES_tradnl"/>
              </w:rPr>
            </w:pPr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>Genfar (Grupo Sanofi):</w:t>
            </w:r>
            <w:r w:rsidRPr="00603A25">
              <w:rPr>
                <w:rFonts w:ascii="Calibri" w:hAnsi="Calibri" w:cs="Calibri"/>
                <w:sz w:val="16"/>
                <w:szCs w:val="16"/>
                <w:lang w:val="es-ES_tradnl"/>
              </w:rPr>
              <w:t xml:space="preserve"> Especializada en genéricos, muy reconocida en América Latina.</w:t>
            </w:r>
          </w:p>
          <w:p w14:paraId="00F1AF0E" w14:textId="77777777" w:rsidR="00603A25" w:rsidRPr="00603A25" w:rsidRDefault="00603A25" w:rsidP="004E0276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</w:pPr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>Laboratorios La Santé</w:t>
            </w:r>
          </w:p>
          <w:p w14:paraId="52D54A0E" w14:textId="77777777" w:rsidR="00603A25" w:rsidRPr="00603A25" w:rsidRDefault="00603A25" w:rsidP="004E0276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</w:pPr>
            <w:proofErr w:type="spellStart"/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>Vannier</w:t>
            </w:r>
            <w:proofErr w:type="spellEnd"/>
          </w:p>
          <w:p w14:paraId="5B86EE1A" w14:textId="77777777" w:rsidR="00603A25" w:rsidRPr="00603A25" w:rsidRDefault="00603A25" w:rsidP="004E0276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  <w:sz w:val="16"/>
                <w:szCs w:val="16"/>
                <w:lang w:val="es-ES_tradnl"/>
              </w:rPr>
            </w:pPr>
            <w:proofErr w:type="spellStart"/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>Lafrancol</w:t>
            </w:r>
            <w:proofErr w:type="spellEnd"/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 xml:space="preserve"> (Adquirido por Abbott):</w:t>
            </w:r>
            <w:r w:rsidRPr="00603A25">
              <w:rPr>
                <w:rFonts w:ascii="Calibri" w:hAnsi="Calibri" w:cs="Calibri"/>
                <w:sz w:val="16"/>
                <w:szCs w:val="16"/>
                <w:lang w:val="es-ES_tradnl"/>
              </w:rPr>
              <w:t xml:space="preserve"> Participa activamente en el segmento de genéricos.</w:t>
            </w:r>
          </w:p>
          <w:p w14:paraId="626939C7" w14:textId="77777777" w:rsidR="00603A25" w:rsidRPr="00603A25" w:rsidRDefault="00603A25" w:rsidP="004E0276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6"/>
                <w:szCs w:val="16"/>
                <w:u w:val="single"/>
                <w:lang w:val="es-ES_tradnl"/>
              </w:rPr>
              <w:t>Blau Farmacéutica, Biomédicos, Roche</w:t>
            </w:r>
            <w:r w:rsidRPr="00603A25">
              <w:rPr>
                <w:rFonts w:ascii="Calibri" w:hAnsi="Calibri" w:cs="Calibri"/>
                <w:sz w:val="16"/>
                <w:szCs w:val="16"/>
                <w:lang w:val="es-ES_tradnl"/>
              </w:rPr>
              <w:t xml:space="preserve"> (a través de acuerdos de licencias para genéricos).</w:t>
            </w:r>
          </w:p>
        </w:tc>
      </w:tr>
      <w:tr w:rsidR="00603A25" w:rsidRPr="00603A25" w14:paraId="57D35205" w14:textId="77777777" w:rsidTr="00603A25">
        <w:tc>
          <w:tcPr>
            <w:tcW w:w="2122" w:type="dxa"/>
            <w:vAlign w:val="center"/>
          </w:tcPr>
          <w:p w14:paraId="4DBE19A1" w14:textId="77777777" w:rsidR="00603A25" w:rsidRPr="00603A25" w:rsidRDefault="00603A25" w:rsidP="004E0276">
            <w:pPr>
              <w:jc w:val="center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Datos de mercado</w:t>
            </w:r>
          </w:p>
        </w:tc>
        <w:tc>
          <w:tcPr>
            <w:tcW w:w="6706" w:type="dxa"/>
            <w:vAlign w:val="center"/>
          </w:tcPr>
          <w:p w14:paraId="10EA1A45" w14:textId="77777777" w:rsidR="00603A25" w:rsidRPr="00603A25" w:rsidRDefault="00603A25" w:rsidP="004E0276">
            <w:p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Calibri"/>
                <w:sz w:val="18"/>
                <w:szCs w:val="18"/>
                <w:lang w:val="es-ES_tradnl"/>
              </w:rPr>
              <w:t>En Colombia, los genéricos representan alrededor del 60% del total de unidades vendidas en el mercado farmacéutico.</w:t>
            </w:r>
          </w:p>
          <w:p w14:paraId="7FFE884D" w14:textId="77777777" w:rsidR="00603A25" w:rsidRPr="00BA4EB2" w:rsidRDefault="00603A25" w:rsidP="00BA4EB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BA4EB2">
              <w:rPr>
                <w:rFonts w:ascii="Calibri" w:hAnsi="Calibri" w:cs="Calibri"/>
                <w:sz w:val="18"/>
                <w:szCs w:val="18"/>
                <w:lang w:val="es-ES_tradnl"/>
              </w:rPr>
              <w:t>El mercado de genéricos tiene un valor estimado superior a 1.000 millones de dólares anuales, con un crecimiento sostenido del 4-6% anual.</w:t>
            </w:r>
          </w:p>
          <w:p w14:paraId="62BFFDDD" w14:textId="77777777" w:rsidR="00603A25" w:rsidRPr="00BA4EB2" w:rsidRDefault="00603A25" w:rsidP="00BA4EB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BA4EB2">
              <w:rPr>
                <w:rFonts w:ascii="Calibri" w:hAnsi="Calibri" w:cs="Calibri"/>
                <w:sz w:val="18"/>
                <w:szCs w:val="18"/>
                <w:lang w:val="es-ES_tradnl"/>
              </w:rPr>
              <w:t>El canal de mayor venta de genéricos son las farmacias y droguerías, seguido del canal institucional (EPS, hospitales públicos).</w:t>
            </w:r>
          </w:p>
          <w:p w14:paraId="7A7AE5EB" w14:textId="77777777" w:rsidR="00603A25" w:rsidRPr="00BA4EB2" w:rsidRDefault="00603A25" w:rsidP="00BA4EB2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Calibri"/>
                <w:sz w:val="18"/>
                <w:szCs w:val="18"/>
                <w:lang w:val="es-ES_tradnl"/>
              </w:rPr>
            </w:pPr>
            <w:r w:rsidRPr="00BA4EB2">
              <w:rPr>
                <w:rFonts w:ascii="Calibri" w:hAnsi="Calibri" w:cs="Calibri"/>
                <w:sz w:val="18"/>
                <w:szCs w:val="18"/>
                <w:lang w:val="es-ES_tradnl"/>
              </w:rPr>
              <w:t>Los medicamentos cardiovasculares, antibióticos, analgésicos y tratamientos para enfermedades crónicas son los más demandados en versiones genéricas.</w:t>
            </w:r>
          </w:p>
        </w:tc>
      </w:tr>
      <w:tr w:rsidR="00603A25" w:rsidRPr="00603A25" w14:paraId="40CEBCFE" w14:textId="77777777" w:rsidTr="00603A25">
        <w:tc>
          <w:tcPr>
            <w:tcW w:w="2122" w:type="dxa"/>
            <w:vAlign w:val="center"/>
          </w:tcPr>
          <w:p w14:paraId="60FE6826" w14:textId="77777777" w:rsidR="00603A25" w:rsidRPr="00603A25" w:rsidRDefault="00603A25" w:rsidP="004E0276">
            <w:pPr>
              <w:jc w:val="center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Ventajas de los medicamentos genéricos</w:t>
            </w:r>
          </w:p>
        </w:tc>
        <w:tc>
          <w:tcPr>
            <w:tcW w:w="6706" w:type="dxa"/>
            <w:vAlign w:val="center"/>
          </w:tcPr>
          <w:p w14:paraId="1AEE6DF2" w14:textId="77777777" w:rsidR="00603A25" w:rsidRPr="00603A25" w:rsidRDefault="00603A25" w:rsidP="00603A25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Precio hasta 80% más bajo que el medicamento original.</w:t>
            </w:r>
          </w:p>
          <w:p w14:paraId="47FCA538" w14:textId="77777777" w:rsidR="00603A25" w:rsidRPr="00603A25" w:rsidRDefault="00603A25" w:rsidP="00603A25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Acceso ampliado a tratamientos para población de bajos recursos.</w:t>
            </w:r>
          </w:p>
          <w:p w14:paraId="425B3A0C" w14:textId="77777777" w:rsidR="00603A25" w:rsidRPr="00603A25" w:rsidRDefault="00603A25" w:rsidP="00603A25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Mayor cobertura en el sistema de salud (POS/Plan de Beneficios en Salud).</w:t>
            </w:r>
          </w:p>
        </w:tc>
      </w:tr>
      <w:tr w:rsidR="00603A25" w:rsidRPr="00603A25" w14:paraId="6B3CAA3B" w14:textId="77777777" w:rsidTr="00603A25">
        <w:tc>
          <w:tcPr>
            <w:tcW w:w="2122" w:type="dxa"/>
            <w:vAlign w:val="center"/>
          </w:tcPr>
          <w:p w14:paraId="563545EC" w14:textId="77777777" w:rsidR="00603A25" w:rsidRPr="00603A25" w:rsidRDefault="00603A25" w:rsidP="004E0276">
            <w:pPr>
              <w:jc w:val="center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Percepción del consumidor</w:t>
            </w:r>
          </w:p>
        </w:tc>
        <w:tc>
          <w:tcPr>
            <w:tcW w:w="6706" w:type="dxa"/>
            <w:vAlign w:val="center"/>
          </w:tcPr>
          <w:p w14:paraId="233BB993" w14:textId="695D0998" w:rsidR="00603A25" w:rsidRPr="00603A25" w:rsidRDefault="00603A25" w:rsidP="004E0276">
            <w:pPr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Aunque ha mejorado en la última década, todavía existe cierta desconfianza en algunos sectores frente a la eficacia de los genéricos.</w:t>
            </w:r>
          </w:p>
          <w:p w14:paraId="454B0CF3" w14:textId="77777777" w:rsidR="00603A25" w:rsidRPr="00603A25" w:rsidRDefault="00603A25" w:rsidP="004E0276">
            <w:pPr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Sin embargo, campañas educativas del gobierno y experiencias positivas han incrementado su aceptación, especialmente entre adultos mayores y usuarios frecuentes del sistema de salud subsidiado.</w:t>
            </w:r>
          </w:p>
        </w:tc>
      </w:tr>
      <w:tr w:rsidR="00603A25" w:rsidRPr="00603A25" w14:paraId="15FD0565" w14:textId="77777777" w:rsidTr="00603A25">
        <w:tc>
          <w:tcPr>
            <w:tcW w:w="2122" w:type="dxa"/>
            <w:vAlign w:val="center"/>
          </w:tcPr>
          <w:p w14:paraId="115B7F1D" w14:textId="77777777" w:rsidR="00603A25" w:rsidRPr="00603A25" w:rsidRDefault="00603A25" w:rsidP="004E0276">
            <w:pPr>
              <w:jc w:val="center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Retos del sector</w:t>
            </w:r>
          </w:p>
        </w:tc>
        <w:tc>
          <w:tcPr>
            <w:tcW w:w="6706" w:type="dxa"/>
            <w:vAlign w:val="center"/>
          </w:tcPr>
          <w:p w14:paraId="696EF76E" w14:textId="31460814" w:rsidR="00603A25" w:rsidRPr="00603A25" w:rsidRDefault="00603A25" w:rsidP="004E0276">
            <w:pPr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Educación al paciente y médico para eliminar el estigma frente a la calidad de los genéricos.</w:t>
            </w:r>
          </w:p>
          <w:p w14:paraId="4DAFD15A" w14:textId="66B0A468" w:rsidR="00603A25" w:rsidRPr="00603A25" w:rsidRDefault="00603A25" w:rsidP="004E0276">
            <w:pPr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Combate a la falsificación: Algunos productos ilegales o sin registro INVIMA afectan la confianza del consumidor.</w:t>
            </w:r>
          </w:p>
          <w:p w14:paraId="6CFF3765" w14:textId="77777777" w:rsidR="00603A25" w:rsidRPr="00603A25" w:rsidRDefault="00603A25" w:rsidP="004E0276">
            <w:pPr>
              <w:jc w:val="both"/>
              <w:rPr>
                <w:rFonts w:ascii="Calibri" w:hAnsi="Calibri" w:cs="Arial"/>
                <w:sz w:val="18"/>
                <w:szCs w:val="18"/>
                <w:lang w:val="es-ES_tradnl"/>
              </w:rPr>
            </w:pPr>
            <w:r w:rsidRPr="00603A25">
              <w:rPr>
                <w:rFonts w:ascii="Calibri" w:hAnsi="Calibri" w:cs="Arial"/>
                <w:sz w:val="18"/>
                <w:szCs w:val="18"/>
                <w:lang w:val="es-ES_tradnl"/>
              </w:rPr>
              <w:t>Políticas de promoción transparente: Evitar conflictos de interés entre médicos y laboratorios.</w:t>
            </w:r>
          </w:p>
        </w:tc>
      </w:tr>
    </w:tbl>
    <w:p w14:paraId="486F3DA4" w14:textId="77777777" w:rsidR="00603A25" w:rsidRDefault="00603A25" w:rsidP="005C134D">
      <w:pPr>
        <w:jc w:val="both"/>
        <w:rPr>
          <w:b/>
          <w:bCs/>
        </w:rPr>
      </w:pPr>
    </w:p>
    <w:p w14:paraId="385B2696" w14:textId="4F7B4E14" w:rsidR="00603A25" w:rsidRDefault="00603A25" w:rsidP="005C134D">
      <w:pPr>
        <w:jc w:val="both"/>
        <w:rPr>
          <w:b/>
          <w:bCs/>
        </w:rPr>
      </w:pPr>
      <w:r>
        <w:rPr>
          <w:b/>
          <w:bCs/>
        </w:rPr>
        <w:lastRenderedPageBreak/>
        <w:t>Datos de participación de mercado</w:t>
      </w:r>
    </w:p>
    <w:p w14:paraId="5EB8D17D" w14:textId="34793D25" w:rsidR="00603A25" w:rsidRDefault="00603A25" w:rsidP="005C134D">
      <w:pPr>
        <w:jc w:val="both"/>
        <w:rPr>
          <w:b/>
          <w:bCs/>
        </w:rPr>
      </w:pPr>
      <w:r w:rsidRPr="00603A25">
        <w:rPr>
          <w:b/>
          <w:bCs/>
        </w:rPr>
        <w:drawing>
          <wp:inline distT="0" distB="0" distL="0" distR="0" wp14:anchorId="2A2B7CF9" wp14:editId="174F123C">
            <wp:extent cx="5509260" cy="3056960"/>
            <wp:effectExtent l="0" t="0" r="0" b="0"/>
            <wp:docPr id="28906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400" cy="305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CBB1" w14:textId="74D31673" w:rsidR="005C134D" w:rsidRDefault="005C134D" w:rsidP="005C134D">
      <w:pPr>
        <w:jc w:val="both"/>
        <w:rPr>
          <w:rFonts w:ascii="Calibri" w:hAnsi="Calibri" w:cs="Arial"/>
          <w:sz w:val="20"/>
          <w:szCs w:val="20"/>
        </w:rPr>
      </w:pPr>
      <w:r w:rsidRPr="00AE113E">
        <w:rPr>
          <w:rFonts w:ascii="Calibri" w:hAnsi="Calibri" w:cs="Arial"/>
          <w:sz w:val="20"/>
          <w:szCs w:val="20"/>
        </w:rPr>
        <w:t xml:space="preserve">La Santé es una compañía colombiana con más de 30 años de existencia; dedicada a la investigación, desarrollo y comercialización de medicamentos genéricos y de marca, actualmente tiene presencia en 10 países de Latinoamérica. Su portafolio comprende más de 150 productos comerciales y más de 25 estudios internacionales de Bioequivalencia y equivalencia farmacéutica; los cuales permiten a la compañía avalar la efectividad y seguridad de los medicamentos que ofrecen. </w:t>
      </w:r>
    </w:p>
    <w:p w14:paraId="0F9B5F26" w14:textId="16165947" w:rsidR="00BA4EB2" w:rsidRPr="00BA4EB2" w:rsidRDefault="00BA4EB2" w:rsidP="005C134D">
      <w:pPr>
        <w:jc w:val="both"/>
        <w:rPr>
          <w:rFonts w:ascii="Calibri" w:hAnsi="Calibri" w:cs="Arial"/>
          <w:b/>
          <w:bCs/>
          <w:sz w:val="20"/>
          <w:szCs w:val="20"/>
        </w:rPr>
      </w:pPr>
      <w:r>
        <w:rPr>
          <w:rFonts w:ascii="Calibri" w:hAnsi="Calibri" w:cs="Arial"/>
          <w:b/>
          <w:bCs/>
          <w:sz w:val="20"/>
          <w:szCs w:val="20"/>
        </w:rPr>
        <w:t>Resultados estudio anterior</w:t>
      </w:r>
    </w:p>
    <w:p w14:paraId="3F46BD3B" w14:textId="6154D25C" w:rsidR="005C134D" w:rsidRDefault="00BA4EB2" w:rsidP="005C134D">
      <w:pPr>
        <w:jc w:val="both"/>
        <w:rPr>
          <w:rFonts w:ascii="Calibri" w:hAnsi="Calibri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3B5148" wp14:editId="025D36D6">
            <wp:simplePos x="0" y="0"/>
            <wp:positionH relativeFrom="column">
              <wp:posOffset>-386715</wp:posOffset>
            </wp:positionH>
            <wp:positionV relativeFrom="page">
              <wp:posOffset>6217920</wp:posOffset>
            </wp:positionV>
            <wp:extent cx="6722745" cy="1767840"/>
            <wp:effectExtent l="0" t="0" r="1905" b="3810"/>
            <wp:wrapTopAndBottom/>
            <wp:docPr id="1328862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745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34D" w:rsidRPr="00AE113E">
        <w:rPr>
          <w:rFonts w:ascii="Calibri" w:hAnsi="Calibri" w:cs="Arial"/>
          <w:sz w:val="20"/>
          <w:szCs w:val="20"/>
        </w:rPr>
        <w:t>Como parte de su proceso constante de entender las necesidades de sus clientes, es una compañía con una fuerte cultura de investigación de mercados; donde con base al último estudio de salud de marca para la categoría de genéricos realizado por la compañía se obtienen los siguientes resultados:</w:t>
      </w:r>
    </w:p>
    <w:p w14:paraId="347E47F2" w14:textId="0E1701DF" w:rsidR="005C134D" w:rsidRPr="00AE113E" w:rsidRDefault="005C134D" w:rsidP="005C134D">
      <w:pPr>
        <w:jc w:val="both"/>
        <w:rPr>
          <w:rFonts w:ascii="Calibri" w:hAnsi="Calibri" w:cs="Arial"/>
          <w:sz w:val="20"/>
          <w:szCs w:val="20"/>
          <w:lang w:val="es-ES_tradnl"/>
        </w:rPr>
      </w:pPr>
      <w:r w:rsidRPr="00AE113E">
        <w:rPr>
          <w:rFonts w:ascii="Calibri" w:hAnsi="Calibri" w:cs="Arial"/>
          <w:sz w:val="20"/>
          <w:szCs w:val="20"/>
          <w:lang w:val="es-ES_tradnl"/>
        </w:rPr>
        <w:t>Actualmente la compañía se encuentra interesada en realizar un estudio de investigación de mercados que le permita dar cumplimiento a los siguientes objetivos:</w:t>
      </w:r>
    </w:p>
    <w:p w14:paraId="6B9AE8C0" w14:textId="64B7B5AA" w:rsidR="005C134D" w:rsidRPr="00AE113E" w:rsidRDefault="005C134D" w:rsidP="00603A25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  <w:r w:rsidRPr="00AE113E">
        <w:rPr>
          <w:rFonts w:ascii="Calibri" w:hAnsi="Calibri" w:cs="Arial"/>
          <w:sz w:val="20"/>
          <w:szCs w:val="20"/>
          <w:lang w:val="es-ES_tradnl"/>
        </w:rPr>
        <w:t xml:space="preserve"> </w:t>
      </w:r>
      <w:r w:rsidRPr="00AE113E">
        <w:rPr>
          <w:rFonts w:ascii="Calibri" w:hAnsi="Calibri" w:cs="Arial"/>
          <w:b/>
          <w:bCs/>
          <w:sz w:val="20"/>
          <w:szCs w:val="20"/>
          <w:lang w:val="es-ES_tradnl"/>
        </w:rPr>
        <w:t>Identificar nuevos horizontes sobre los cuales extender su marca</w:t>
      </w:r>
      <w:r w:rsidRPr="00AE113E">
        <w:rPr>
          <w:rFonts w:ascii="Calibri" w:hAnsi="Calibri" w:cs="Arial"/>
          <w:sz w:val="20"/>
          <w:szCs w:val="20"/>
          <w:lang w:val="es-ES_tradnl"/>
        </w:rPr>
        <w:t>, pero sin llegar a perder el capital de marca que ha construido a lo largo del tiempo.</w:t>
      </w:r>
    </w:p>
    <w:p w14:paraId="30E005C9" w14:textId="1A2DD4C0" w:rsidR="005C134D" w:rsidRPr="005C134D" w:rsidRDefault="005C134D" w:rsidP="00603A25">
      <w:pPr>
        <w:numPr>
          <w:ilvl w:val="0"/>
          <w:numId w:val="2"/>
        </w:num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  <w:r w:rsidRPr="00AE113E">
        <w:rPr>
          <w:rFonts w:ascii="Calibri" w:hAnsi="Calibri" w:cs="Arial"/>
          <w:b/>
          <w:bCs/>
          <w:sz w:val="20"/>
          <w:szCs w:val="20"/>
          <w:lang w:val="es-ES_tradnl"/>
        </w:rPr>
        <w:t xml:space="preserve">Gestionar la estrategia de Salud de marca </w:t>
      </w:r>
      <w:r w:rsidRPr="00AE113E">
        <w:rPr>
          <w:rFonts w:ascii="Calibri" w:hAnsi="Calibri" w:cs="Arial"/>
          <w:sz w:val="20"/>
          <w:szCs w:val="20"/>
          <w:lang w:val="es-ES_tradnl"/>
        </w:rPr>
        <w:t>para La Santé.</w:t>
      </w:r>
    </w:p>
    <w:p w14:paraId="432F5DAB" w14:textId="77777777" w:rsidR="00BA4EB2" w:rsidRDefault="00BA4EB2" w:rsidP="005C134D">
      <w:p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</w:p>
    <w:p w14:paraId="683426A3" w14:textId="1CA00D6A" w:rsidR="00BA4EB2" w:rsidRPr="00BA4EB2" w:rsidRDefault="00BA4EB2" w:rsidP="005C134D">
      <w:pPr>
        <w:spacing w:after="0" w:line="240" w:lineRule="auto"/>
        <w:jc w:val="both"/>
        <w:rPr>
          <w:rFonts w:ascii="Calibri" w:hAnsi="Calibri" w:cs="Arial"/>
          <w:b/>
          <w:bCs/>
          <w:sz w:val="20"/>
          <w:szCs w:val="20"/>
        </w:rPr>
      </w:pPr>
      <w:r w:rsidRPr="00BA4EB2">
        <w:rPr>
          <w:rFonts w:ascii="Calibri" w:hAnsi="Calibri" w:cs="Arial"/>
          <w:b/>
          <w:bCs/>
          <w:sz w:val="24"/>
          <w:szCs w:val="24"/>
        </w:rPr>
        <w:lastRenderedPageBreak/>
        <w:t>Resultados estudio actual</w:t>
      </w:r>
    </w:p>
    <w:p w14:paraId="4AA6EB48" w14:textId="767B0322" w:rsidR="005C134D" w:rsidRDefault="005C134D" w:rsidP="005C134D">
      <w:p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  <w:r>
        <w:rPr>
          <w:rFonts w:ascii="Calibri" w:hAnsi="Calibri" w:cs="Arial"/>
          <w:sz w:val="20"/>
          <w:szCs w:val="20"/>
        </w:rPr>
        <w:t xml:space="preserve">El estudio </w:t>
      </w:r>
      <w:r w:rsidR="00BA4EB2">
        <w:rPr>
          <w:rFonts w:ascii="Calibri" w:hAnsi="Calibri" w:cs="Arial"/>
          <w:sz w:val="20"/>
          <w:szCs w:val="20"/>
        </w:rPr>
        <w:t>que ejecutó brandstrat</w:t>
      </w:r>
      <w:r>
        <w:rPr>
          <w:rFonts w:ascii="Calibri" w:hAnsi="Calibri" w:cs="Arial"/>
          <w:sz w:val="20"/>
          <w:szCs w:val="20"/>
        </w:rPr>
        <w:t xml:space="preserve"> se llevó a cabo en 2 fases como se indica a continuación:</w:t>
      </w:r>
    </w:p>
    <w:p w14:paraId="65DCCF5F" w14:textId="6E13D667" w:rsidR="005C134D" w:rsidRDefault="005C134D" w:rsidP="005C134D">
      <w:p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</w:p>
    <w:p w14:paraId="047E715B" w14:textId="4F4FF0EA" w:rsidR="00603A25" w:rsidRPr="00AE113E" w:rsidRDefault="00603A25" w:rsidP="005C134D">
      <w:p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  <w:r w:rsidRPr="00603A25">
        <w:rPr>
          <w:rFonts w:ascii="Calibri" w:hAnsi="Calibri" w:cs="Arial"/>
          <w:sz w:val="20"/>
          <w:szCs w:val="20"/>
        </w:rPr>
        <w:drawing>
          <wp:inline distT="0" distB="0" distL="0" distR="0" wp14:anchorId="4B048506" wp14:editId="24A91F5A">
            <wp:extent cx="3390900" cy="1960951"/>
            <wp:effectExtent l="0" t="0" r="0" b="1270"/>
            <wp:docPr id="1693387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8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7880" cy="197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B867" w14:textId="511559DE" w:rsidR="00BA4EB2" w:rsidRDefault="00BA4EB2" w:rsidP="00603A25">
      <w:pPr>
        <w:spacing w:after="0" w:line="240" w:lineRule="auto"/>
        <w:jc w:val="both"/>
      </w:pPr>
    </w:p>
    <w:p w14:paraId="7F5BB3C9" w14:textId="0D183B1F" w:rsidR="005C134D" w:rsidRPr="00603A25" w:rsidRDefault="00603A25" w:rsidP="00603A25">
      <w:pPr>
        <w:spacing w:after="0" w:line="240" w:lineRule="auto"/>
        <w:jc w:val="both"/>
        <w:rPr>
          <w:rFonts w:ascii="Calibri" w:hAnsi="Calibri" w:cs="Arial"/>
          <w:sz w:val="20"/>
          <w:szCs w:val="20"/>
        </w:rPr>
      </w:pPr>
      <w:r>
        <w:t>Como parte de los resultados de la fase 1 del estudio obtuvimos los siguientes resultados que fueron usados como insumo para dar una respuesta inicial al objetivo 1 del estudio “</w:t>
      </w:r>
      <w:r w:rsidRPr="00AE113E">
        <w:rPr>
          <w:rFonts w:ascii="Calibri" w:hAnsi="Calibri" w:cs="Arial"/>
          <w:b/>
          <w:bCs/>
          <w:sz w:val="20"/>
          <w:szCs w:val="20"/>
          <w:lang w:val="es-ES_tradnl"/>
        </w:rPr>
        <w:t>Identificar nuevos horizontes sobre los cuales extender su marca</w:t>
      </w:r>
      <w:r w:rsidRPr="00AE113E">
        <w:rPr>
          <w:rFonts w:ascii="Calibri" w:hAnsi="Calibri" w:cs="Arial"/>
          <w:sz w:val="20"/>
          <w:szCs w:val="20"/>
          <w:lang w:val="es-ES_tradnl"/>
        </w:rPr>
        <w:t>, pero sin llegar a perder el capital de marca que ha construido a lo largo del tiempo.</w:t>
      </w:r>
      <w:r>
        <w:rPr>
          <w:rFonts w:ascii="Calibri" w:hAnsi="Calibri" w:cs="Arial"/>
          <w:sz w:val="20"/>
          <w:szCs w:val="20"/>
          <w:lang w:val="es-ES_tradnl"/>
        </w:rPr>
        <w:t>”</w:t>
      </w:r>
    </w:p>
    <w:p w14:paraId="497D15D4" w14:textId="4E6C2137" w:rsidR="00603A25" w:rsidRDefault="00603A25" w:rsidP="005C134D">
      <w:r w:rsidRPr="00603A25">
        <w:drawing>
          <wp:inline distT="0" distB="0" distL="0" distR="0" wp14:anchorId="25432C33" wp14:editId="72731698">
            <wp:extent cx="5174007" cy="2834640"/>
            <wp:effectExtent l="0" t="0" r="7620" b="3810"/>
            <wp:docPr id="1641147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47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416" cy="28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F480" w14:textId="6ADD4431" w:rsidR="005C134D" w:rsidRDefault="00603A25" w:rsidP="005C134D">
      <w:r w:rsidRPr="00603A25">
        <w:lastRenderedPageBreak/>
        <w:drawing>
          <wp:inline distT="0" distB="0" distL="0" distR="0" wp14:anchorId="458E0C01" wp14:editId="5DA655CA">
            <wp:extent cx="4853670" cy="2560320"/>
            <wp:effectExtent l="0" t="0" r="4445" b="0"/>
            <wp:docPr id="57808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89657" name=""/>
                    <pic:cNvPicPr/>
                  </pic:nvPicPr>
                  <pic:blipFill rotWithShape="1">
                    <a:blip r:embed="rId9"/>
                    <a:srcRect b="5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06" cy="2569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0C31B" w14:textId="3E4A4477" w:rsidR="005C134D" w:rsidRDefault="00603A25" w:rsidP="005C134D">
      <w:r w:rsidRPr="00603A25">
        <w:drawing>
          <wp:inline distT="0" distB="0" distL="0" distR="0" wp14:anchorId="42315DF9" wp14:editId="4C5B282E">
            <wp:extent cx="4906251" cy="2575560"/>
            <wp:effectExtent l="0" t="0" r="8890" b="0"/>
            <wp:docPr id="203335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59539" name=""/>
                    <pic:cNvPicPr/>
                  </pic:nvPicPr>
                  <pic:blipFill rotWithShape="1">
                    <a:blip r:embed="rId10"/>
                    <a:srcRect b="6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536" cy="257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A70EE" w14:textId="148538E9" w:rsidR="005C134D" w:rsidRDefault="00603A25" w:rsidP="005C134D">
      <w:r w:rsidRPr="00603A25">
        <w:drawing>
          <wp:inline distT="0" distB="0" distL="0" distR="0" wp14:anchorId="55E4ECC1" wp14:editId="36F4E548">
            <wp:extent cx="5073980" cy="2339340"/>
            <wp:effectExtent l="0" t="0" r="0" b="3810"/>
            <wp:docPr id="273642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42346" name=""/>
                    <pic:cNvPicPr/>
                  </pic:nvPicPr>
                  <pic:blipFill rotWithShape="1">
                    <a:blip r:embed="rId11"/>
                    <a:srcRect b="17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396" cy="234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B5A8" w14:textId="77777777" w:rsidR="005C134D" w:rsidRPr="005C134D" w:rsidRDefault="005C134D" w:rsidP="005C134D"/>
    <w:p w14:paraId="7C0D1DC0" w14:textId="3F7A565E" w:rsidR="005C134D" w:rsidRP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lastRenderedPageBreak/>
        <w:t>2.</w:t>
      </w:r>
      <w:r w:rsidR="0012460A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¿Cuál es la pregunta de negocio o hipótesis a validar?</w:t>
      </w:r>
    </w:p>
    <w:p w14:paraId="100225D7" w14:textId="77777777" w:rsidR="0012460A" w:rsidRDefault="0012460A" w:rsidP="0012460A">
      <w:pPr>
        <w:pStyle w:val="Prrafodelista"/>
        <w:numPr>
          <w:ilvl w:val="0"/>
          <w:numId w:val="7"/>
        </w:numPr>
        <w:jc w:val="both"/>
        <w:rPr>
          <w:rFonts w:ascii="Calibri" w:hAnsi="Calibri" w:cs="Arial"/>
          <w:color w:val="000000"/>
          <w:sz w:val="20"/>
          <w:szCs w:val="20"/>
        </w:rPr>
      </w:pPr>
      <w:r w:rsidRPr="0012460A">
        <w:rPr>
          <w:rFonts w:ascii="Calibri" w:hAnsi="Calibri" w:cs="Arial"/>
          <w:color w:val="000000"/>
          <w:sz w:val="20"/>
          <w:szCs w:val="20"/>
        </w:rPr>
        <w:t>¿Tiene La Santé la capacidad de expandirse hacia nuevas categorías y segmentos del mercado sin comprometer la coherencia de su marca, y cómo podría la implementación estratégica de submarcas fortalecer su posicionamiento y diferenciación en la categoría de medicamentos genéricos teniendo en cuenta el estado actual de su salud de marca?</w:t>
      </w:r>
    </w:p>
    <w:p w14:paraId="0E4AFCDB" w14:textId="25766D78" w:rsidR="0012460A" w:rsidRPr="0012460A" w:rsidRDefault="0012460A" w:rsidP="005C134D">
      <w:pPr>
        <w:pStyle w:val="Prrafodelista"/>
        <w:numPr>
          <w:ilvl w:val="0"/>
          <w:numId w:val="7"/>
        </w:numPr>
        <w:jc w:val="both"/>
        <w:rPr>
          <w:rFonts w:ascii="Calibri" w:hAnsi="Calibri" w:cs="Arial"/>
          <w:color w:val="000000"/>
          <w:sz w:val="20"/>
          <w:szCs w:val="20"/>
        </w:rPr>
      </w:pPr>
      <w:r>
        <w:rPr>
          <w:rFonts w:ascii="Calibri" w:hAnsi="Calibri" w:cs="Arial"/>
          <w:color w:val="000000"/>
          <w:sz w:val="20"/>
          <w:szCs w:val="20"/>
        </w:rPr>
        <w:t xml:space="preserve">¿Cómo ha evolucionado la salud de marca/Brand Equity de La Santé en la categoría de genéricos desde la última medición realizada en 2022; </w:t>
      </w:r>
      <w:proofErr w:type="gramStart"/>
      <w:r>
        <w:rPr>
          <w:rFonts w:ascii="Calibri" w:hAnsi="Calibri" w:cs="Arial"/>
          <w:color w:val="000000"/>
          <w:sz w:val="20"/>
          <w:szCs w:val="20"/>
        </w:rPr>
        <w:t>siendo vista desde los ejes de familiaridad, asociaciones de marca, valor percibido de marca y fidelidad?</w:t>
      </w:r>
      <w:proofErr w:type="gramEnd"/>
    </w:p>
    <w:p w14:paraId="65D7A6CC" w14:textId="2FA15EBC" w:rsidR="005C134D" w:rsidRDefault="005C134D" w:rsidP="005C134D">
      <w:pPr>
        <w:rPr>
          <w:b/>
          <w:bCs/>
          <w:sz w:val="20"/>
          <w:szCs w:val="20"/>
        </w:rPr>
      </w:pPr>
      <w:proofErr w:type="gramStart"/>
      <w:r w:rsidRPr="005C134D">
        <w:rPr>
          <w:b/>
          <w:bCs/>
          <w:highlight w:val="yellow"/>
        </w:rPr>
        <w:t>3.¿</w:t>
      </w:r>
      <w:proofErr w:type="gramEnd"/>
      <w:r w:rsidRPr="005C134D">
        <w:rPr>
          <w:b/>
          <w:bCs/>
          <w:highlight w:val="yellow"/>
        </w:rPr>
        <w:t xml:space="preserve">Qué tipo de estudio es? </w:t>
      </w:r>
      <w:r w:rsidRPr="005C134D">
        <w:rPr>
          <w:b/>
          <w:bCs/>
          <w:sz w:val="20"/>
          <w:szCs w:val="20"/>
          <w:highlight w:val="yellow"/>
        </w:rPr>
        <w:t>(prueba de producto, comunicación, salud de marca, exploratorio, satisfacción, fidelización, etc.)</w:t>
      </w:r>
    </w:p>
    <w:p w14:paraId="1D26CF75" w14:textId="3F03A81D" w:rsidR="005C134D" w:rsidRPr="005C134D" w:rsidRDefault="0012460A" w:rsidP="005C134D">
      <w:r>
        <w:rPr>
          <w:sz w:val="20"/>
          <w:szCs w:val="20"/>
        </w:rPr>
        <w:t>Es un estudio de salud de marca/BrandEquity de la categoría de medicamentos genéricos con un adicional de testeo de atractividad nuevas extensiones de línea para La Santé</w:t>
      </w:r>
    </w:p>
    <w:p w14:paraId="74F16BD4" w14:textId="0A553E0D" w:rsidR="005C134D" w:rsidRP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4.</w:t>
      </w:r>
      <w:r w:rsidR="0012460A" w:rsidRPr="0012460A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¿Cuáles son los propósitos estratégicos? (¿Qué espera hacer el cliente con los resultados?)</w:t>
      </w:r>
    </w:p>
    <w:p w14:paraId="14379808" w14:textId="77777777" w:rsidR="0012460A" w:rsidRPr="0012460A" w:rsidRDefault="005C134D" w:rsidP="0012460A">
      <w:pPr>
        <w:numPr>
          <w:ilvl w:val="0"/>
          <w:numId w:val="8"/>
        </w:numPr>
        <w:spacing w:after="0"/>
        <w:jc w:val="both"/>
      </w:pPr>
      <w:r w:rsidRPr="005C134D">
        <w:t> </w:t>
      </w:r>
      <w:r w:rsidR="0012460A" w:rsidRPr="0012460A">
        <w:rPr>
          <w:b/>
          <w:bCs/>
        </w:rPr>
        <w:t xml:space="preserve">Gestionar la estrategia de salud de marca La Santé; </w:t>
      </w:r>
      <w:r w:rsidR="0012460A" w:rsidRPr="0012460A">
        <w:rPr>
          <w:i/>
          <w:iCs/>
        </w:rPr>
        <w:t>diagnosticando su desempeño en los pilares de familiaridad, posicionamiento, valor percibido y fidelidad.</w:t>
      </w:r>
    </w:p>
    <w:p w14:paraId="33D03157" w14:textId="77777777" w:rsidR="0012460A" w:rsidRPr="0012460A" w:rsidRDefault="0012460A" w:rsidP="0012460A">
      <w:pPr>
        <w:numPr>
          <w:ilvl w:val="0"/>
          <w:numId w:val="8"/>
        </w:numPr>
        <w:spacing w:after="0"/>
        <w:jc w:val="both"/>
      </w:pPr>
      <w:r w:rsidRPr="0012460A">
        <w:rPr>
          <w:b/>
          <w:bCs/>
        </w:rPr>
        <w:t xml:space="preserve">Aprovechar oportunidad de apropiarse de beneficios relevantes en la categoría, descuidados o no aprovechados por la competencia; </w:t>
      </w:r>
      <w:r w:rsidRPr="0012460A">
        <w:rPr>
          <w:i/>
          <w:iCs/>
        </w:rPr>
        <w:t>identificando el posicionamiento de la marca frente a los drivers de la categoría.</w:t>
      </w:r>
    </w:p>
    <w:p w14:paraId="5501A68E" w14:textId="77777777" w:rsidR="0012460A" w:rsidRPr="0012460A" w:rsidRDefault="0012460A" w:rsidP="0012460A">
      <w:pPr>
        <w:numPr>
          <w:ilvl w:val="0"/>
          <w:numId w:val="8"/>
        </w:numPr>
        <w:spacing w:after="0"/>
        <w:jc w:val="both"/>
      </w:pPr>
      <w:r w:rsidRPr="0012460A">
        <w:rPr>
          <w:b/>
          <w:bCs/>
        </w:rPr>
        <w:t xml:space="preserve">Diseñar o ajustar la propuesta de valor de la marca soportada en beneficios funcionales, emocionales y de autoexpresión para la marca La Santé que apoye la gestión comercial y de mercadeo; </w:t>
      </w:r>
      <w:r w:rsidRPr="0012460A">
        <w:rPr>
          <w:i/>
          <w:iCs/>
        </w:rPr>
        <w:t>identificando los drivers emergentes, dominantes y residuales de la categoría</w:t>
      </w:r>
    </w:p>
    <w:p w14:paraId="3B5F6828" w14:textId="77777777" w:rsidR="0012460A" w:rsidRPr="0012460A" w:rsidRDefault="0012460A" w:rsidP="0012460A">
      <w:pPr>
        <w:numPr>
          <w:ilvl w:val="0"/>
          <w:numId w:val="8"/>
        </w:numPr>
        <w:spacing w:after="0"/>
        <w:jc w:val="both"/>
      </w:pPr>
      <w:r w:rsidRPr="0012460A">
        <w:rPr>
          <w:b/>
          <w:bCs/>
        </w:rPr>
        <w:t xml:space="preserve">Definir si La Santé cuenta con la capacidad para extenderse a otras categorías sin perder su salud de marca; </w:t>
      </w:r>
      <w:r w:rsidRPr="0012460A">
        <w:rPr>
          <w:i/>
          <w:iCs/>
        </w:rPr>
        <w:t>estableciendo el alcance actual de La Santé como marca e identificando las categorías y segmentos que pueden ampararse en la misma sin perder coherencia.</w:t>
      </w:r>
    </w:p>
    <w:p w14:paraId="6CC2AA49" w14:textId="49918AB2" w:rsidR="005C134D" w:rsidRDefault="0012460A" w:rsidP="005C134D">
      <w:pPr>
        <w:numPr>
          <w:ilvl w:val="0"/>
          <w:numId w:val="8"/>
        </w:numPr>
        <w:spacing w:after="0"/>
        <w:jc w:val="both"/>
      </w:pPr>
      <w:r w:rsidRPr="0012460A">
        <w:rPr>
          <w:b/>
          <w:bCs/>
          <w:i/>
          <w:iCs/>
        </w:rPr>
        <w:t xml:space="preserve">Determinar la implementación de Submarcas para La </w:t>
      </w:r>
      <w:r w:rsidRPr="0012460A">
        <w:rPr>
          <w:b/>
          <w:bCs/>
          <w:i/>
          <w:iCs/>
        </w:rPr>
        <w:t>Santé como</w:t>
      </w:r>
      <w:r w:rsidRPr="0012460A">
        <w:rPr>
          <w:b/>
          <w:bCs/>
          <w:i/>
          <w:iCs/>
        </w:rPr>
        <w:t xml:space="preserve"> estrategia para incrementar el atractivo y diferenciación en la categoría de medicamentos genéricos; </w:t>
      </w:r>
      <w:r w:rsidRPr="0012460A">
        <w:rPr>
          <w:i/>
          <w:iCs/>
        </w:rPr>
        <w:t>evaluando la percepción que tiene el consumidor sobre las submarcas en genéricos y la mejor forma en la cuál La Santé podría implementarlo desde su portafolio.</w:t>
      </w:r>
    </w:p>
    <w:p w14:paraId="05C0296C" w14:textId="77777777" w:rsidR="00C13C5E" w:rsidRPr="005C134D" w:rsidRDefault="00C13C5E" w:rsidP="00C13C5E">
      <w:pPr>
        <w:spacing w:after="0"/>
        <w:ind w:left="720"/>
        <w:jc w:val="both"/>
      </w:pPr>
    </w:p>
    <w:p w14:paraId="030B9F8B" w14:textId="3801CDDB" w:rsidR="005C134D" w:rsidRP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5.</w:t>
      </w:r>
      <w:r w:rsidR="00C13C5E" w:rsidRPr="00C13C5E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¿Qué segmentos y variables se evalúan?</w:t>
      </w:r>
    </w:p>
    <w:p w14:paraId="4E3003D8" w14:textId="3B062689" w:rsidR="00C13C5E" w:rsidRPr="005C134D" w:rsidRDefault="00C13C5E" w:rsidP="002140EF">
      <w:pPr>
        <w:jc w:val="both"/>
      </w:pPr>
      <w:r>
        <w:t xml:space="preserve">Hombres y mujeres mayores de 18 años de los estratos 2 al 6 que </w:t>
      </w:r>
      <w:r w:rsidR="002140EF">
        <w:t>en el último mes han consumido medicamentos genéricos, ya sea de la marca La Sante o de otras marcas de genéricos.</w:t>
      </w:r>
    </w:p>
    <w:p w14:paraId="0B9670FF" w14:textId="76013094" w:rsid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6.</w:t>
      </w:r>
      <w:r w:rsidR="002140EF" w:rsidRPr="002140EF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¿Cuál es la muestra y el margen de error?</w:t>
      </w:r>
    </w:p>
    <w:p w14:paraId="07E07B04" w14:textId="4CD5CCAD" w:rsidR="002140EF" w:rsidRDefault="006118AC" w:rsidP="006118AC">
      <w:pPr>
        <w:pStyle w:val="Prrafodelista"/>
        <w:numPr>
          <w:ilvl w:val="0"/>
          <w:numId w:val="9"/>
        </w:numPr>
      </w:pPr>
      <w:r w:rsidRPr="006118AC">
        <w:rPr>
          <w:b/>
          <w:bCs/>
        </w:rPr>
        <w:t>TOTAL:</w:t>
      </w:r>
      <w:r>
        <w:t xml:space="preserve"> Se realizan 350 encuestas con un margen de error del 5.2% permitiéndonos tener resultados concluyentes, al ser el error muestral menor o igual a 6%.</w:t>
      </w:r>
    </w:p>
    <w:p w14:paraId="1A75F930" w14:textId="215BB197" w:rsidR="006118AC" w:rsidRDefault="006118AC" w:rsidP="006118AC">
      <w:pPr>
        <w:pStyle w:val="Prrafodelista"/>
        <w:numPr>
          <w:ilvl w:val="0"/>
          <w:numId w:val="9"/>
        </w:numPr>
      </w:pPr>
      <w:r w:rsidRPr="006118AC">
        <w:rPr>
          <w:b/>
          <w:bCs/>
        </w:rPr>
        <w:t>USUARIOS LA SANTÉ</w:t>
      </w:r>
      <w:r>
        <w:t xml:space="preserve">: </w:t>
      </w:r>
      <w:r>
        <w:t xml:space="preserve">Se realizan </w:t>
      </w:r>
      <w:r>
        <w:t>153</w:t>
      </w:r>
      <w:r>
        <w:t xml:space="preserve"> encuestas con un margen de error del </w:t>
      </w:r>
      <w:r>
        <w:t>7</w:t>
      </w:r>
      <w:r>
        <w:t>.</w:t>
      </w:r>
      <w:r>
        <w:t>9</w:t>
      </w:r>
      <w:r>
        <w:t xml:space="preserve">% permitiéndonos tener resultados </w:t>
      </w:r>
      <w:r>
        <w:t>en tendencia</w:t>
      </w:r>
      <w:r>
        <w:t xml:space="preserve">, al </w:t>
      </w:r>
      <w:r>
        <w:t>ser un error muestral entre 6% al 10%.</w:t>
      </w:r>
    </w:p>
    <w:p w14:paraId="25798E47" w14:textId="52E9F854" w:rsidR="005C134D" w:rsidRDefault="006118AC" w:rsidP="005C134D">
      <w:pPr>
        <w:pStyle w:val="Prrafodelista"/>
        <w:numPr>
          <w:ilvl w:val="0"/>
          <w:numId w:val="9"/>
        </w:numPr>
      </w:pPr>
      <w:r w:rsidRPr="006118AC">
        <w:rPr>
          <w:b/>
          <w:bCs/>
        </w:rPr>
        <w:t xml:space="preserve">NO </w:t>
      </w:r>
      <w:r w:rsidRPr="006118AC">
        <w:rPr>
          <w:b/>
          <w:bCs/>
        </w:rPr>
        <w:t>USUARIOS LA SANTÉ:</w:t>
      </w:r>
      <w:r>
        <w:t xml:space="preserve"> Se realizan </w:t>
      </w:r>
      <w:r>
        <w:t>197</w:t>
      </w:r>
      <w:r>
        <w:t xml:space="preserve"> encuestas con un margen de error del </w:t>
      </w:r>
      <w:r>
        <w:t>7</w:t>
      </w:r>
      <w:r>
        <w:t>.</w:t>
      </w:r>
      <w:r>
        <w:t>0</w:t>
      </w:r>
      <w:r>
        <w:t>% permitiéndonos tener resultados en tendencia, al ser un error muestral entre 6% al 10%.</w:t>
      </w:r>
    </w:p>
    <w:p w14:paraId="1B9250E4" w14:textId="77777777" w:rsidR="004A6872" w:rsidRPr="005C134D" w:rsidRDefault="004A6872" w:rsidP="004A6872">
      <w:pPr>
        <w:pStyle w:val="Prrafodelista"/>
      </w:pPr>
    </w:p>
    <w:p w14:paraId="4353F0A4" w14:textId="57360455" w:rsid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lastRenderedPageBreak/>
        <w:t>7.</w:t>
      </w:r>
      <w:r w:rsidR="004A6872" w:rsidRPr="004A6872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¿Desde qué margen de error se considera un cambio significativo?</w:t>
      </w:r>
    </w:p>
    <w:p w14:paraId="172BD9F9" w14:textId="45780C25" w:rsidR="004A6872" w:rsidRPr="004A6872" w:rsidRDefault="004A6872" w:rsidP="004A6872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4A6872">
        <w:rPr>
          <w:b/>
          <w:bCs/>
          <w:sz w:val="20"/>
          <w:szCs w:val="20"/>
        </w:rPr>
        <w:t>TOTAL:</w:t>
      </w:r>
      <w:r w:rsidRPr="004A6872">
        <w:rPr>
          <w:sz w:val="20"/>
          <w:szCs w:val="20"/>
        </w:rPr>
        <w:t xml:space="preserve"> Se consideran cambios significativos si las diferencias son mayores a 5%.</w:t>
      </w:r>
    </w:p>
    <w:p w14:paraId="0D347432" w14:textId="4911813D" w:rsidR="004A6872" w:rsidRPr="004A6872" w:rsidRDefault="004A6872" w:rsidP="004A6872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4A6872">
        <w:rPr>
          <w:b/>
          <w:bCs/>
          <w:sz w:val="20"/>
          <w:szCs w:val="20"/>
        </w:rPr>
        <w:t>USUARIOS LA SANTÉ</w:t>
      </w:r>
      <w:r w:rsidRPr="004A6872">
        <w:rPr>
          <w:b/>
          <w:bCs/>
          <w:sz w:val="20"/>
          <w:szCs w:val="20"/>
        </w:rPr>
        <w:t>:</w:t>
      </w:r>
      <w:r w:rsidRPr="004A6872">
        <w:rPr>
          <w:sz w:val="20"/>
          <w:szCs w:val="20"/>
        </w:rPr>
        <w:t xml:space="preserve"> Se consideran cambios significativos si las diferencias son mayores a </w:t>
      </w:r>
      <w:r w:rsidRPr="004A6872">
        <w:rPr>
          <w:sz w:val="20"/>
          <w:szCs w:val="20"/>
        </w:rPr>
        <w:t>8</w:t>
      </w:r>
      <w:r w:rsidRPr="004A6872">
        <w:rPr>
          <w:sz w:val="20"/>
          <w:szCs w:val="20"/>
        </w:rPr>
        <w:t>%.</w:t>
      </w:r>
    </w:p>
    <w:p w14:paraId="06439BEC" w14:textId="1A8650FC" w:rsidR="005C134D" w:rsidRPr="004A6872" w:rsidRDefault="004A6872" w:rsidP="005C134D">
      <w:pPr>
        <w:pStyle w:val="Prrafodelista"/>
        <w:numPr>
          <w:ilvl w:val="0"/>
          <w:numId w:val="10"/>
        </w:numPr>
        <w:rPr>
          <w:sz w:val="20"/>
          <w:szCs w:val="20"/>
        </w:rPr>
      </w:pPr>
      <w:r w:rsidRPr="004A6872">
        <w:rPr>
          <w:b/>
          <w:bCs/>
          <w:sz w:val="20"/>
          <w:szCs w:val="20"/>
        </w:rPr>
        <w:t>USUARIOS LA SANTÉ:</w:t>
      </w:r>
      <w:r w:rsidRPr="004A6872">
        <w:rPr>
          <w:sz w:val="20"/>
          <w:szCs w:val="20"/>
        </w:rPr>
        <w:t xml:space="preserve"> Se consideran cambios significativos si las diferencias son mayores a </w:t>
      </w:r>
      <w:r w:rsidRPr="004A6872">
        <w:rPr>
          <w:sz w:val="20"/>
          <w:szCs w:val="20"/>
        </w:rPr>
        <w:t>7</w:t>
      </w:r>
      <w:r w:rsidRPr="004A6872">
        <w:rPr>
          <w:sz w:val="20"/>
          <w:szCs w:val="20"/>
        </w:rPr>
        <w:t>%.</w:t>
      </w:r>
    </w:p>
    <w:p w14:paraId="45A17A46" w14:textId="6604E2C6" w:rsidR="001D3857" w:rsidRDefault="005C134D" w:rsidP="005C134D">
      <w:r w:rsidRPr="005C134D">
        <w:t>8.</w:t>
      </w:r>
      <w:r w:rsidR="004A6872">
        <w:t xml:space="preserve"> </w:t>
      </w:r>
      <w:r w:rsidRPr="005C134D">
        <w:t>¿Qué modelos de análisis se usan? (Describa brevemente.)</w:t>
      </w:r>
    </w:p>
    <w:p w14:paraId="3C63CCCE" w14:textId="5A6773ED" w:rsidR="00393A17" w:rsidRPr="00393A17" w:rsidRDefault="00393A17" w:rsidP="005C134D">
      <w:pPr>
        <w:rPr>
          <w:b/>
          <w:bCs/>
          <w:sz w:val="24"/>
          <w:szCs w:val="24"/>
          <w:u w:val="single"/>
        </w:rPr>
      </w:pPr>
      <w:r w:rsidRPr="00393A17">
        <w:rPr>
          <w:b/>
          <w:bCs/>
          <w:sz w:val="24"/>
          <w:szCs w:val="24"/>
          <w:u w:val="single"/>
        </w:rPr>
        <w:t>Modelo de análisis principal</w:t>
      </w:r>
    </w:p>
    <w:p w14:paraId="219BDA18" w14:textId="3429A320" w:rsidR="001D3857" w:rsidRDefault="001D3857" w:rsidP="005C134D">
      <w:r>
        <w:t>Se llevará a cabo el análisis de salud de marca/Brand Equity a partir del modelo de David Aaker como se detalla a continuación:</w:t>
      </w:r>
    </w:p>
    <w:p w14:paraId="17E832C3" w14:textId="242A686F" w:rsidR="001D3857" w:rsidRDefault="001D3857" w:rsidP="005C134D">
      <w:r w:rsidRPr="001D3857">
        <w:drawing>
          <wp:inline distT="0" distB="0" distL="0" distR="0" wp14:anchorId="187DEF31" wp14:editId="4D59A967">
            <wp:extent cx="5372100" cy="2342620"/>
            <wp:effectExtent l="0" t="0" r="0" b="635"/>
            <wp:docPr id="23196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634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7015" cy="234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857">
        <w:rPr>
          <w:noProof/>
        </w:rPr>
        <w:t xml:space="preserve"> </w:t>
      </w:r>
      <w:r w:rsidRPr="001D3857">
        <w:drawing>
          <wp:inline distT="0" distB="0" distL="0" distR="0" wp14:anchorId="2D9F73C7" wp14:editId="698F7B41">
            <wp:extent cx="5166360" cy="3316221"/>
            <wp:effectExtent l="0" t="0" r="0" b="0"/>
            <wp:docPr id="209407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79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1358" cy="331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8228" w14:textId="77777777" w:rsidR="001D3857" w:rsidRDefault="001D3857" w:rsidP="005C134D"/>
    <w:p w14:paraId="52D32FCC" w14:textId="77777777" w:rsidR="00393A17" w:rsidRDefault="00393A17" w:rsidP="005C134D"/>
    <w:p w14:paraId="6F2818C4" w14:textId="7842B8E3" w:rsidR="00393A17" w:rsidRPr="00393A17" w:rsidRDefault="00393A17" w:rsidP="005C134D">
      <w:pPr>
        <w:rPr>
          <w:b/>
          <w:bCs/>
          <w:sz w:val="24"/>
          <w:szCs w:val="24"/>
        </w:rPr>
      </w:pPr>
      <w:r w:rsidRPr="00393A17">
        <w:rPr>
          <w:b/>
          <w:bCs/>
          <w:sz w:val="24"/>
          <w:szCs w:val="24"/>
        </w:rPr>
        <w:lastRenderedPageBreak/>
        <w:t>Otros modelos de análisis</w:t>
      </w:r>
      <w:r>
        <w:rPr>
          <w:b/>
          <w:bCs/>
          <w:sz w:val="24"/>
          <w:szCs w:val="24"/>
        </w:rPr>
        <w:t xml:space="preserve"> complementarios</w:t>
      </w:r>
      <w:r w:rsidRPr="00393A17">
        <w:rPr>
          <w:b/>
          <w:bCs/>
          <w:sz w:val="24"/>
          <w:szCs w:val="24"/>
        </w:rPr>
        <w:t>:</w:t>
      </w:r>
    </w:p>
    <w:p w14:paraId="461C52C5" w14:textId="77615F6E" w:rsidR="00393A17" w:rsidRDefault="00393A17" w:rsidP="00393A17">
      <w:pPr>
        <w:pStyle w:val="Prrafodelista"/>
        <w:numPr>
          <w:ilvl w:val="0"/>
          <w:numId w:val="11"/>
        </w:numPr>
        <w:rPr>
          <w:i/>
          <w:iCs/>
        </w:rPr>
      </w:pPr>
      <w:r>
        <w:rPr>
          <w:i/>
          <w:iCs/>
        </w:rPr>
        <w:t>Mapa de posición mental</w:t>
      </w:r>
    </w:p>
    <w:p w14:paraId="41792DE3" w14:textId="766DDC52" w:rsidR="00393A17" w:rsidRPr="00393A17" w:rsidRDefault="00393A17" w:rsidP="00393A17">
      <w:pPr>
        <w:rPr>
          <w:i/>
          <w:iCs/>
        </w:rPr>
      </w:pPr>
      <w:r w:rsidRPr="00393A17">
        <w:rPr>
          <w:i/>
          <w:iCs/>
        </w:rPr>
        <w:drawing>
          <wp:inline distT="0" distB="0" distL="0" distR="0" wp14:anchorId="103E771C" wp14:editId="2B36F551">
            <wp:extent cx="5612130" cy="2917825"/>
            <wp:effectExtent l="0" t="0" r="7620" b="0"/>
            <wp:docPr id="193297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79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D3F3" w14:textId="0873309B" w:rsidR="00393A17" w:rsidRPr="00393A17" w:rsidRDefault="00393A17" w:rsidP="00393A17">
      <w:pPr>
        <w:pStyle w:val="Prrafodelista"/>
        <w:numPr>
          <w:ilvl w:val="0"/>
          <w:numId w:val="11"/>
        </w:numPr>
        <w:rPr>
          <w:i/>
          <w:iCs/>
        </w:rPr>
      </w:pPr>
      <w:r w:rsidRPr="00393A17">
        <w:rPr>
          <w:i/>
          <w:iCs/>
        </w:rPr>
        <w:t>Driver Analysis</w:t>
      </w:r>
    </w:p>
    <w:p w14:paraId="6D6EEE09" w14:textId="460BC0D5" w:rsidR="00393A17" w:rsidRDefault="00393A17" w:rsidP="005C134D">
      <w:pPr>
        <w:rPr>
          <w:i/>
          <w:iCs/>
        </w:rPr>
      </w:pPr>
      <w:r w:rsidRPr="00393A17">
        <w:rPr>
          <w:i/>
          <w:iCs/>
        </w:rPr>
        <w:drawing>
          <wp:inline distT="0" distB="0" distL="0" distR="0" wp14:anchorId="4BF173C2" wp14:editId="048834EA">
            <wp:extent cx="5212080" cy="2968727"/>
            <wp:effectExtent l="0" t="0" r="7620" b="3175"/>
            <wp:docPr id="400376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76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657" cy="297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7FCF" w14:textId="00885E13" w:rsidR="00393A17" w:rsidRPr="00393A17" w:rsidRDefault="00393A17" w:rsidP="00393A17">
      <w:pPr>
        <w:pStyle w:val="Prrafodelista"/>
        <w:numPr>
          <w:ilvl w:val="0"/>
          <w:numId w:val="11"/>
        </w:numPr>
        <w:rPr>
          <w:i/>
          <w:iCs/>
        </w:rPr>
      </w:pPr>
      <w:r>
        <w:rPr>
          <w:i/>
          <w:iCs/>
        </w:rPr>
        <w:t>Índice de atracción</w:t>
      </w:r>
    </w:p>
    <w:p w14:paraId="657F7B79" w14:textId="50DF18DF" w:rsidR="00393A17" w:rsidRDefault="00393A17" w:rsidP="005C134D">
      <w:pPr>
        <w:rPr>
          <w:i/>
          <w:iCs/>
        </w:rPr>
      </w:pPr>
      <w:r w:rsidRPr="00393A17">
        <w:rPr>
          <w:i/>
          <w:iCs/>
        </w:rPr>
        <w:drawing>
          <wp:inline distT="0" distB="0" distL="0" distR="0" wp14:anchorId="19C9FFB3" wp14:editId="76AE5B07">
            <wp:extent cx="5612130" cy="781050"/>
            <wp:effectExtent l="0" t="0" r="7620" b="0"/>
            <wp:docPr id="1676740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0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24CE" w14:textId="53729F85" w:rsidR="00393A17" w:rsidRPr="00393A17" w:rsidRDefault="00393A17" w:rsidP="00393A17">
      <w:pPr>
        <w:pStyle w:val="Prrafodelista"/>
        <w:numPr>
          <w:ilvl w:val="0"/>
          <w:numId w:val="11"/>
        </w:numPr>
        <w:rPr>
          <w:i/>
          <w:iCs/>
        </w:rPr>
      </w:pPr>
      <w:r>
        <w:rPr>
          <w:i/>
          <w:iCs/>
        </w:rPr>
        <w:lastRenderedPageBreak/>
        <w:t>Análisis plasma</w:t>
      </w:r>
    </w:p>
    <w:p w14:paraId="7C37D549" w14:textId="5A8C853F" w:rsidR="00393A17" w:rsidRDefault="00393A17" w:rsidP="005C134D">
      <w:pPr>
        <w:rPr>
          <w:i/>
          <w:iCs/>
        </w:rPr>
      </w:pPr>
      <w:r w:rsidRPr="00393A17">
        <w:rPr>
          <w:i/>
          <w:iCs/>
        </w:rPr>
        <w:drawing>
          <wp:inline distT="0" distB="0" distL="0" distR="0" wp14:anchorId="5BE09535" wp14:editId="7EA48915">
            <wp:extent cx="6308711" cy="2925935"/>
            <wp:effectExtent l="0" t="0" r="0" b="8255"/>
            <wp:docPr id="1510547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474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5995" cy="29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8928" w14:textId="1601AEF3" w:rsidR="00393A17" w:rsidRDefault="00393A17" w:rsidP="005C134D">
      <w:pPr>
        <w:rPr>
          <w:i/>
          <w:iCs/>
        </w:rPr>
      </w:pPr>
      <w:r w:rsidRPr="00393A17">
        <w:rPr>
          <w:i/>
          <w:iCs/>
        </w:rPr>
        <w:drawing>
          <wp:inline distT="0" distB="0" distL="0" distR="0" wp14:anchorId="59A15793" wp14:editId="3D61E61C">
            <wp:extent cx="6308090" cy="3223278"/>
            <wp:effectExtent l="0" t="0" r="0" b="0"/>
            <wp:docPr id="586013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13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23016" cy="32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374F" w14:textId="77777777" w:rsidR="00393A17" w:rsidRDefault="00393A17" w:rsidP="005C134D">
      <w:pPr>
        <w:rPr>
          <w:i/>
          <w:iCs/>
        </w:rPr>
      </w:pPr>
    </w:p>
    <w:p w14:paraId="3F932A3D" w14:textId="77777777" w:rsidR="008B73E6" w:rsidRDefault="008B73E6" w:rsidP="005C134D">
      <w:pPr>
        <w:rPr>
          <w:i/>
          <w:iCs/>
        </w:rPr>
      </w:pPr>
    </w:p>
    <w:p w14:paraId="1AFEA0AD" w14:textId="77777777" w:rsidR="008B73E6" w:rsidRDefault="008B73E6" w:rsidP="005C134D">
      <w:pPr>
        <w:rPr>
          <w:i/>
          <w:iCs/>
        </w:rPr>
      </w:pPr>
    </w:p>
    <w:p w14:paraId="58C13640" w14:textId="77777777" w:rsidR="00393A17" w:rsidRDefault="00393A17" w:rsidP="005C134D">
      <w:pPr>
        <w:rPr>
          <w:i/>
          <w:iCs/>
        </w:rPr>
      </w:pPr>
    </w:p>
    <w:p w14:paraId="69BC06EA" w14:textId="77777777" w:rsidR="00393A17" w:rsidRDefault="00393A17" w:rsidP="005C134D">
      <w:pPr>
        <w:rPr>
          <w:i/>
          <w:iCs/>
        </w:rPr>
      </w:pPr>
    </w:p>
    <w:p w14:paraId="0B2AF155" w14:textId="3C1EFD2E" w:rsidR="008B73E6" w:rsidRDefault="008B73E6" w:rsidP="008B73E6">
      <w:pPr>
        <w:pStyle w:val="Prrafodelista"/>
        <w:numPr>
          <w:ilvl w:val="0"/>
          <w:numId w:val="11"/>
        </w:numPr>
        <w:rPr>
          <w:i/>
          <w:iCs/>
        </w:rPr>
      </w:pPr>
      <w:r>
        <w:rPr>
          <w:i/>
          <w:iCs/>
        </w:rPr>
        <w:lastRenderedPageBreak/>
        <w:t>Valor percibido de marca</w:t>
      </w:r>
    </w:p>
    <w:p w14:paraId="38D60FEE" w14:textId="277A73DF" w:rsidR="008B73E6" w:rsidRPr="008B73E6" w:rsidRDefault="008B73E6" w:rsidP="008B73E6">
      <w:pPr>
        <w:rPr>
          <w:i/>
          <w:iCs/>
        </w:rPr>
      </w:pPr>
      <w:r w:rsidRPr="008B73E6">
        <w:rPr>
          <w:i/>
          <w:iCs/>
        </w:rPr>
        <w:drawing>
          <wp:inline distT="0" distB="0" distL="0" distR="0" wp14:anchorId="1FBBEC75" wp14:editId="3FF38407">
            <wp:extent cx="5612130" cy="2845435"/>
            <wp:effectExtent l="0" t="0" r="7620" b="0"/>
            <wp:docPr id="1322915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52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AB64" w14:textId="2FD4933E" w:rsidR="00393A17" w:rsidRDefault="008B73E6" w:rsidP="008B73E6">
      <w:pPr>
        <w:pStyle w:val="Prrafodelista"/>
        <w:numPr>
          <w:ilvl w:val="0"/>
          <w:numId w:val="11"/>
        </w:numPr>
      </w:pPr>
      <w:r>
        <w:t>Índice de adopción</w:t>
      </w:r>
    </w:p>
    <w:p w14:paraId="6628C940" w14:textId="583923AE" w:rsidR="008B73E6" w:rsidRDefault="008B73E6" w:rsidP="008B73E6">
      <w:r w:rsidRPr="008B73E6">
        <w:drawing>
          <wp:inline distT="0" distB="0" distL="0" distR="0" wp14:anchorId="231ABFB3" wp14:editId="16BBD185">
            <wp:extent cx="5612130" cy="888365"/>
            <wp:effectExtent l="0" t="0" r="7620" b="6985"/>
            <wp:docPr id="1247001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014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B631" w14:textId="54B7E376" w:rsidR="008B73E6" w:rsidRDefault="008B73E6" w:rsidP="008B73E6">
      <w:pPr>
        <w:pStyle w:val="Prrafodelista"/>
        <w:numPr>
          <w:ilvl w:val="0"/>
          <w:numId w:val="11"/>
        </w:numPr>
      </w:pPr>
      <w:r>
        <w:t>Perfil imagen de marca</w:t>
      </w:r>
    </w:p>
    <w:p w14:paraId="258684F7" w14:textId="25BD45A1" w:rsidR="008B73E6" w:rsidRDefault="008B73E6" w:rsidP="008B73E6">
      <w:r w:rsidRPr="008B73E6">
        <w:drawing>
          <wp:inline distT="0" distB="0" distL="0" distR="0" wp14:anchorId="6924EC88" wp14:editId="33E3B739">
            <wp:extent cx="5612130" cy="2935605"/>
            <wp:effectExtent l="0" t="0" r="7620" b="0"/>
            <wp:docPr id="37525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591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67E8" w14:textId="067F39FE" w:rsidR="008B73E6" w:rsidRDefault="008B73E6" w:rsidP="008B73E6">
      <w:r w:rsidRPr="008B73E6">
        <w:lastRenderedPageBreak/>
        <w:drawing>
          <wp:inline distT="0" distB="0" distL="0" distR="0" wp14:anchorId="59E08736" wp14:editId="52712FB2">
            <wp:extent cx="5612130" cy="2533650"/>
            <wp:effectExtent l="0" t="0" r="7620" b="0"/>
            <wp:docPr id="1778675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753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FBF6" w14:textId="05E506DE" w:rsidR="008B73E6" w:rsidRDefault="008B73E6" w:rsidP="008B73E6">
      <w:pPr>
        <w:pStyle w:val="Prrafodelista"/>
        <w:numPr>
          <w:ilvl w:val="0"/>
          <w:numId w:val="11"/>
        </w:numPr>
      </w:pPr>
      <w:r>
        <w:t>Nivel de atractividad y encaje extensiones de marca</w:t>
      </w:r>
    </w:p>
    <w:p w14:paraId="1877DF13" w14:textId="7D952E23" w:rsidR="005C134D" w:rsidRPr="005C134D" w:rsidRDefault="008B73E6" w:rsidP="005C134D">
      <w:r w:rsidRPr="008B73E6">
        <w:drawing>
          <wp:inline distT="0" distB="0" distL="0" distR="0" wp14:anchorId="6D783D56" wp14:editId="16189E03">
            <wp:extent cx="5612130" cy="2511425"/>
            <wp:effectExtent l="0" t="0" r="7620" b="3175"/>
            <wp:docPr id="221180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0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A2A2" w14:textId="5F180267" w:rsidR="005C134D" w:rsidRP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9.</w:t>
      </w:r>
      <w:r w:rsidR="008B73E6" w:rsidRPr="008B73E6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¿Se trata de una o varias mediciones?</w:t>
      </w:r>
    </w:p>
    <w:p w14:paraId="582D0CAC" w14:textId="308D5320" w:rsidR="005C134D" w:rsidRPr="005C134D" w:rsidRDefault="005C134D" w:rsidP="005C134D">
      <w:r w:rsidRPr="005C134D">
        <w:t> </w:t>
      </w:r>
      <w:r w:rsidR="008B73E6">
        <w:t>Se trata de un estudio del cual esta es la tercera medición</w:t>
      </w:r>
    </w:p>
    <w:p w14:paraId="534C0AEF" w14:textId="7838478C" w:rsidR="005C134D" w:rsidRDefault="005C134D" w:rsidP="005C134D">
      <w:pPr>
        <w:rPr>
          <w:b/>
          <w:bCs/>
        </w:rPr>
      </w:pPr>
      <w:r w:rsidRPr="005C134D">
        <w:rPr>
          <w:b/>
          <w:bCs/>
          <w:highlight w:val="yellow"/>
        </w:rPr>
        <w:t>10.</w:t>
      </w:r>
      <w:r w:rsidR="00BE2DEC" w:rsidRPr="00F15621">
        <w:rPr>
          <w:b/>
          <w:bCs/>
          <w:highlight w:val="yellow"/>
        </w:rPr>
        <w:t xml:space="preserve"> </w:t>
      </w:r>
      <w:r w:rsidRPr="005C134D">
        <w:rPr>
          <w:b/>
          <w:bCs/>
          <w:highlight w:val="yellow"/>
        </w:rPr>
        <w:t>¿Existe un estudio cualitativo anterior? Si es así, adjúntalo.</w:t>
      </w:r>
    </w:p>
    <w:p w14:paraId="154D01A0" w14:textId="45BAD011" w:rsidR="00F15621" w:rsidRPr="005C134D" w:rsidRDefault="00F15621" w:rsidP="005C134D">
      <w:r>
        <w:t>Si estos son los principales resultados del último estudio cualitativo que se hizo para este cliente relacionado con salud de marca/BrandEquity</w:t>
      </w:r>
    </w:p>
    <w:p w14:paraId="030B115F" w14:textId="43596C9A" w:rsidR="00815CE1" w:rsidRDefault="005C134D" w:rsidP="005C134D">
      <w:r w:rsidRPr="005C134D">
        <w:t> </w:t>
      </w:r>
      <w:r w:rsidR="00F15621">
        <w:t>Mira Dani esta es la ruta de ese informe:</w:t>
      </w:r>
    </w:p>
    <w:p w14:paraId="4513044E" w14:textId="2FEE34AE" w:rsidR="00F15621" w:rsidRDefault="00F15621" w:rsidP="005C134D">
      <w:r w:rsidRPr="00F15621">
        <w:t xml:space="preserve">"Y:\Analisis\2020\LA SANTE\2583 - EVA </w:t>
      </w:r>
      <w:proofErr w:type="spellStart"/>
      <w:r w:rsidRPr="00F15621">
        <w:t>Posic</w:t>
      </w:r>
      <w:proofErr w:type="spellEnd"/>
      <w:r w:rsidRPr="00F15621">
        <w:t xml:space="preserve">. Consumidores CUALI (DOTA) - La Santé\5.Proc - </w:t>
      </w:r>
      <w:proofErr w:type="spellStart"/>
      <w:r w:rsidRPr="00F15621">
        <w:t>Elab</w:t>
      </w:r>
      <w:proofErr w:type="spellEnd"/>
      <w:r w:rsidRPr="00F15621">
        <w:t xml:space="preserve"> - </w:t>
      </w:r>
      <w:proofErr w:type="spellStart"/>
      <w:r w:rsidRPr="00F15621">
        <w:t>info</w:t>
      </w:r>
      <w:proofErr w:type="spellEnd"/>
      <w:r w:rsidRPr="00F15621">
        <w:t>\5.2 Informe\I (C)- 2583- Eva Posicionamiento La Sante-v3.pptx"</w:t>
      </w:r>
    </w:p>
    <w:sectPr w:rsidR="00F15621" w:rsidSect="00E424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36E4F"/>
    <w:multiLevelType w:val="hybridMultilevel"/>
    <w:tmpl w:val="5B3A23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97C12"/>
    <w:multiLevelType w:val="hybridMultilevel"/>
    <w:tmpl w:val="55FAD246"/>
    <w:lvl w:ilvl="0" w:tplc="5EF8D7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4"/>
        <w:szCs w:val="1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CD2907"/>
    <w:multiLevelType w:val="hybridMultilevel"/>
    <w:tmpl w:val="FCE43B54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EC192C"/>
    <w:multiLevelType w:val="hybridMultilevel"/>
    <w:tmpl w:val="49A6FD78"/>
    <w:lvl w:ilvl="0" w:tplc="F5AEC26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903E7E"/>
    <w:multiLevelType w:val="hybridMultilevel"/>
    <w:tmpl w:val="6D8C24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A0387"/>
    <w:multiLevelType w:val="hybridMultilevel"/>
    <w:tmpl w:val="FCE43B5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5C4382D"/>
    <w:multiLevelType w:val="hybridMultilevel"/>
    <w:tmpl w:val="91ACF5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35E21"/>
    <w:multiLevelType w:val="hybridMultilevel"/>
    <w:tmpl w:val="4620C98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C55B19"/>
    <w:multiLevelType w:val="hybridMultilevel"/>
    <w:tmpl w:val="2C9EFEE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E1A516E"/>
    <w:multiLevelType w:val="hybridMultilevel"/>
    <w:tmpl w:val="4468DD14"/>
    <w:lvl w:ilvl="0" w:tplc="085860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70A5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D05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2262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9694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748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0E8E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84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03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6132292"/>
    <w:multiLevelType w:val="hybridMultilevel"/>
    <w:tmpl w:val="D280004C"/>
    <w:lvl w:ilvl="0" w:tplc="AE4413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B0E0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32F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EC1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4090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3C3D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FC0E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167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CCCC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87176642">
    <w:abstractNumId w:val="9"/>
  </w:num>
  <w:num w:numId="2" w16cid:durableId="1018461946">
    <w:abstractNumId w:val="2"/>
  </w:num>
  <w:num w:numId="3" w16cid:durableId="12265270">
    <w:abstractNumId w:val="5"/>
  </w:num>
  <w:num w:numId="4" w16cid:durableId="328481112">
    <w:abstractNumId w:val="1"/>
  </w:num>
  <w:num w:numId="5" w16cid:durableId="874080017">
    <w:abstractNumId w:val="3"/>
  </w:num>
  <w:num w:numId="6" w16cid:durableId="1020856375">
    <w:abstractNumId w:val="8"/>
  </w:num>
  <w:num w:numId="7" w16cid:durableId="300111535">
    <w:abstractNumId w:val="6"/>
  </w:num>
  <w:num w:numId="8" w16cid:durableId="822889642">
    <w:abstractNumId w:val="10"/>
  </w:num>
  <w:num w:numId="9" w16cid:durableId="2054234131">
    <w:abstractNumId w:val="4"/>
  </w:num>
  <w:num w:numId="10" w16cid:durableId="89472237">
    <w:abstractNumId w:val="0"/>
  </w:num>
  <w:num w:numId="11" w16cid:durableId="21028699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4D"/>
    <w:rsid w:val="0012460A"/>
    <w:rsid w:val="001A523C"/>
    <w:rsid w:val="001D3857"/>
    <w:rsid w:val="002140EF"/>
    <w:rsid w:val="00393A17"/>
    <w:rsid w:val="004A6872"/>
    <w:rsid w:val="005C134D"/>
    <w:rsid w:val="00603A25"/>
    <w:rsid w:val="006118AC"/>
    <w:rsid w:val="00735E66"/>
    <w:rsid w:val="00815CE1"/>
    <w:rsid w:val="008B73E6"/>
    <w:rsid w:val="00BA4EB2"/>
    <w:rsid w:val="00BE2DEC"/>
    <w:rsid w:val="00C13C5E"/>
    <w:rsid w:val="00E424A2"/>
    <w:rsid w:val="00F1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F58374F"/>
  <w15:chartTrackingRefBased/>
  <w15:docId w15:val="{9ECAA0CA-D4CA-4997-9A4F-EE7349ED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1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1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1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1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1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1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34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34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3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3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3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3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1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3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13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34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34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1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10</Pages>
  <Words>1407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Jeisson Rojas de brandstrat</dc:creator>
  <cp:keywords/>
  <dc:description/>
  <cp:lastModifiedBy>Jeisson Rojas de brandstrat</cp:lastModifiedBy>
  <cp:revision>8</cp:revision>
  <dcterms:created xsi:type="dcterms:W3CDTF">2025-09-23T20:39:00Z</dcterms:created>
  <dcterms:modified xsi:type="dcterms:W3CDTF">2025-09-23T23:16:00Z</dcterms:modified>
</cp:coreProperties>
</file>