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SD Worx | Internal</w:t>
      </w:r>
    </w:p>
    <w:p>
      <w:r>
        <w:rPr>
          <w:b/>
          <w:sz w:val="36"/>
        </w:rPr>
        <w:t>Netherlands — Parental Leave Payroll</w:t>
      </w:r>
    </w:p>
    <w:p>
      <w:r>
        <w:rPr>
          <w:b/>
        </w:rPr>
        <w:t xml:space="preserve">Document ID: </w:t>
      </w:r>
      <w:r>
        <w:t>NL-PL-004</w:t>
      </w:r>
    </w:p>
    <w:p>
      <w:r>
        <w:rPr>
          <w:b/>
        </w:rPr>
        <w:t xml:space="preserve">Version: </w:t>
      </w:r>
      <w:r>
        <w:t>2.0</w:t>
      </w:r>
    </w:p>
    <w:p>
      <w:r>
        <w:rPr>
          <w:b/>
        </w:rPr>
        <w:t xml:space="preserve">Country: </w:t>
      </w:r>
      <w:r>
        <w:t>Netherlands</w:t>
      </w:r>
    </w:p>
    <w:p>
      <w:r>
        <w:rPr>
          <w:b/>
        </w:rPr>
        <w:t xml:space="preserve">Owner: </w:t>
      </w:r>
      <w:r>
        <w:t>Eva van Dijk — NL Payroll</w:t>
      </w:r>
    </w:p>
    <w:p>
      <w:r>
        <w:rPr>
          <w:b/>
        </w:rPr>
        <w:t xml:space="preserve">Last updated: </w:t>
      </w:r>
      <w:r>
        <w:t>05/09/2026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  <w:i/>
        </w:rPr>
        <w:t>Fictional test data for the Tectonic Hackathon.</w:t>
      </w:r>
    </w:p>
    <w:p>
      <w:r>
        <w:rPr>
          <w:b/>
          <w:sz w:val="24"/>
        </w:rPr>
        <w:t>Rule</w:t>
      </w:r>
    </w:p>
    <w:p>
      <w:r>
        <w:t>For the fictional Dutch payroll scenario, a different calculation applies. This document must not be used for Belgian employees.</w:t>
      </w:r>
    </w:p>
    <w:p>
      <w:r>
        <w:rPr>
          <w:b/>
          <w:sz w:val="24"/>
        </w:rPr>
        <w:t>Contact</w:t>
      </w:r>
    </w:p>
    <w:p>
      <w:r>
        <w:t>Eva van Dijk, Netherlands Payroll.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