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52D" w:rsidRDefault="0000752D" w:rsidP="0000752D">
      <w:pPr>
        <w:ind w:right="630"/>
        <w:rPr>
          <w:rFonts w:ascii="Palatino" w:eastAsia="Times New Roman" w:hAnsi="Palatino"/>
          <w:b/>
          <w:bCs/>
          <w:sz w:val="28"/>
          <w:szCs w:val="28"/>
        </w:rPr>
      </w:pPr>
      <w:bookmarkStart w:id="0" w:name="_GoBack"/>
      <w:bookmarkEnd w:id="0"/>
      <w:r>
        <w:rPr>
          <w:rFonts w:ascii="Palatino" w:eastAsia="Times New Roman" w:hAnsi="Palatino"/>
          <w:b/>
          <w:bCs/>
          <w:sz w:val="28"/>
          <w:szCs w:val="28"/>
        </w:rPr>
        <w:t>SAMPLE PEER REVIEW COMMENTS</w:t>
      </w:r>
    </w:p>
    <w:p w:rsidR="0000752D" w:rsidRDefault="0000752D" w:rsidP="0000752D">
      <w:pPr>
        <w:ind w:right="630"/>
        <w:rPr>
          <w:rFonts w:ascii="Palatino" w:eastAsia="Times New Roman" w:hAnsi="Palatino"/>
          <w:b/>
          <w:bCs/>
          <w:sz w:val="28"/>
          <w:szCs w:val="28"/>
        </w:rPr>
      </w:pPr>
    </w:p>
    <w:p w:rsidR="0000752D" w:rsidRPr="004F6DAA" w:rsidRDefault="0000752D" w:rsidP="0000752D">
      <w:pPr>
        <w:ind w:right="630"/>
        <w:rPr>
          <w:rFonts w:ascii="Palatino" w:hAnsi="Palatino"/>
          <w:bCs/>
        </w:rPr>
      </w:pPr>
      <w:r>
        <w:rPr>
          <w:rFonts w:ascii="Palatino" w:eastAsia="Times New Roman" w:hAnsi="Palatino"/>
          <w:bCs/>
        </w:rPr>
        <w:t>It may be helpful to re</w:t>
      </w:r>
      <w:r>
        <w:rPr>
          <w:rFonts w:ascii="Palatino" w:hAnsi="Palatino"/>
          <w:bCs/>
        </w:rPr>
        <w:t>view some common types of peer review comments with your students and discuss which they find most useful.  Here are a few examples of student comments.</w:t>
      </w:r>
      <w:r>
        <w:rPr>
          <w:rFonts w:ascii="Palatino" w:eastAsia="Times New Roman" w:hAnsi="Palatino"/>
          <w:b/>
          <w:bCs/>
        </w:rPr>
        <w:t xml:space="preserve"> </w:t>
      </w:r>
    </w:p>
    <w:p w:rsidR="0000752D" w:rsidRPr="003D6D91" w:rsidRDefault="0000752D" w:rsidP="0000752D">
      <w:pPr>
        <w:spacing w:before="100" w:beforeAutospacing="1" w:after="100" w:afterAutospacing="1"/>
        <w:ind w:right="630"/>
        <w:rPr>
          <w:rFonts w:ascii="Palatino" w:hAnsi="Palatino"/>
        </w:rPr>
      </w:pPr>
      <w:r>
        <w:rPr>
          <w:rFonts w:ascii="Palatino" w:hAnsi="Palatino"/>
          <w:b/>
        </w:rPr>
        <w:t>Types of comments</w:t>
      </w:r>
      <w:r w:rsidRPr="003D6D91">
        <w:rPr>
          <w:rFonts w:ascii="Palatino" w:hAnsi="Palatino"/>
        </w:rPr>
        <w:t>:</w:t>
      </w:r>
    </w:p>
    <w:p w:rsidR="0000752D" w:rsidRPr="003D6D91" w:rsidRDefault="0000752D" w:rsidP="0000752D">
      <w:pPr>
        <w:numPr>
          <w:ilvl w:val="0"/>
          <w:numId w:val="13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Reader Response: Praise or Criticism</w:t>
      </w:r>
    </w:p>
    <w:p w:rsidR="0000752D" w:rsidRPr="003D6D91" w:rsidRDefault="0000752D" w:rsidP="0000752D">
      <w:pPr>
        <w:numPr>
          <w:ilvl w:val="0"/>
          <w:numId w:val="13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Problem Diagnosis</w:t>
      </w:r>
    </w:p>
    <w:p w:rsidR="0000752D" w:rsidRPr="003D6D91" w:rsidRDefault="0000752D" w:rsidP="0000752D">
      <w:pPr>
        <w:numPr>
          <w:ilvl w:val="0"/>
          <w:numId w:val="13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Suggestion for Action</w:t>
      </w:r>
    </w:p>
    <w:p w:rsidR="0000752D" w:rsidRPr="003D6D91" w:rsidRDefault="0000752D" w:rsidP="0000752D">
      <w:pPr>
        <w:numPr>
          <w:ilvl w:val="0"/>
          <w:numId w:val="13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Vague/Non-specific</w:t>
      </w:r>
    </w:p>
    <w:p w:rsidR="0000752D" w:rsidRPr="003D6D91" w:rsidRDefault="0000752D" w:rsidP="0000752D">
      <w:pPr>
        <w:spacing w:before="100" w:beforeAutospacing="1" w:after="100" w:afterAutospacing="1"/>
        <w:ind w:right="630"/>
        <w:rPr>
          <w:rFonts w:ascii="Palatino" w:hAnsi="Palatino"/>
        </w:rPr>
      </w:pPr>
      <w:r w:rsidRPr="003D6D91">
        <w:rPr>
          <w:rFonts w:ascii="Palatino" w:hAnsi="Palatino"/>
          <w:b/>
          <w:bCs/>
        </w:rPr>
        <w:t>QUESTION:</w:t>
      </w:r>
      <w:r w:rsidRPr="003D6D91">
        <w:rPr>
          <w:rFonts w:ascii="Palatino" w:hAnsi="Palatino"/>
        </w:rPr>
        <w:t xml:space="preserve"> Summarize your classmate's position on the issue. How much does he/she agree with the author? How consistent is his/her position from start to finish?</w:t>
      </w:r>
    </w:p>
    <w:p w:rsidR="0000752D" w:rsidRPr="003D6D91" w:rsidRDefault="0000752D" w:rsidP="0000752D">
      <w:pPr>
        <w:spacing w:before="100" w:beforeAutospacing="1" w:after="100" w:afterAutospacing="1"/>
        <w:ind w:right="630"/>
        <w:rPr>
          <w:rFonts w:ascii="Palatino" w:hAnsi="Palatino"/>
        </w:rPr>
      </w:pPr>
      <w:r w:rsidRPr="003D6D91">
        <w:rPr>
          <w:rFonts w:ascii="Palatino" w:hAnsi="Palatino"/>
          <w:b/>
          <w:bCs/>
        </w:rPr>
        <w:t xml:space="preserve">Reader Response: </w:t>
      </w:r>
    </w:p>
    <w:p w:rsidR="0000752D" w:rsidRPr="003D6D91" w:rsidRDefault="0000752D" w:rsidP="0000752D">
      <w:pPr>
        <w:numPr>
          <w:ilvl w:val="0"/>
          <w:numId w:val="14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It’s as if you are just restating what you read rather than picking which side you agree with.</w:t>
      </w:r>
    </w:p>
    <w:p w:rsidR="0000752D" w:rsidRPr="003D6D91" w:rsidRDefault="0000752D" w:rsidP="0000752D">
      <w:pPr>
        <w:numPr>
          <w:ilvl w:val="0"/>
          <w:numId w:val="14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I get a clear sense that you are in favor of homeschooling.</w:t>
      </w:r>
      <w:r>
        <w:rPr>
          <w:rFonts w:ascii="Palatino" w:eastAsia="Times New Roman" w:hAnsi="Palatino"/>
        </w:rPr>
        <w:t xml:space="preserve"> </w:t>
      </w:r>
      <w:r w:rsidRPr="003D6D91">
        <w:rPr>
          <w:rFonts w:ascii="Palatino" w:eastAsia="Times New Roman" w:hAnsi="Palatino"/>
        </w:rPr>
        <w:t>However, you also make clear that its effectiveness is conditional upon the individual situation. </w:t>
      </w:r>
    </w:p>
    <w:p w:rsidR="0000752D" w:rsidRPr="003D6D91" w:rsidRDefault="0000752D" w:rsidP="0000752D">
      <w:pPr>
        <w:numPr>
          <w:ilvl w:val="0"/>
          <w:numId w:val="14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Lauren believes in strong parent involvement from the very beginning because she has seen how it has aided her own academic performance. She has yet to include any authors so I cannot really tell whom exactly she is agreeing and/or disagreeing with.</w:t>
      </w:r>
    </w:p>
    <w:p w:rsidR="0000752D" w:rsidRPr="003D6D91" w:rsidRDefault="0000752D" w:rsidP="0000752D">
      <w:pPr>
        <w:numPr>
          <w:ilvl w:val="0"/>
          <w:numId w:val="14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It is hard to say whether or not Shannon agrees with Brooks because she mainly discusses standardized testing instead of homeschooling.</w:t>
      </w:r>
    </w:p>
    <w:p w:rsidR="0000752D" w:rsidRPr="003D6D91" w:rsidRDefault="0000752D" w:rsidP="0000752D">
      <w:pPr>
        <w:spacing w:before="100" w:beforeAutospacing="1" w:after="100" w:afterAutospacing="1"/>
        <w:ind w:right="630"/>
        <w:rPr>
          <w:rFonts w:ascii="Palatino" w:hAnsi="Palatino"/>
        </w:rPr>
      </w:pPr>
      <w:r w:rsidRPr="003D6D91">
        <w:rPr>
          <w:rFonts w:ascii="Palatino" w:hAnsi="Palatino"/>
          <w:b/>
          <w:bCs/>
        </w:rPr>
        <w:t xml:space="preserve">Diagnosis: </w:t>
      </w:r>
    </w:p>
    <w:p w:rsidR="0000752D" w:rsidRPr="003D6D91" w:rsidRDefault="0000752D" w:rsidP="0000752D">
      <w:pPr>
        <w:numPr>
          <w:ilvl w:val="0"/>
          <w:numId w:val="15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proofErr w:type="gramStart"/>
      <w:r w:rsidRPr="003D6D91">
        <w:rPr>
          <w:rFonts w:ascii="Palatino" w:eastAsia="Times New Roman" w:hAnsi="Palatino"/>
        </w:rPr>
        <w:t>You did not choose a side at all or at least not that I could tell in your paper.</w:t>
      </w:r>
      <w:proofErr w:type="gramEnd"/>
      <w:r>
        <w:rPr>
          <w:rFonts w:ascii="Palatino" w:eastAsia="Times New Roman" w:hAnsi="Palatino"/>
          <w:b/>
          <w:bCs/>
        </w:rPr>
        <w:t xml:space="preserve"> </w:t>
      </w:r>
    </w:p>
    <w:p w:rsidR="0000752D" w:rsidRPr="003D6D91" w:rsidRDefault="0000752D" w:rsidP="0000752D">
      <w:pPr>
        <w:numPr>
          <w:ilvl w:val="0"/>
          <w:numId w:val="15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Your position was clearly stated in the introduction, you agreed with the author and also added points to the issue</w:t>
      </w:r>
    </w:p>
    <w:p w:rsidR="0000752D" w:rsidRPr="003D6D91" w:rsidRDefault="0000752D" w:rsidP="0000752D">
      <w:pPr>
        <w:numPr>
          <w:ilvl w:val="0"/>
          <w:numId w:val="15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At times it feels you jump from one idea to the next too abruptly and lose the reader.</w:t>
      </w:r>
    </w:p>
    <w:p w:rsidR="0000752D" w:rsidRPr="003D6D91" w:rsidRDefault="0000752D" w:rsidP="0000752D">
      <w:pPr>
        <w:spacing w:before="100" w:beforeAutospacing="1" w:after="100" w:afterAutospacing="1"/>
        <w:ind w:right="630"/>
        <w:rPr>
          <w:rFonts w:ascii="Palatino" w:hAnsi="Palatino"/>
        </w:rPr>
      </w:pPr>
      <w:r w:rsidRPr="003D6D91">
        <w:rPr>
          <w:rFonts w:ascii="Palatino" w:hAnsi="Palatino"/>
          <w:b/>
          <w:bCs/>
        </w:rPr>
        <w:t>Suggestions</w:t>
      </w:r>
      <w:r w:rsidRPr="003D6D91">
        <w:rPr>
          <w:rFonts w:ascii="Palatino" w:hAnsi="Palatino"/>
        </w:rPr>
        <w:t>:</w:t>
      </w:r>
    </w:p>
    <w:p w:rsidR="0000752D" w:rsidRPr="003D6D91" w:rsidRDefault="0000752D" w:rsidP="0000752D">
      <w:pPr>
        <w:numPr>
          <w:ilvl w:val="0"/>
          <w:numId w:val="16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lastRenderedPageBreak/>
        <w:t>You need to tell us what your position is on standardized tests in school and whether or not you agree or disagree with Brooks and the blog entries that follow.</w:t>
      </w:r>
    </w:p>
    <w:p w:rsidR="0000752D" w:rsidRPr="003D6D91" w:rsidRDefault="0000752D" w:rsidP="0000752D">
      <w:pPr>
        <w:numPr>
          <w:ilvl w:val="0"/>
          <w:numId w:val="16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You could tighten the structure of your paper if you organized your sources to "save the best for last."</w:t>
      </w:r>
    </w:p>
    <w:p w:rsidR="0000752D" w:rsidRPr="003D6D91" w:rsidRDefault="0000752D" w:rsidP="0000752D">
      <w:pPr>
        <w:numPr>
          <w:ilvl w:val="0"/>
          <w:numId w:val="16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You could improve the organization of your paper if you discussed firstly what needs to change and then discuss specifically how change can be implemented.</w:t>
      </w:r>
    </w:p>
    <w:p w:rsidR="0000752D" w:rsidRPr="003D6D91" w:rsidRDefault="0000752D" w:rsidP="0000752D">
      <w:pPr>
        <w:spacing w:before="100" w:beforeAutospacing="1" w:after="100" w:afterAutospacing="1"/>
        <w:ind w:right="630"/>
        <w:rPr>
          <w:rFonts w:ascii="Palatino" w:hAnsi="Palatino"/>
        </w:rPr>
      </w:pPr>
      <w:r w:rsidRPr="003D6D91">
        <w:rPr>
          <w:rFonts w:ascii="Palatino" w:hAnsi="Palatino"/>
          <w:b/>
          <w:bCs/>
        </w:rPr>
        <w:t>Vague/Unproductive:</w:t>
      </w:r>
    </w:p>
    <w:p w:rsidR="0000752D" w:rsidRPr="003D6D91" w:rsidRDefault="0000752D" w:rsidP="0000752D">
      <w:pPr>
        <w:numPr>
          <w:ilvl w:val="0"/>
          <w:numId w:val="17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You take a good position. I would like to see a little more of you in this though.</w:t>
      </w:r>
    </w:p>
    <w:p w:rsidR="0000752D" w:rsidRPr="003D6D91" w:rsidRDefault="0000752D" w:rsidP="0000752D">
      <w:pPr>
        <w:numPr>
          <w:ilvl w:val="0"/>
          <w:numId w:val="17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The tone seems a little biased but I guess that is needed for you to prove your point.</w:t>
      </w:r>
    </w:p>
    <w:p w:rsidR="0000752D" w:rsidRPr="003D6D91" w:rsidRDefault="0000752D" w:rsidP="0000752D">
      <w:pPr>
        <w:numPr>
          <w:ilvl w:val="0"/>
          <w:numId w:val="17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I feel that you have good sources that will appeal to the reader.</w:t>
      </w:r>
    </w:p>
    <w:p w:rsidR="0000752D" w:rsidRPr="003D6D91" w:rsidRDefault="0000752D" w:rsidP="0000752D">
      <w:pPr>
        <w:numPr>
          <w:ilvl w:val="0"/>
          <w:numId w:val="17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While the problem you are addressing is made clear, the wording of it could be reworked. You seem to have some repetitive phrases and circular comments in there. </w:t>
      </w:r>
    </w:p>
    <w:p w:rsidR="0000752D" w:rsidRPr="003D6D91" w:rsidRDefault="0000752D" w:rsidP="0000752D">
      <w:pPr>
        <w:numPr>
          <w:ilvl w:val="0"/>
          <w:numId w:val="17"/>
        </w:numPr>
        <w:spacing w:before="100" w:beforeAutospacing="1" w:after="100" w:afterAutospacing="1"/>
        <w:ind w:right="630"/>
        <w:rPr>
          <w:rFonts w:ascii="Palatino" w:eastAsia="Times New Roman" w:hAnsi="Palatino"/>
        </w:rPr>
      </w:pPr>
      <w:r w:rsidRPr="003D6D91">
        <w:rPr>
          <w:rFonts w:ascii="Palatino" w:eastAsia="Times New Roman" w:hAnsi="Palatino"/>
        </w:rPr>
        <w:t>You don't cover all the main points, but that's probably not necessary.</w:t>
      </w:r>
    </w:p>
    <w:p w:rsidR="0000752D" w:rsidRPr="003D6D91" w:rsidRDefault="0000752D" w:rsidP="0000752D">
      <w:pPr>
        <w:numPr>
          <w:ilvl w:val="0"/>
          <w:numId w:val="17"/>
        </w:numPr>
        <w:spacing w:before="100" w:beforeAutospacing="1" w:after="100" w:afterAutospacing="1"/>
        <w:ind w:right="630"/>
        <w:rPr>
          <w:rFonts w:ascii="Palatino" w:hAnsi="Palatino"/>
        </w:rPr>
      </w:pPr>
      <w:r w:rsidRPr="003D6D91">
        <w:rPr>
          <w:rFonts w:ascii="Palatino" w:hAnsi="Palatino"/>
        </w:rPr>
        <w:t>Credentials aren’t really mentioned, but I doubt many of them have an expert’s understanding of the topic anyways.</w:t>
      </w:r>
    </w:p>
    <w:p w:rsidR="0000752D" w:rsidRPr="003D6D91" w:rsidRDefault="0000752D" w:rsidP="0000752D">
      <w:pPr>
        <w:spacing w:before="100" w:beforeAutospacing="1" w:after="100" w:afterAutospacing="1"/>
        <w:ind w:right="630"/>
        <w:rPr>
          <w:rFonts w:ascii="Palatino" w:hAnsi="Palatino"/>
        </w:rPr>
      </w:pPr>
      <w:r w:rsidRPr="003D6D91">
        <w:rPr>
          <w:rFonts w:ascii="Palatino" w:hAnsi="Palatino"/>
        </w:rPr>
        <w:t xml:space="preserve">Developed by </w:t>
      </w:r>
      <w:proofErr w:type="spellStart"/>
      <w:r w:rsidRPr="003D6D91">
        <w:rPr>
          <w:rFonts w:ascii="Palatino" w:hAnsi="Palatino"/>
        </w:rPr>
        <w:t>Davida</w:t>
      </w:r>
      <w:proofErr w:type="spellEnd"/>
      <w:r w:rsidRPr="003D6D91">
        <w:rPr>
          <w:rFonts w:ascii="Palatino" w:hAnsi="Palatino"/>
        </w:rPr>
        <w:t xml:space="preserve"> </w:t>
      </w:r>
      <w:proofErr w:type="spellStart"/>
      <w:r w:rsidRPr="003D6D91">
        <w:rPr>
          <w:rFonts w:ascii="Palatino" w:hAnsi="Palatino"/>
        </w:rPr>
        <w:t>Charney</w:t>
      </w:r>
      <w:proofErr w:type="spellEnd"/>
      <w:r w:rsidRPr="003D6D91">
        <w:rPr>
          <w:rFonts w:ascii="Palatino" w:hAnsi="Palatino"/>
        </w:rPr>
        <w:t xml:space="preserve">, </w:t>
      </w:r>
      <w:proofErr w:type="gramStart"/>
      <w:r w:rsidRPr="003D6D91">
        <w:rPr>
          <w:rFonts w:ascii="Palatino" w:hAnsi="Palatino"/>
        </w:rPr>
        <w:t>The</w:t>
      </w:r>
      <w:proofErr w:type="gramEnd"/>
      <w:r w:rsidRPr="003D6D91">
        <w:rPr>
          <w:rFonts w:ascii="Palatino" w:hAnsi="Palatino"/>
        </w:rPr>
        <w:t xml:space="preserve"> University of Texas at Austin</w:t>
      </w:r>
    </w:p>
    <w:p w:rsidR="006C6C23" w:rsidRPr="00644C17" w:rsidRDefault="006C6C23" w:rsidP="00AF3CCC">
      <w:pPr>
        <w:rPr>
          <w:rFonts w:ascii="Palatino" w:hAnsi="Palatino"/>
        </w:rPr>
      </w:pPr>
    </w:p>
    <w:sectPr w:rsidR="006C6C23" w:rsidRPr="00644C17" w:rsidSect="007410A2">
      <w:footerReference w:type="default" r:id="rId8"/>
      <w:pgSz w:w="12240" w:h="15840"/>
      <w:pgMar w:top="126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A59" w:rsidRDefault="00433A59" w:rsidP="00FD18FA">
      <w:r>
        <w:separator/>
      </w:r>
    </w:p>
  </w:endnote>
  <w:endnote w:type="continuationSeparator" w:id="0">
    <w:p w:rsidR="00433A59" w:rsidRDefault="00433A59" w:rsidP="00FD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8FA" w:rsidRDefault="00FD18FA" w:rsidP="00FD18FA">
    <w:pPr>
      <w:pStyle w:val="Footer"/>
      <w:tabs>
        <w:tab w:val="clear" w:pos="8640"/>
        <w:tab w:val="right" w:pos="9360"/>
      </w:tabs>
      <w:ind w:right="-720"/>
      <w:jc w:val="right"/>
      <w:rPr>
        <w:rFonts w:ascii="Avenir Book" w:hAnsi="Avenir Book"/>
        <w:sz w:val="20"/>
        <w:szCs w:val="20"/>
      </w:rPr>
    </w:pPr>
    <w:r>
      <w:rPr>
        <w:rFonts w:ascii="Avenir Book" w:hAnsi="Avenir Book"/>
        <w:sz w:val="20"/>
        <w:szCs w:val="20"/>
      </w:rPr>
      <w:t>The Debby Ellis Writing Center</w:t>
    </w:r>
  </w:p>
  <w:p w:rsidR="00FD18FA" w:rsidRPr="00FD18FA" w:rsidRDefault="007410A2" w:rsidP="00FD18FA">
    <w:pPr>
      <w:pStyle w:val="Footer"/>
      <w:tabs>
        <w:tab w:val="clear" w:pos="8640"/>
        <w:tab w:val="right" w:pos="9360"/>
      </w:tabs>
      <w:ind w:right="-720"/>
      <w:jc w:val="right"/>
      <w:rPr>
        <w:rFonts w:ascii="Avenir Book" w:hAnsi="Avenir Book"/>
        <w:sz w:val="20"/>
        <w:szCs w:val="20"/>
      </w:rPr>
    </w:pPr>
    <w:r>
      <w:rPr>
        <w:rFonts w:ascii="Avenir Book" w:hAnsi="Avenir Book"/>
        <w:sz w:val="20"/>
        <w:szCs w:val="20"/>
      </w:rPr>
      <w:t xml:space="preserve">Planning </w:t>
    </w:r>
    <w:r w:rsidR="00D954BE">
      <w:rPr>
        <w:rFonts w:ascii="Avenir Book" w:hAnsi="Avenir Book"/>
        <w:sz w:val="20"/>
        <w:szCs w:val="20"/>
      </w:rPr>
      <w:t>and Leading Peer Review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A59" w:rsidRDefault="00433A59" w:rsidP="00FD18FA">
      <w:r>
        <w:separator/>
      </w:r>
    </w:p>
  </w:footnote>
  <w:footnote w:type="continuationSeparator" w:id="0">
    <w:p w:rsidR="00433A59" w:rsidRDefault="00433A59" w:rsidP="00FD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02B"/>
    <w:multiLevelType w:val="multilevel"/>
    <w:tmpl w:val="2FF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55488"/>
    <w:multiLevelType w:val="multilevel"/>
    <w:tmpl w:val="36A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432E3"/>
    <w:multiLevelType w:val="multilevel"/>
    <w:tmpl w:val="C45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934EB"/>
    <w:multiLevelType w:val="multilevel"/>
    <w:tmpl w:val="8FB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B7EDA"/>
    <w:multiLevelType w:val="hybridMultilevel"/>
    <w:tmpl w:val="674A1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90731"/>
    <w:multiLevelType w:val="hybridMultilevel"/>
    <w:tmpl w:val="0E56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D3CA3"/>
    <w:multiLevelType w:val="multilevel"/>
    <w:tmpl w:val="F460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EB07EC"/>
    <w:multiLevelType w:val="hybridMultilevel"/>
    <w:tmpl w:val="4EDCA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8B70DE"/>
    <w:multiLevelType w:val="hybridMultilevel"/>
    <w:tmpl w:val="66E4B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4D7CE2"/>
    <w:multiLevelType w:val="hybridMultilevel"/>
    <w:tmpl w:val="99F6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66A43"/>
    <w:multiLevelType w:val="hybridMultilevel"/>
    <w:tmpl w:val="D07A7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04FF7"/>
    <w:multiLevelType w:val="hybridMultilevel"/>
    <w:tmpl w:val="1F6E4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78334BB"/>
    <w:multiLevelType w:val="hybridMultilevel"/>
    <w:tmpl w:val="30965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6F0360"/>
    <w:multiLevelType w:val="hybridMultilevel"/>
    <w:tmpl w:val="73AE74A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>
    <w:nsid w:val="4B7175CA"/>
    <w:multiLevelType w:val="hybridMultilevel"/>
    <w:tmpl w:val="54EA0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48C4743"/>
    <w:multiLevelType w:val="hybridMultilevel"/>
    <w:tmpl w:val="3416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37BC3"/>
    <w:multiLevelType w:val="hybridMultilevel"/>
    <w:tmpl w:val="924CD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12"/>
  </w:num>
  <w:num w:numId="10">
    <w:abstractNumId w:val="4"/>
  </w:num>
  <w:num w:numId="11">
    <w:abstractNumId w:val="14"/>
  </w:num>
  <w:num w:numId="12">
    <w:abstractNumId w:val="7"/>
  </w:num>
  <w:num w:numId="13">
    <w:abstractNumId w:val="0"/>
  </w:num>
  <w:num w:numId="14">
    <w:abstractNumId w:val="2"/>
  </w:num>
  <w:num w:numId="15">
    <w:abstractNumId w:val="1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FA"/>
    <w:rsid w:val="0000752D"/>
    <w:rsid w:val="00314FE8"/>
    <w:rsid w:val="00360267"/>
    <w:rsid w:val="00433A59"/>
    <w:rsid w:val="00486BD7"/>
    <w:rsid w:val="006441E4"/>
    <w:rsid w:val="00644C17"/>
    <w:rsid w:val="006A6F87"/>
    <w:rsid w:val="006C6C23"/>
    <w:rsid w:val="007410A2"/>
    <w:rsid w:val="00AF3CCC"/>
    <w:rsid w:val="00B2361F"/>
    <w:rsid w:val="00BB5DCF"/>
    <w:rsid w:val="00D20D5D"/>
    <w:rsid w:val="00D954BE"/>
    <w:rsid w:val="00F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C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B369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8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8F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18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8FA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B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DC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B369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8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8F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18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8FA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B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Library Company of Philadelphia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Insider Medical</dc:creator>
  <cp:lastModifiedBy>reader reader</cp:lastModifiedBy>
  <cp:revision>2</cp:revision>
  <dcterms:created xsi:type="dcterms:W3CDTF">2014-07-18T05:15:00Z</dcterms:created>
  <dcterms:modified xsi:type="dcterms:W3CDTF">2014-07-18T05:15:00Z</dcterms:modified>
</cp:coreProperties>
</file>