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</w:t>
      </w:r>
      <w:proofErr w:type="spellStart"/>
      <w:r w:rsidR="00DC08F0">
        <w:rPr>
          <w:b/>
          <w:sz w:val="28"/>
          <w:szCs w:val="28"/>
          <w:u w:val="single"/>
        </w:rPr>
        <w:t>ALL_</w:t>
      </w:r>
      <w:r w:rsidR="00127E5A">
        <w:rPr>
          <w:b/>
          <w:sz w:val="28"/>
          <w:szCs w:val="28"/>
          <w:u w:val="single"/>
        </w:rPr>
        <w:t>Street</w:t>
      </w:r>
      <w:r w:rsidR="00DC08F0">
        <w:rPr>
          <w:b/>
          <w:sz w:val="28"/>
          <w:szCs w:val="28"/>
          <w:u w:val="single"/>
        </w:rPr>
        <w:t>_Segments</w:t>
      </w:r>
      <w:proofErr w:type="spellEnd"/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RPr="00DC08F0" w:rsidTr="00903769">
        <w:trPr>
          <w:trHeight w:val="174"/>
        </w:trPr>
        <w:tc>
          <w:tcPr>
            <w:tcW w:w="2718" w:type="dxa"/>
          </w:tcPr>
          <w:p w:rsidR="0016699D" w:rsidRPr="00DC08F0" w:rsidRDefault="0016699D" w:rsidP="00DC08F0">
            <w:pPr>
              <w:rPr>
                <w:sz w:val="22"/>
                <w:szCs w:val="22"/>
              </w:rPr>
            </w:pPr>
            <w:r w:rsidRPr="00DC08F0">
              <w:rPr>
                <w:sz w:val="22"/>
                <w:szCs w:val="22"/>
              </w:rPr>
              <w:t>Heading</w:t>
            </w:r>
          </w:p>
        </w:tc>
        <w:tc>
          <w:tcPr>
            <w:tcW w:w="6168" w:type="dxa"/>
          </w:tcPr>
          <w:p w:rsidR="0016699D" w:rsidRPr="00DC08F0" w:rsidRDefault="0016699D" w:rsidP="00DC08F0">
            <w:pPr>
              <w:rPr>
                <w:sz w:val="22"/>
                <w:szCs w:val="22"/>
              </w:rPr>
            </w:pPr>
            <w:r w:rsidRPr="00DC08F0">
              <w:rPr>
                <w:sz w:val="22"/>
                <w:szCs w:val="22"/>
              </w:rPr>
              <w:t>Description</w:t>
            </w:r>
          </w:p>
        </w:tc>
      </w:tr>
      <w:tr w:rsidR="00A6396A" w:rsidRPr="00DC08F0" w:rsidTr="00903769">
        <w:trPr>
          <w:trHeight w:val="174"/>
        </w:trPr>
        <w:tc>
          <w:tcPr>
            <w:tcW w:w="2718" w:type="dxa"/>
          </w:tcPr>
          <w:p w:rsidR="00A6396A" w:rsidRPr="00DC08F0" w:rsidRDefault="00A6396A" w:rsidP="00DC08F0">
            <w:pPr>
              <w:rPr>
                <w:sz w:val="22"/>
                <w:szCs w:val="22"/>
              </w:rPr>
            </w:pPr>
            <w:r w:rsidRPr="00DC08F0">
              <w:rPr>
                <w:sz w:val="22"/>
                <w:szCs w:val="22"/>
              </w:rPr>
              <w:t>Data set name</w:t>
            </w:r>
          </w:p>
        </w:tc>
        <w:tc>
          <w:tcPr>
            <w:tcW w:w="6168" w:type="dxa"/>
          </w:tcPr>
          <w:p w:rsidR="00127E5A" w:rsidRPr="00DC08F0" w:rsidRDefault="00552EC5" w:rsidP="00DC08F0">
            <w:pPr>
              <w:rPr>
                <w:kern w:val="0"/>
                <w:sz w:val="22"/>
                <w:szCs w:val="22"/>
                <w:lang w:val="en-US"/>
              </w:rPr>
            </w:pPr>
            <w:r w:rsidRPr="00DC08F0">
              <w:rPr>
                <w:kern w:val="0"/>
                <w:sz w:val="22"/>
                <w:szCs w:val="22"/>
                <w:lang w:val="en-US"/>
              </w:rPr>
              <w:t>All Street Segments (including alley lanes, seawall, pathways, Drivable streets)</w:t>
            </w:r>
          </w:p>
        </w:tc>
      </w:tr>
      <w:tr w:rsidR="00552EC5" w:rsidRPr="00DC08F0" w:rsidTr="00903769">
        <w:trPr>
          <w:trHeight w:val="174"/>
        </w:trPr>
        <w:tc>
          <w:tcPr>
            <w:tcW w:w="2718" w:type="dxa"/>
          </w:tcPr>
          <w:p w:rsidR="00552EC5" w:rsidRPr="00DC08F0" w:rsidRDefault="00552EC5" w:rsidP="00DC08F0">
            <w:pPr>
              <w:rPr>
                <w:sz w:val="22"/>
                <w:szCs w:val="22"/>
              </w:rPr>
            </w:pPr>
            <w:r w:rsidRPr="00DC08F0">
              <w:rPr>
                <w:sz w:val="22"/>
                <w:szCs w:val="22"/>
              </w:rPr>
              <w:t>Data Format</w:t>
            </w:r>
          </w:p>
        </w:tc>
        <w:tc>
          <w:tcPr>
            <w:tcW w:w="6168" w:type="dxa"/>
          </w:tcPr>
          <w:p w:rsidR="00552EC5" w:rsidRPr="00DC08F0" w:rsidRDefault="00552EC5" w:rsidP="00DC08F0">
            <w:pPr>
              <w:rPr>
                <w:kern w:val="0"/>
                <w:sz w:val="22"/>
                <w:szCs w:val="22"/>
                <w:lang w:val="en-US"/>
              </w:rPr>
            </w:pPr>
            <w:r w:rsidRPr="00DC08F0">
              <w:rPr>
                <w:kern w:val="0"/>
                <w:sz w:val="22"/>
                <w:szCs w:val="22"/>
                <w:lang w:val="en-US"/>
              </w:rPr>
              <w:t>ESRI Shapefile</w:t>
            </w:r>
          </w:p>
        </w:tc>
      </w:tr>
      <w:tr w:rsidR="00A6396A" w:rsidRPr="00DC08F0" w:rsidTr="00903769">
        <w:trPr>
          <w:trHeight w:val="174"/>
        </w:trPr>
        <w:tc>
          <w:tcPr>
            <w:tcW w:w="2718" w:type="dxa"/>
          </w:tcPr>
          <w:p w:rsidR="00A6396A" w:rsidRPr="00DC08F0" w:rsidRDefault="00A6396A" w:rsidP="00DC08F0">
            <w:pPr>
              <w:rPr>
                <w:sz w:val="22"/>
                <w:szCs w:val="22"/>
              </w:rPr>
            </w:pPr>
            <w:r w:rsidRPr="00DC08F0">
              <w:rPr>
                <w:sz w:val="22"/>
                <w:szCs w:val="22"/>
              </w:rPr>
              <w:t>Data custodian</w:t>
            </w:r>
          </w:p>
        </w:tc>
        <w:tc>
          <w:tcPr>
            <w:tcW w:w="6168" w:type="dxa"/>
          </w:tcPr>
          <w:p w:rsidR="00A6396A" w:rsidRPr="00DC08F0" w:rsidRDefault="001F5CF8" w:rsidP="00DC08F0">
            <w:pPr>
              <w:rPr>
                <w:kern w:val="0"/>
                <w:sz w:val="22"/>
                <w:szCs w:val="22"/>
                <w:lang w:val="en-US"/>
              </w:rPr>
            </w:pPr>
            <w:r w:rsidRPr="00DC08F0">
              <w:rPr>
                <w:kern w:val="0"/>
                <w:sz w:val="22"/>
                <w:szCs w:val="22"/>
                <w:lang w:val="en-US"/>
              </w:rPr>
              <w:t>Engineering Services</w:t>
            </w:r>
          </w:p>
        </w:tc>
      </w:tr>
      <w:tr w:rsidR="00552EC5" w:rsidRPr="00DC08F0" w:rsidTr="00903769">
        <w:trPr>
          <w:trHeight w:val="174"/>
        </w:trPr>
        <w:tc>
          <w:tcPr>
            <w:tcW w:w="2718" w:type="dxa"/>
          </w:tcPr>
          <w:p w:rsidR="00552EC5" w:rsidRPr="00DC08F0" w:rsidRDefault="00552EC5" w:rsidP="00DC08F0">
            <w:pPr>
              <w:rPr>
                <w:sz w:val="22"/>
                <w:szCs w:val="22"/>
              </w:rPr>
            </w:pPr>
            <w:r w:rsidRPr="00DC08F0">
              <w:rPr>
                <w:sz w:val="22"/>
                <w:szCs w:val="22"/>
              </w:rPr>
              <w:t>Data mapping</w:t>
            </w:r>
          </w:p>
        </w:tc>
        <w:tc>
          <w:tcPr>
            <w:tcW w:w="6168" w:type="dxa"/>
          </w:tcPr>
          <w:p w:rsidR="00552EC5" w:rsidRDefault="00D17456" w:rsidP="00DC08F0">
            <w:pPr>
              <w:rPr>
                <w:kern w:val="0"/>
                <w:sz w:val="22"/>
                <w:szCs w:val="22"/>
                <w:lang w:val="en-US"/>
              </w:rPr>
            </w:pPr>
            <w:r>
              <w:rPr>
                <w:kern w:val="0"/>
                <w:sz w:val="22"/>
                <w:szCs w:val="22"/>
                <w:lang w:val="en-US"/>
              </w:rPr>
              <w:t>Traffic Counts &gt; Continuous Counts</w:t>
            </w:r>
          </w:p>
          <w:p w:rsidR="00D17456" w:rsidRPr="00DC08F0" w:rsidRDefault="00D17456" w:rsidP="00D17456">
            <w:pPr>
              <w:rPr>
                <w:kern w:val="0"/>
                <w:sz w:val="22"/>
                <w:szCs w:val="22"/>
                <w:lang w:val="en-US"/>
              </w:rPr>
            </w:pPr>
            <w:r>
              <w:rPr>
                <w:kern w:val="0"/>
                <w:sz w:val="22"/>
                <w:szCs w:val="22"/>
                <w:lang w:val="en-US"/>
              </w:rPr>
              <w:t xml:space="preserve">Traffic Counts &gt; </w:t>
            </w:r>
            <w:r>
              <w:rPr>
                <w:kern w:val="0"/>
                <w:sz w:val="22"/>
                <w:szCs w:val="22"/>
                <w:lang w:val="en-US"/>
              </w:rPr>
              <w:t>Hose</w:t>
            </w:r>
            <w:r>
              <w:rPr>
                <w:kern w:val="0"/>
                <w:sz w:val="22"/>
                <w:szCs w:val="22"/>
                <w:lang w:val="en-US"/>
              </w:rPr>
              <w:t xml:space="preserve"> Counts</w:t>
            </w:r>
          </w:p>
        </w:tc>
      </w:tr>
      <w:tr w:rsidR="00BF00ED" w:rsidRPr="00DC08F0" w:rsidTr="00903769">
        <w:trPr>
          <w:trHeight w:val="174"/>
        </w:trPr>
        <w:tc>
          <w:tcPr>
            <w:tcW w:w="2718" w:type="dxa"/>
          </w:tcPr>
          <w:p w:rsidR="00BF00ED" w:rsidRPr="00DC08F0" w:rsidRDefault="00BF00ED" w:rsidP="00DC08F0">
            <w:r>
              <w:t>Number of Records</w:t>
            </w:r>
          </w:p>
        </w:tc>
        <w:tc>
          <w:tcPr>
            <w:tcW w:w="6168" w:type="dxa"/>
          </w:tcPr>
          <w:p w:rsidR="00BF00ED" w:rsidRPr="00DC08F0" w:rsidRDefault="00BF00ED" w:rsidP="00DC08F0">
            <w:pPr>
              <w:rPr>
                <w:kern w:val="0"/>
                <w:lang w:val="en-US"/>
              </w:rPr>
            </w:pPr>
            <w:r>
              <w:rPr>
                <w:kern w:val="0"/>
                <w:lang w:val="en-US"/>
              </w:rPr>
              <w:t>27,793</w:t>
            </w:r>
          </w:p>
        </w:tc>
      </w:tr>
      <w:tr w:rsidR="00A6396A" w:rsidRPr="00DC08F0" w:rsidTr="00903769">
        <w:trPr>
          <w:trHeight w:val="174"/>
        </w:trPr>
        <w:tc>
          <w:tcPr>
            <w:tcW w:w="2718" w:type="dxa"/>
          </w:tcPr>
          <w:p w:rsidR="00A6396A" w:rsidRPr="00DC08F0" w:rsidRDefault="00A6396A" w:rsidP="00DC08F0">
            <w:pPr>
              <w:rPr>
                <w:sz w:val="22"/>
                <w:szCs w:val="22"/>
              </w:rPr>
            </w:pPr>
            <w:r w:rsidRPr="00DC08F0">
              <w:rPr>
                <w:sz w:val="22"/>
                <w:szCs w:val="22"/>
              </w:rPr>
              <w:t>Data currency comments</w:t>
            </w:r>
          </w:p>
        </w:tc>
        <w:tc>
          <w:tcPr>
            <w:tcW w:w="6168" w:type="dxa"/>
          </w:tcPr>
          <w:p w:rsidR="00A6396A" w:rsidRPr="00DC08F0" w:rsidRDefault="0041538E" w:rsidP="00DC08F0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DC08F0">
              <w:rPr>
                <w:color w:val="000000" w:themeColor="text1"/>
                <w:sz w:val="22"/>
                <w:szCs w:val="22"/>
                <w:lang w:val="en-US"/>
              </w:rPr>
              <w:t>This data in City systems is updated frequently in the normal course of business, however priorities and resources determine how fast a change in reality is reflected in the database.  The extract on this website is updated weekly.</w:t>
            </w:r>
          </w:p>
        </w:tc>
      </w:tr>
      <w:tr w:rsidR="00A6396A" w:rsidRPr="00DC08F0" w:rsidTr="00903769">
        <w:trPr>
          <w:trHeight w:val="174"/>
        </w:trPr>
        <w:tc>
          <w:tcPr>
            <w:tcW w:w="2718" w:type="dxa"/>
          </w:tcPr>
          <w:p w:rsidR="00A6396A" w:rsidRPr="00DC08F0" w:rsidRDefault="00A6396A" w:rsidP="00DC08F0">
            <w:pPr>
              <w:rPr>
                <w:sz w:val="22"/>
                <w:szCs w:val="22"/>
              </w:rPr>
            </w:pPr>
            <w:r w:rsidRPr="00DC08F0">
              <w:rPr>
                <w:sz w:val="22"/>
                <w:szCs w:val="22"/>
              </w:rPr>
              <w:t>Data set description</w:t>
            </w:r>
          </w:p>
        </w:tc>
        <w:tc>
          <w:tcPr>
            <w:tcW w:w="6168" w:type="dxa"/>
          </w:tcPr>
          <w:p w:rsidR="00A6396A" w:rsidRPr="00DC08F0" w:rsidRDefault="006E7D91" w:rsidP="00DC08F0">
            <w:pPr>
              <w:rPr>
                <w:sz w:val="22"/>
                <w:szCs w:val="22"/>
                <w:lang w:val="en-US"/>
              </w:rPr>
            </w:pPr>
            <w:r w:rsidRPr="00DC08F0">
              <w:rPr>
                <w:sz w:val="22"/>
                <w:szCs w:val="22"/>
                <w:lang w:val="en-US"/>
              </w:rPr>
              <w:t xml:space="preserve">This dataset contains information about </w:t>
            </w:r>
            <w:r w:rsidR="00127E5A" w:rsidRPr="00DC08F0">
              <w:rPr>
                <w:sz w:val="22"/>
                <w:szCs w:val="22"/>
                <w:lang w:val="en-US"/>
              </w:rPr>
              <w:t>“streets” where people may travel</w:t>
            </w:r>
            <w:r w:rsidRPr="00DC08F0">
              <w:rPr>
                <w:sz w:val="22"/>
                <w:szCs w:val="22"/>
                <w:lang w:val="en-US"/>
              </w:rPr>
              <w:t xml:space="preserve">. </w:t>
            </w:r>
            <w:r w:rsidR="0041538E" w:rsidRPr="00DC08F0">
              <w:rPr>
                <w:sz w:val="22"/>
                <w:szCs w:val="22"/>
                <w:lang w:val="en-US"/>
              </w:rPr>
              <w:t>Street centerline and names are included.  The street centerline network includes linear street objects that reflect the approximate center of the dedicated street right-of-way. Street names are typically displayed for each segment of the street centerline network. The linear network is broken at the intersection of two or more City streets or alleyways.</w:t>
            </w:r>
          </w:p>
        </w:tc>
      </w:tr>
      <w:tr w:rsidR="00A6396A" w:rsidRPr="00DC08F0" w:rsidTr="00903769">
        <w:trPr>
          <w:trHeight w:val="174"/>
        </w:trPr>
        <w:tc>
          <w:tcPr>
            <w:tcW w:w="2718" w:type="dxa"/>
          </w:tcPr>
          <w:p w:rsidR="00A6396A" w:rsidRPr="00DC08F0" w:rsidRDefault="00A6396A" w:rsidP="00DC08F0">
            <w:pPr>
              <w:rPr>
                <w:sz w:val="22"/>
                <w:szCs w:val="22"/>
              </w:rPr>
            </w:pPr>
            <w:r w:rsidRPr="00DC08F0">
              <w:rPr>
                <w:sz w:val="22"/>
                <w:szCs w:val="22"/>
              </w:rPr>
              <w:t>Data accuracy comments</w:t>
            </w:r>
          </w:p>
        </w:tc>
        <w:tc>
          <w:tcPr>
            <w:tcW w:w="6168" w:type="dxa"/>
          </w:tcPr>
          <w:p w:rsidR="00A6396A" w:rsidRPr="00DC08F0" w:rsidRDefault="0041538E" w:rsidP="00DC08F0">
            <w:pPr>
              <w:rPr>
                <w:sz w:val="22"/>
                <w:szCs w:val="22"/>
              </w:rPr>
            </w:pPr>
            <w:r w:rsidRPr="00DC08F0">
              <w:rPr>
                <w:sz w:val="22"/>
                <w:szCs w:val="22"/>
              </w:rPr>
              <w:t>Some of the City's data is created using survey accuracy however some features are not as precise.</w:t>
            </w:r>
          </w:p>
        </w:tc>
      </w:tr>
      <w:tr w:rsidR="00A6396A" w:rsidRPr="00DC08F0" w:rsidTr="00903769">
        <w:trPr>
          <w:trHeight w:val="174"/>
        </w:trPr>
        <w:tc>
          <w:tcPr>
            <w:tcW w:w="2718" w:type="dxa"/>
          </w:tcPr>
          <w:p w:rsidR="00A6396A" w:rsidRPr="00DC08F0" w:rsidRDefault="00A6396A" w:rsidP="00DC08F0">
            <w:pPr>
              <w:rPr>
                <w:sz w:val="22"/>
                <w:szCs w:val="22"/>
              </w:rPr>
            </w:pPr>
            <w:r w:rsidRPr="00DC08F0">
              <w:rPr>
                <w:sz w:val="22"/>
                <w:szCs w:val="22"/>
              </w:rPr>
              <w:t>Attributes</w:t>
            </w:r>
          </w:p>
        </w:tc>
        <w:tc>
          <w:tcPr>
            <w:tcW w:w="6168" w:type="dxa"/>
          </w:tcPr>
          <w:p w:rsidR="00A6396A" w:rsidRPr="00DC08F0" w:rsidRDefault="00127E5A" w:rsidP="00DC08F0">
            <w:pPr>
              <w:rPr>
                <w:sz w:val="22"/>
                <w:szCs w:val="22"/>
              </w:rPr>
            </w:pPr>
            <w:r w:rsidRPr="00DC08F0">
              <w:rPr>
                <w:sz w:val="22"/>
                <w:szCs w:val="22"/>
              </w:rPr>
              <w:t>see below</w:t>
            </w:r>
          </w:p>
        </w:tc>
      </w:tr>
      <w:tr w:rsidR="00A6396A" w:rsidRPr="00DC08F0" w:rsidTr="00997B6A">
        <w:trPr>
          <w:trHeight w:val="728"/>
        </w:trPr>
        <w:tc>
          <w:tcPr>
            <w:tcW w:w="2718" w:type="dxa"/>
          </w:tcPr>
          <w:p w:rsidR="00A6396A" w:rsidRPr="00DC08F0" w:rsidRDefault="00A6396A" w:rsidP="00DC08F0">
            <w:pPr>
              <w:rPr>
                <w:sz w:val="22"/>
                <w:szCs w:val="22"/>
              </w:rPr>
            </w:pPr>
            <w:r w:rsidRPr="00DC08F0">
              <w:rPr>
                <w:sz w:val="22"/>
                <w:szCs w:val="22"/>
              </w:rPr>
              <w:t>Coordinate System</w:t>
            </w:r>
          </w:p>
        </w:tc>
        <w:tc>
          <w:tcPr>
            <w:tcW w:w="6168" w:type="dxa"/>
          </w:tcPr>
          <w:p w:rsidR="00A6396A" w:rsidRPr="00DC08F0" w:rsidRDefault="00552EC5" w:rsidP="00DC08F0">
            <w:pPr>
              <w:rPr>
                <w:sz w:val="22"/>
                <w:szCs w:val="22"/>
              </w:rPr>
            </w:pPr>
            <w:r w:rsidRPr="00DC08F0">
              <w:rPr>
                <w:sz w:val="22"/>
                <w:szCs w:val="22"/>
                <w:lang w:val="en-US"/>
              </w:rPr>
              <w:t>P</w:t>
            </w:r>
            <w:r w:rsidR="00A6396A" w:rsidRPr="00DC08F0">
              <w:rPr>
                <w:sz w:val="22"/>
                <w:szCs w:val="22"/>
                <w:lang w:val="en-US"/>
              </w:rPr>
              <w:t xml:space="preserve">rojected in UTM Zone 10, NAD83 (CSRS). </w:t>
            </w:r>
            <w:bookmarkStart w:id="0" w:name="_GoBack"/>
            <w:bookmarkEnd w:id="0"/>
          </w:p>
        </w:tc>
      </w:tr>
      <w:tr w:rsidR="00A6396A" w:rsidRPr="00DC08F0" w:rsidTr="00903769">
        <w:trPr>
          <w:trHeight w:val="174"/>
        </w:trPr>
        <w:tc>
          <w:tcPr>
            <w:tcW w:w="2718" w:type="dxa"/>
          </w:tcPr>
          <w:p w:rsidR="00A6396A" w:rsidRPr="00DC08F0" w:rsidRDefault="00A6396A" w:rsidP="00DC08F0">
            <w:pPr>
              <w:rPr>
                <w:sz w:val="22"/>
                <w:szCs w:val="22"/>
              </w:rPr>
            </w:pPr>
            <w:r w:rsidRPr="00DC08F0">
              <w:rPr>
                <w:sz w:val="22"/>
                <w:szCs w:val="22"/>
              </w:rPr>
              <w:t>Data set details</w:t>
            </w:r>
          </w:p>
        </w:tc>
        <w:tc>
          <w:tcPr>
            <w:tcW w:w="6168" w:type="dxa"/>
          </w:tcPr>
          <w:p w:rsidR="00A6396A" w:rsidRPr="00DC08F0" w:rsidRDefault="00127E5A" w:rsidP="00DC08F0">
            <w:pPr>
              <w:rPr>
                <w:sz w:val="22"/>
                <w:szCs w:val="22"/>
              </w:rPr>
            </w:pPr>
            <w:r w:rsidRPr="00DC08F0">
              <w:rPr>
                <w:sz w:val="22"/>
                <w:szCs w:val="22"/>
              </w:rPr>
              <w:t xml:space="preserve">Contains </w:t>
            </w:r>
            <w:r w:rsidR="00552EC5" w:rsidRPr="00DC08F0">
              <w:rPr>
                <w:sz w:val="22"/>
                <w:szCs w:val="22"/>
              </w:rPr>
              <w:t>ESRI shapefiles</w:t>
            </w:r>
          </w:p>
        </w:tc>
      </w:tr>
      <w:tr w:rsidR="00A6396A" w:rsidRPr="00DC08F0" w:rsidTr="00903769">
        <w:trPr>
          <w:trHeight w:val="174"/>
        </w:trPr>
        <w:tc>
          <w:tcPr>
            <w:tcW w:w="2718" w:type="dxa"/>
          </w:tcPr>
          <w:p w:rsidR="00A6396A" w:rsidRPr="00DC08F0" w:rsidRDefault="00A6396A" w:rsidP="00DC08F0">
            <w:pPr>
              <w:rPr>
                <w:sz w:val="22"/>
                <w:szCs w:val="22"/>
              </w:rPr>
            </w:pPr>
            <w:r w:rsidRPr="00DC08F0">
              <w:rPr>
                <w:sz w:val="22"/>
                <w:szCs w:val="22"/>
              </w:rPr>
              <w:t>Note</w:t>
            </w:r>
          </w:p>
        </w:tc>
        <w:tc>
          <w:tcPr>
            <w:tcW w:w="6168" w:type="dxa"/>
          </w:tcPr>
          <w:p w:rsidR="00A6396A" w:rsidRPr="00DC08F0" w:rsidRDefault="00A6396A" w:rsidP="00DC08F0">
            <w:pPr>
              <w:rPr>
                <w:sz w:val="22"/>
                <w:szCs w:val="22"/>
              </w:rPr>
            </w:pPr>
          </w:p>
        </w:tc>
      </w:tr>
    </w:tbl>
    <w:p w:rsidR="00FE5119" w:rsidRDefault="00FE5119" w:rsidP="00096680">
      <w:pPr>
        <w:rPr>
          <w:b/>
          <w:sz w:val="26"/>
          <w:szCs w:val="26"/>
        </w:rPr>
      </w:pPr>
    </w:p>
    <w:p w:rsidR="00D0789B" w:rsidRPr="00096680" w:rsidRDefault="00D0789B" w:rsidP="00AD00FB">
      <w:pPr>
        <w:rPr>
          <w:b/>
          <w:sz w:val="20"/>
          <w:szCs w:val="20"/>
        </w:rPr>
      </w:pPr>
    </w:p>
    <w:p w:rsidR="00127E5A" w:rsidRPr="00516968" w:rsidRDefault="00127E5A" w:rsidP="00127E5A">
      <w:pPr>
        <w:spacing w:after="200" w:line="276" w:lineRule="auto"/>
        <w:rPr>
          <w:b/>
          <w:sz w:val="28"/>
          <w:szCs w:val="28"/>
          <w:u w:val="single"/>
        </w:rPr>
      </w:pPr>
      <w:r w:rsidRPr="00516968">
        <w:rPr>
          <w:b/>
          <w:sz w:val="28"/>
          <w:szCs w:val="28"/>
          <w:u w:val="single"/>
        </w:rPr>
        <w:t>Attributes Description</w:t>
      </w:r>
      <w:r>
        <w:rPr>
          <w:b/>
          <w:sz w:val="28"/>
          <w:szCs w:val="28"/>
          <w:u w:val="single"/>
        </w:rPr>
        <w:t xml:space="preserve"> </w:t>
      </w:r>
    </w:p>
    <w:p w:rsidR="00127E5A" w:rsidRPr="00552EC5" w:rsidRDefault="00127E5A" w:rsidP="00127E5A">
      <w:r w:rsidRPr="00552EC5">
        <w:t>FID</w:t>
      </w:r>
      <w:r w:rsidRPr="00552EC5">
        <w:tab/>
      </w:r>
      <w:r w:rsidRPr="00552EC5">
        <w:tab/>
      </w:r>
      <w:r w:rsidR="00DC08F0">
        <w:t xml:space="preserve">   </w:t>
      </w:r>
      <w:r w:rsidRPr="00552EC5">
        <w:t>Unique identifier of the street linear segment</w:t>
      </w:r>
    </w:p>
    <w:p w:rsidR="00127E5A" w:rsidRPr="00552EC5" w:rsidRDefault="00127E5A" w:rsidP="00127E5A">
      <w:r w:rsidRPr="00552EC5">
        <w:t>Shape</w:t>
      </w:r>
      <w:r w:rsidRPr="00552EC5">
        <w:tab/>
      </w:r>
      <w:r w:rsidRPr="00552EC5">
        <w:tab/>
      </w:r>
      <w:r w:rsidR="00DC08F0">
        <w:t xml:space="preserve">   </w:t>
      </w:r>
      <w:r w:rsidRPr="00552EC5">
        <w:t>Indicator of the geometry type (line)</w:t>
      </w:r>
      <w:r w:rsidRPr="00552EC5">
        <w:tab/>
      </w:r>
    </w:p>
    <w:p w:rsidR="00552EC5" w:rsidRPr="00552EC5" w:rsidRDefault="00552EC5" w:rsidP="00127E5A">
      <w:r w:rsidRPr="00552EC5">
        <w:t>ST_SEGMENT</w:t>
      </w:r>
      <w:r w:rsidRPr="00552EC5">
        <w:tab/>
      </w:r>
      <w:r w:rsidR="00DC08F0">
        <w:t xml:space="preserve">   </w:t>
      </w:r>
      <w:r w:rsidRPr="00552EC5">
        <w:t xml:space="preserve">Secondary Key for Traffic Count </w:t>
      </w:r>
      <w:proofErr w:type="gramStart"/>
      <w:r w:rsidRPr="00552EC5">
        <w:t>data</w:t>
      </w:r>
      <w:proofErr w:type="gramEnd"/>
    </w:p>
    <w:p w:rsidR="00127E5A" w:rsidRPr="00552EC5" w:rsidRDefault="00127E5A" w:rsidP="00127E5A">
      <w:r w:rsidRPr="00552EC5">
        <w:t>Use</w:t>
      </w:r>
      <w:r w:rsidRPr="00552EC5">
        <w:tab/>
      </w:r>
      <w:r w:rsidRPr="00552EC5">
        <w:tab/>
      </w:r>
      <w:r w:rsidR="00DC08F0">
        <w:t xml:space="preserve">   </w:t>
      </w:r>
      <w:r w:rsidR="004D3B54" w:rsidRPr="00552EC5">
        <w:t>Description of the street type</w:t>
      </w:r>
    </w:p>
    <w:p w:rsidR="00552EC5" w:rsidRPr="00552EC5" w:rsidRDefault="00552EC5" w:rsidP="00127E5A">
      <w:r w:rsidRPr="00552EC5">
        <w:t>MRN_IND</w:t>
      </w:r>
      <w:r w:rsidRPr="00552EC5">
        <w:tab/>
      </w:r>
      <w:r w:rsidR="00DC08F0">
        <w:t xml:space="preserve">   </w:t>
      </w:r>
      <w:r w:rsidRPr="00552EC5">
        <w:t xml:space="preserve">Indicator of Major Road Network </w:t>
      </w:r>
      <w:r w:rsidRPr="00552EC5">
        <w:rPr>
          <w:rStyle w:val="FootnoteReference"/>
        </w:rPr>
        <w:footnoteReference w:id="1"/>
      </w:r>
    </w:p>
    <w:p w:rsidR="00552EC5" w:rsidRPr="00552EC5" w:rsidRDefault="00552EC5" w:rsidP="00127E5A">
      <w:r w:rsidRPr="00552EC5">
        <w:t>OWNER</w:t>
      </w:r>
      <w:r w:rsidRPr="00552EC5">
        <w:tab/>
      </w:r>
      <w:r w:rsidR="00DC08F0">
        <w:t xml:space="preserve">   </w:t>
      </w:r>
      <w:r w:rsidRPr="00552EC5">
        <w:t>Indicator of the management of the street segment</w:t>
      </w:r>
    </w:p>
    <w:p w:rsidR="00127E5A" w:rsidRPr="00552EC5" w:rsidRDefault="00552EC5" w:rsidP="00127E5A">
      <w:r w:rsidRPr="00552EC5">
        <w:t>FROM_</w:t>
      </w:r>
      <w:r w:rsidR="00127E5A" w:rsidRPr="00552EC5">
        <w:t>H</w:t>
      </w:r>
      <w:r w:rsidRPr="00552EC5">
        <w:t>UNDR</w:t>
      </w:r>
      <w:r w:rsidR="00127E5A" w:rsidRPr="00552EC5">
        <w:tab/>
      </w:r>
      <w:r w:rsidR="00DC08F0">
        <w:t xml:space="preserve">   </w:t>
      </w:r>
      <w:r w:rsidRPr="00552EC5">
        <w:t>Low 1</w:t>
      </w:r>
      <w:r w:rsidR="004D3B54" w:rsidRPr="00552EC5">
        <w:t>00 block</w:t>
      </w:r>
      <w:r w:rsidRPr="00552EC5">
        <w:t xml:space="preserve"> for the Street Segment</w:t>
      </w:r>
      <w:r w:rsidR="004D3B54" w:rsidRPr="00552EC5">
        <w:rPr>
          <w:rStyle w:val="FootnoteReference"/>
        </w:rPr>
        <w:footnoteReference w:id="2"/>
      </w:r>
    </w:p>
    <w:p w:rsidR="00552EC5" w:rsidRPr="00552EC5" w:rsidRDefault="00552EC5" w:rsidP="00127E5A">
      <w:r w:rsidRPr="00552EC5">
        <w:t>TO_HUNDR</w:t>
      </w:r>
      <w:r w:rsidRPr="00552EC5">
        <w:tab/>
      </w:r>
      <w:r w:rsidR="00DC08F0">
        <w:t xml:space="preserve">   </w:t>
      </w:r>
      <w:r w:rsidRPr="00552EC5">
        <w:t>High 100 block for the Street</w:t>
      </w:r>
    </w:p>
    <w:p w:rsidR="00552EC5" w:rsidRPr="00552EC5" w:rsidRDefault="00552EC5" w:rsidP="00127E5A">
      <w:r w:rsidRPr="00552EC5">
        <w:t>ONE_WAY_DI</w:t>
      </w:r>
      <w:r w:rsidRPr="00552EC5">
        <w:tab/>
      </w:r>
      <w:r w:rsidR="00DC08F0">
        <w:t xml:space="preserve">   </w:t>
      </w:r>
      <w:r w:rsidRPr="00552EC5">
        <w:t>Indicator if the direction of travel along the street is one way</w:t>
      </w:r>
    </w:p>
    <w:p w:rsidR="00127E5A" w:rsidRDefault="00552EC5" w:rsidP="00127E5A">
      <w:r w:rsidRPr="00552EC5">
        <w:t>MEDIAN</w:t>
      </w:r>
      <w:r>
        <w:t>_</w:t>
      </w:r>
      <w:r w:rsidRPr="00552EC5">
        <w:t>IND</w:t>
      </w:r>
      <w:r>
        <w:tab/>
      </w:r>
      <w:r w:rsidR="00DC08F0">
        <w:t xml:space="preserve">   </w:t>
      </w:r>
      <w:r>
        <w:t>Indicator if there is a center median between the two directions of travel</w:t>
      </w:r>
    </w:p>
    <w:p w:rsidR="00DC08F0" w:rsidRDefault="00DC08F0" w:rsidP="00127E5A">
      <w:r>
        <w:t>STREET_NAME</w:t>
      </w:r>
      <w:r>
        <w:tab/>
        <w:t xml:space="preserve">   Street name for the segment </w:t>
      </w:r>
    </w:p>
    <w:p w:rsidR="00DC08F0" w:rsidRDefault="00DC08F0" w:rsidP="00127E5A">
      <w:r>
        <w:t>JN_STREET</w:t>
      </w:r>
      <w:r>
        <w:tab/>
        <w:t xml:space="preserve">   Join column where the From 100 block # and Street Name is concatenated</w:t>
      </w:r>
    </w:p>
    <w:p w:rsidR="00DC08F0" w:rsidRPr="00552EC5" w:rsidRDefault="00DC08F0" w:rsidP="00127E5A">
      <w:proofErr w:type="spellStart"/>
      <w:r>
        <w:t>Truck_RT</w:t>
      </w:r>
      <w:proofErr w:type="spellEnd"/>
      <w:r>
        <w:tab/>
        <w:t xml:space="preserve">   Indicator if the street segment is permitted for heavy truck travel</w:t>
      </w:r>
    </w:p>
    <w:p w:rsidR="00127E5A" w:rsidRPr="00552EC5" w:rsidRDefault="00127E5A" w:rsidP="00127E5A">
      <w:pPr>
        <w:rPr>
          <w:sz w:val="20"/>
          <w:szCs w:val="20"/>
        </w:rPr>
      </w:pPr>
    </w:p>
    <w:p w:rsidR="00997B6A" w:rsidRPr="00096680" w:rsidRDefault="00997B6A" w:rsidP="00096680">
      <w:pPr>
        <w:rPr>
          <w:b/>
          <w:sz w:val="20"/>
          <w:szCs w:val="20"/>
        </w:rPr>
      </w:pPr>
    </w:p>
    <w:sectPr w:rsidR="00997B6A" w:rsidRPr="00096680" w:rsidSect="00DC08F0">
      <w:pgSz w:w="12240" w:h="15840"/>
      <w:pgMar w:top="630" w:right="117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B54" w:rsidRDefault="004D3B54" w:rsidP="004D3B54">
      <w:r>
        <w:separator/>
      </w:r>
    </w:p>
  </w:endnote>
  <w:endnote w:type="continuationSeparator" w:id="0">
    <w:p w:rsidR="004D3B54" w:rsidRDefault="004D3B54" w:rsidP="004D3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B54" w:rsidRDefault="004D3B54" w:rsidP="004D3B54">
      <w:r>
        <w:separator/>
      </w:r>
    </w:p>
  </w:footnote>
  <w:footnote w:type="continuationSeparator" w:id="0">
    <w:p w:rsidR="004D3B54" w:rsidRDefault="004D3B54" w:rsidP="004D3B54">
      <w:r>
        <w:continuationSeparator/>
      </w:r>
    </w:p>
  </w:footnote>
  <w:footnote w:id="1">
    <w:p w:rsidR="00552EC5" w:rsidRPr="00552EC5" w:rsidRDefault="00552EC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I</w:t>
      </w:r>
      <w:r w:rsidRPr="00552EC5">
        <w:t>ntegrated system of highways throughout the transportation service region</w:t>
      </w:r>
      <w:r>
        <w:t xml:space="preserve"> (</w:t>
      </w:r>
      <w:proofErr w:type="spellStart"/>
      <w:r>
        <w:t>Translink</w:t>
      </w:r>
      <w:proofErr w:type="spellEnd"/>
      <w:r>
        <w:t>)</w:t>
      </w:r>
    </w:p>
  </w:footnote>
  <w:footnote w:id="2">
    <w:p w:rsidR="004D3B54" w:rsidRPr="004D3B54" w:rsidRDefault="004D3B5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Hundred (</w:t>
      </w:r>
      <w:r>
        <w:rPr>
          <w:lang w:val="en-US"/>
        </w:rPr>
        <w:t>100) block</w:t>
      </w:r>
      <w:r w:rsidR="00997B6A">
        <w:rPr>
          <w:lang w:val="en-US"/>
        </w:rPr>
        <w:t xml:space="preserve"> is an indication of the range of civic addresses contained along the street segment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270D8"/>
    <w:rsid w:val="00096680"/>
    <w:rsid w:val="00123DB1"/>
    <w:rsid w:val="00127E5A"/>
    <w:rsid w:val="00160618"/>
    <w:rsid w:val="0016699D"/>
    <w:rsid w:val="001D7028"/>
    <w:rsid w:val="001F5CF8"/>
    <w:rsid w:val="00280A19"/>
    <w:rsid w:val="002C4D64"/>
    <w:rsid w:val="0036112F"/>
    <w:rsid w:val="003D353B"/>
    <w:rsid w:val="0041538E"/>
    <w:rsid w:val="00461B82"/>
    <w:rsid w:val="004662D6"/>
    <w:rsid w:val="004A2A97"/>
    <w:rsid w:val="004A3649"/>
    <w:rsid w:val="004D3B54"/>
    <w:rsid w:val="00516968"/>
    <w:rsid w:val="00552EC5"/>
    <w:rsid w:val="005E73DA"/>
    <w:rsid w:val="00626BA7"/>
    <w:rsid w:val="006E7D91"/>
    <w:rsid w:val="00733BE7"/>
    <w:rsid w:val="0077782D"/>
    <w:rsid w:val="007B6500"/>
    <w:rsid w:val="007C425A"/>
    <w:rsid w:val="0082247B"/>
    <w:rsid w:val="008E5D6D"/>
    <w:rsid w:val="00903769"/>
    <w:rsid w:val="00926E47"/>
    <w:rsid w:val="009332E5"/>
    <w:rsid w:val="00997B6A"/>
    <w:rsid w:val="00A6396A"/>
    <w:rsid w:val="00A849AA"/>
    <w:rsid w:val="00AD00FB"/>
    <w:rsid w:val="00B07F30"/>
    <w:rsid w:val="00B43614"/>
    <w:rsid w:val="00BD16AE"/>
    <w:rsid w:val="00BF00ED"/>
    <w:rsid w:val="00C21590"/>
    <w:rsid w:val="00D0789B"/>
    <w:rsid w:val="00D17456"/>
    <w:rsid w:val="00D52EE1"/>
    <w:rsid w:val="00DC08F0"/>
    <w:rsid w:val="00F8253E"/>
    <w:rsid w:val="00FD5454"/>
    <w:rsid w:val="00FE5119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3B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3B54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4D3B5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3B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3B54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4D3B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851">
          <w:marLeft w:val="0"/>
          <w:marRight w:val="0"/>
          <w:marTop w:val="0"/>
          <w:marBottom w:val="0"/>
          <w:divBdr>
            <w:top w:val="single" w:sz="6" w:space="0" w:color="999999"/>
            <w:left w:val="none" w:sz="0" w:space="20" w:color="auto"/>
            <w:bottom w:val="none" w:sz="0" w:space="6" w:color="auto"/>
            <w:right w:val="none" w:sz="0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1EAA7-EA84-4A59-A656-063C2258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Lindsay Kelly</cp:lastModifiedBy>
  <cp:revision>7</cp:revision>
  <dcterms:created xsi:type="dcterms:W3CDTF">2018-08-14T22:48:00Z</dcterms:created>
  <dcterms:modified xsi:type="dcterms:W3CDTF">2018-09-06T21:24:00Z</dcterms:modified>
</cp:coreProperties>
</file>