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92053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92053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92053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rFonts w:hint="eastAsia"/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  <w:rPr>
          <w:rFonts w:hint="eastAsia"/>
        </w:rPr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  <w:rPr>
          <w:rFonts w:hint="eastAsia"/>
        </w:rPr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  <w:rPr>
          <w:rFonts w:hint="eastAsia"/>
        </w:rPr>
      </w:pPr>
    </w:p>
    <w:p w:rsidR="00AF4F1D" w:rsidRDefault="00C643B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rFonts w:hint="eastAsia"/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rFonts w:hint="eastAsia"/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</w:t>
      </w:r>
      <w:bookmarkStart w:id="0" w:name="_GoBack"/>
      <w:bookmarkEnd w:id="0"/>
      <w:r w:rsidR="00105DF8">
        <w:rPr>
          <w:rFonts w:hint="eastAsia"/>
        </w:rPr>
        <w:t>존 라이브러리 사용</w:t>
      </w:r>
    </w:p>
    <w:p w:rsidR="00105DF8" w:rsidRDefault="00105DF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rFonts w:hint="eastAsia"/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rFonts w:hint="eastAsia"/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  <w:rPr>
          <w:rFonts w:hint="eastAsia"/>
        </w:rPr>
      </w:pPr>
    </w:p>
    <w:p w:rsidR="00641C6A" w:rsidRPr="004F17BE" w:rsidRDefault="00641C6A">
      <w:pPr>
        <w:widowControl/>
        <w:wordWrap/>
        <w:autoSpaceDE/>
        <w:autoSpaceDN/>
        <w:rPr>
          <w:rFonts w:hint="eastAsia"/>
        </w:rPr>
      </w:pPr>
    </w:p>
    <w:p w:rsidR="00ED0669" w:rsidRDefault="00ED0669">
      <w:pPr>
        <w:widowControl/>
        <w:wordWrap/>
        <w:autoSpaceDE/>
        <w:autoSpaceDN/>
        <w:rPr>
          <w:rFonts w:hint="eastAsia"/>
        </w:rPr>
      </w:pPr>
    </w:p>
    <w:p w:rsidR="00832534" w:rsidRPr="006B1518" w:rsidRDefault="00832534">
      <w:pPr>
        <w:widowControl/>
        <w:wordWrap/>
        <w:autoSpaceDE/>
        <w:autoSpaceDN/>
        <w:rPr>
          <w:rFonts w:hint="eastAsia"/>
        </w:rPr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53" w:rsidRDefault="00292053" w:rsidP="00231E5F">
      <w:pPr>
        <w:spacing w:after="0" w:line="240" w:lineRule="auto"/>
      </w:pPr>
      <w:r>
        <w:separator/>
      </w:r>
    </w:p>
  </w:endnote>
  <w:endnote w:type="continuationSeparator" w:id="0">
    <w:p w:rsidR="00292053" w:rsidRDefault="00292053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53" w:rsidRDefault="00292053" w:rsidP="00231E5F">
      <w:pPr>
        <w:spacing w:after="0" w:line="240" w:lineRule="auto"/>
      </w:pPr>
      <w:r>
        <w:separator/>
      </w:r>
    </w:p>
  </w:footnote>
  <w:footnote w:type="continuationSeparator" w:id="0">
    <w:p w:rsidR="00292053" w:rsidRDefault="00292053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190"/>
    <w:rsid w:val="000236A4"/>
    <w:rsid w:val="00025154"/>
    <w:rsid w:val="000266BC"/>
    <w:rsid w:val="00026A7D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D730A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6234"/>
    <w:rsid w:val="00247857"/>
    <w:rsid w:val="00250477"/>
    <w:rsid w:val="002505DF"/>
    <w:rsid w:val="0025239E"/>
    <w:rsid w:val="00253528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0CB3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D76C7"/>
    <w:rsid w:val="003E0B59"/>
    <w:rsid w:val="003E1233"/>
    <w:rsid w:val="003E15C6"/>
    <w:rsid w:val="003E1FC5"/>
    <w:rsid w:val="003E270B"/>
    <w:rsid w:val="003E339D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67B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277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C6A"/>
    <w:rsid w:val="00642A4C"/>
    <w:rsid w:val="00642F06"/>
    <w:rsid w:val="00643369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77A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518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441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37B2A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F94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22F"/>
    <w:rsid w:val="007E5FD1"/>
    <w:rsid w:val="007E62AC"/>
    <w:rsid w:val="007E6832"/>
    <w:rsid w:val="007F0382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BEB"/>
    <w:rsid w:val="0082034F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7A3B"/>
    <w:rsid w:val="00970E03"/>
    <w:rsid w:val="00971D15"/>
    <w:rsid w:val="0097225D"/>
    <w:rsid w:val="00972262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46F5F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4EAA"/>
    <w:rsid w:val="00B05598"/>
    <w:rsid w:val="00B0635F"/>
    <w:rsid w:val="00B076C7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3F93"/>
    <w:rsid w:val="00BE43C7"/>
    <w:rsid w:val="00BE4825"/>
    <w:rsid w:val="00BE4A50"/>
    <w:rsid w:val="00BE4AAE"/>
    <w:rsid w:val="00BE506F"/>
    <w:rsid w:val="00BE5CF1"/>
    <w:rsid w:val="00BE5D3F"/>
    <w:rsid w:val="00BE60E3"/>
    <w:rsid w:val="00BE717E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2E6"/>
    <w:rsid w:val="00C80454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527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73E"/>
    <w:rsid w:val="00D93DA0"/>
    <w:rsid w:val="00D95565"/>
    <w:rsid w:val="00D969BE"/>
    <w:rsid w:val="00D972B0"/>
    <w:rsid w:val="00DA0222"/>
    <w:rsid w:val="00DA1887"/>
    <w:rsid w:val="00DA1A12"/>
    <w:rsid w:val="00DA1F1C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0BF5"/>
    <w:rsid w:val="00E22675"/>
    <w:rsid w:val="00E25182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1E3"/>
    <w:rsid w:val="00EA12EA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C27"/>
    <w:rsid w:val="00F509A3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DDE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14E0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77A35A-D2A4-4177-9F4C-15B71577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182C5-078B-403E-A00F-F6BEC717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16933</TotalTime>
  <Pages>154</Pages>
  <Words>16335</Words>
  <Characters>93116</Characters>
  <Application>Microsoft Office Word</Application>
  <DocSecurity>0</DocSecurity>
  <Lines>775</Lines>
  <Paragraphs>218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3844</cp:revision>
  <dcterms:created xsi:type="dcterms:W3CDTF">2018-11-12T13:22:00Z</dcterms:created>
  <dcterms:modified xsi:type="dcterms:W3CDTF">2019-01-21T13:33:00Z</dcterms:modified>
</cp:coreProperties>
</file>