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B67BD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B67BD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B67BD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2B67BD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2B67BD">
      <w:pPr>
        <w:widowControl/>
        <w:wordWrap/>
        <w:autoSpaceDE/>
        <w:autoSpaceDN/>
      </w:pPr>
      <w:hyperlink r:id="rId33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  <w:rPr>
          <w:rFonts w:hint="eastAsia"/>
        </w:rPr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  <w:rPr>
          <w:rFonts w:hint="eastAsia"/>
        </w:rPr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bookmarkStart w:id="0" w:name="_GoBack"/>
      <w:bookmarkEnd w:id="0"/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927A7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BD" w:rsidRDefault="002B67BD" w:rsidP="00231E5F">
      <w:pPr>
        <w:spacing w:after="0" w:line="240" w:lineRule="auto"/>
      </w:pPr>
      <w:r>
        <w:separator/>
      </w:r>
    </w:p>
  </w:endnote>
  <w:endnote w:type="continuationSeparator" w:id="0">
    <w:p w:rsidR="002B67BD" w:rsidRDefault="002B67B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BD" w:rsidRDefault="002B67BD" w:rsidP="00231E5F">
      <w:pPr>
        <w:spacing w:after="0" w:line="240" w:lineRule="auto"/>
      </w:pPr>
      <w:r>
        <w:separator/>
      </w:r>
    </w:p>
  </w:footnote>
  <w:footnote w:type="continuationSeparator" w:id="0">
    <w:p w:rsidR="002B67BD" w:rsidRDefault="002B67B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15D"/>
    <w:rsid w:val="000E72D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761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AB5DC4-DAD3-4939-ADEE-B2CFC2FE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avahungry.blogspot.com/2018/11/difference-between-enummap-and-hashmap-in-java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53C8A-104A-4E2D-9A0A-A37E21A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19372</TotalTime>
  <Pages>189</Pages>
  <Words>18830</Words>
  <Characters>107331</Characters>
  <Application>Microsoft Office Word</Application>
  <DocSecurity>0</DocSecurity>
  <Lines>894</Lines>
  <Paragraphs>251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4636</cp:revision>
  <dcterms:created xsi:type="dcterms:W3CDTF">2018-11-12T13:22:00Z</dcterms:created>
  <dcterms:modified xsi:type="dcterms:W3CDTF">2019-02-18T11:40:00Z</dcterms:modified>
</cp:coreProperties>
</file>