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1D00A771"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FF66AD">
        <w:rPr>
          <w:b/>
        </w:rPr>
        <w:t>Major Event Security Management</w:t>
      </w:r>
    </w:p>
    <w:p w14:paraId="58E59548" w14:textId="77777777" w:rsidR="00D269A3" w:rsidRPr="0048615B" w:rsidRDefault="00D269A3" w:rsidP="00D269A3">
      <w:pPr>
        <w:tabs>
          <w:tab w:val="left" w:pos="426"/>
          <w:tab w:val="left" w:pos="1701"/>
          <w:tab w:val="left" w:pos="2127"/>
        </w:tabs>
        <w:rPr>
          <w:b/>
          <w:sz w:val="20"/>
        </w:rPr>
      </w:pPr>
    </w:p>
    <w:p w14:paraId="7A9CDD1E" w14:textId="34388784" w:rsidR="00D269A3" w:rsidRDefault="00D269A3" w:rsidP="00D269A3">
      <w:pPr>
        <w:tabs>
          <w:tab w:val="left" w:pos="426"/>
          <w:tab w:val="left" w:pos="1701"/>
          <w:tab w:val="left" w:pos="2127"/>
        </w:tabs>
      </w:pPr>
      <w:r>
        <w:rPr>
          <w:b/>
        </w:rPr>
        <w:tab/>
      </w:r>
      <w:r>
        <w:t>DATE</w:t>
      </w:r>
      <w:r>
        <w:tab/>
        <w:t>:</w:t>
      </w:r>
      <w:r>
        <w:tab/>
      </w:r>
      <w:r w:rsidR="0059640D">
        <w:t xml:space="preserve">November </w:t>
      </w:r>
      <w:r w:rsidR="00FF66AD">
        <w:t>30</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66C332F9"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 xml:space="preserve">November </w:t>
      </w:r>
      <w:r w:rsidR="00FF66AD">
        <w:t>30</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3C24D553"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w:t>
      </w:r>
      <w:r w:rsidR="00FF66AD">
        <w:rPr>
          <w:color w:val="000000"/>
        </w:rPr>
        <w:t>the ELP Activity</w:t>
      </w:r>
      <w:r w:rsidR="0059640D">
        <w:rPr>
          <w:color w:val="000000"/>
        </w:rPr>
        <w:t xml:space="preserve"> on November </w:t>
      </w:r>
      <w:r w:rsidR="00FF66AD">
        <w:rPr>
          <w:color w:val="000000"/>
        </w:rPr>
        <w:t>30</w:t>
      </w:r>
      <w:r w:rsidR="00F436BD">
        <w:rPr>
          <w:color w:val="000000"/>
        </w:rPr>
        <w:t xml:space="preserve">, </w:t>
      </w:r>
      <w:r w:rsidR="0059640D">
        <w:rPr>
          <w:color w:val="000000"/>
        </w:rPr>
        <w:t>2022,</w:t>
      </w:r>
      <w:r w:rsidR="00F436BD">
        <w:rPr>
          <w:color w:val="000000"/>
        </w:rPr>
        <w:t xml:space="preserve"> at the PNPA </w:t>
      </w:r>
      <w:r w:rsidR="0059640D">
        <w:rPr>
          <w:color w:val="000000"/>
        </w:rPr>
        <w:t>Heroes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7D16DF61"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77503">
        <w:rPr>
          <w:b/>
          <w:bCs/>
        </w:rPr>
        <w:t>KENNETH B. GAKO</w:t>
      </w:r>
      <w:r w:rsidR="00A60255">
        <w:rPr>
          <w:b/>
          <w:bCs/>
        </w:rPr>
        <w:t xml:space="preserve"> </w:t>
      </w:r>
      <w:r w:rsidR="00477503">
        <w:rPr>
          <w:b/>
          <w:bCs/>
        </w:rPr>
        <w:t xml:space="preserve">         </w:t>
      </w:r>
      <w:r w:rsidR="00A60255">
        <w:rPr>
          <w:b/>
          <w:bCs/>
        </w:rPr>
        <w:tab/>
        <w:t>C-23</w:t>
      </w:r>
      <w:r w:rsidR="00477503">
        <w:rPr>
          <w:b/>
          <w:bCs/>
        </w:rPr>
        <w:t>114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14B08B9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477503">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71B59EBA" w:rsidR="003748D1" w:rsidRPr="00A66733" w:rsidRDefault="00FF66A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Major Event Security Management</w:t>
      </w:r>
    </w:p>
    <w:p w14:paraId="2B458093" w14:textId="7676F0C0"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November </w:t>
      </w:r>
      <w:r w:rsidR="00FF66AD">
        <w:rPr>
          <w:i/>
          <w:color w:val="000000"/>
        </w:rPr>
        <w:t>30</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62295E14" w14:textId="3D97E561" w:rsidR="00FF66AD" w:rsidRDefault="00477503" w:rsidP="00B105D3">
      <w:pPr>
        <w:ind w:firstLine="720"/>
        <w:jc w:val="both"/>
        <w:rPr>
          <w:lang w:val="en-US"/>
        </w:rPr>
      </w:pPr>
      <w:r w:rsidRPr="00477503">
        <w:rPr>
          <w:lang w:val="en-US"/>
        </w:rPr>
        <w:t>The creation of a statement of goals for event security must be a part of the planning process. Planning must be done in cooperation with those event planners since these objectives must not clash with or obstruct the goals of the event itself. The best way to accomplish this is via a security management committee. The security management committee should list all potential approaches to achieving its goals after determining what they are.</w:t>
      </w:r>
    </w:p>
    <w:p w14:paraId="49FA6E24" w14:textId="77777777" w:rsidR="00477503" w:rsidRDefault="00477503" w:rsidP="00B105D3">
      <w:pPr>
        <w:ind w:firstLine="720"/>
        <w:jc w:val="both"/>
        <w:rPr>
          <w:lang w:val="en-US"/>
        </w:rPr>
      </w:pPr>
      <w:r w:rsidRPr="00477503">
        <w:rPr>
          <w:lang w:val="en-US"/>
        </w:rPr>
        <w:t xml:space="preserve">The security management committee must constantly recognize and assess factors that could advance or obstruct its objectives. Organization is the process of assigning all managerial resources to predetermined goals. Security managers must encourage cooperation across the organizations involved in security in order to ensure that the actions of the autonomous departments are suitably linked. Resource availability is a serious security concern. Security managers should compare the number of police officers present in the participating law enforcement agencies to ascertain the number of policemen they will need. The location and operating personnel for the security operations center are two of the most crucial decisions the security management committee makes while planning a multijurisdictional </w:t>
      </w:r>
      <w:proofErr w:type="spellStart"/>
      <w:r w:rsidRPr="00477503">
        <w:rPr>
          <w:lang w:val="en-US"/>
        </w:rPr>
        <w:t>event.</w:t>
      </w:r>
    </w:p>
    <w:p w14:paraId="4F22E7F9" w14:textId="2CAE3AEA" w:rsidR="00FF66AD" w:rsidRPr="00A60255" w:rsidRDefault="00477503" w:rsidP="00B105D3">
      <w:pPr>
        <w:ind w:firstLine="720"/>
        <w:jc w:val="both"/>
        <w:rPr>
          <w:lang w:val="en-US"/>
        </w:rPr>
      </w:pPr>
      <w:proofErr w:type="spellEnd"/>
      <w:r w:rsidRPr="00477503">
        <w:rPr>
          <w:lang w:val="en-US"/>
        </w:rPr>
        <w:t>Communication is the key to coordinating a multijurisdictional operation, and intelligence operations must focus on acquiring and analyzing all information related to potential threats to the safety of participants in the event. A security handbook must be used to convey the decisions and guidelines of the security management committee to individuals responsible for carrying them out.</w:t>
      </w:r>
    </w:p>
    <w:sectPr w:rsidR="00FF66AD"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77503"/>
    <w:rsid w:val="004B55B5"/>
    <w:rsid w:val="004B575E"/>
    <w:rsid w:val="004C3BE5"/>
    <w:rsid w:val="004D0ABC"/>
    <w:rsid w:val="005609C5"/>
    <w:rsid w:val="0059640D"/>
    <w:rsid w:val="00596A4C"/>
    <w:rsid w:val="00597B9F"/>
    <w:rsid w:val="005F4CF7"/>
    <w:rsid w:val="006845D2"/>
    <w:rsid w:val="006C36D1"/>
    <w:rsid w:val="007C2B7F"/>
    <w:rsid w:val="007D2476"/>
    <w:rsid w:val="008B2BB6"/>
    <w:rsid w:val="008C478B"/>
    <w:rsid w:val="00995A0F"/>
    <w:rsid w:val="0099709A"/>
    <w:rsid w:val="00A470A7"/>
    <w:rsid w:val="00A60255"/>
    <w:rsid w:val="00A66733"/>
    <w:rsid w:val="00A73EB5"/>
    <w:rsid w:val="00B105D3"/>
    <w:rsid w:val="00B525FD"/>
    <w:rsid w:val="00D269A3"/>
    <w:rsid w:val="00D647A0"/>
    <w:rsid w:val="00DD1BE8"/>
    <w:rsid w:val="00E544C2"/>
    <w:rsid w:val="00F436BD"/>
    <w:rsid w:val="00F448DD"/>
    <w:rsid w:val="00FA3E32"/>
    <w:rsid w:val="00FF5340"/>
    <w:rsid w:val="00FF66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2022-11-30T14:39:00Z</dcterms:created>
  <dcterms:modified xsi:type="dcterms:W3CDTF">2022-12-17T01:19:00Z</dcterms:modified>
</cp:coreProperties>
</file>