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" w:hAnsi="Aptos" w:eastAsia="Microsoft YaHei"/>
          <w:b/>
          <w:color w:val="0C2D52"/>
          <w:sz w:val="48"/>
        </w:rPr>
        <w:t>Python for AI Research</w:t>
      </w:r>
    </w:p>
    <w:p>
      <w:pPr>
        <w:spacing w:after="100"/>
        <w:jc w:val="center"/>
      </w:pPr>
      <w:r>
        <w:rPr>
          <w:rFonts w:ascii="Aptos" w:hAnsi="Aptos" w:eastAsia="Microsoft YaHei"/>
          <w:b/>
          <w:color w:val="0F9DB0"/>
          <w:sz w:val="24"/>
        </w:rPr>
        <w:t>Kaggle项目驱动 · 每次120分钟/35页 · 4个Stage · Draft Paper成果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10656"/>
      </w:tblGrid>
      <w:tr>
        <w:tc>
          <w:tcPr>
            <w:tcW w:type="dxa" w:w="10656"/>
            <w:tcMar>
              <w:top w:w="60" w:type="dxa"/>
              <w:start w:w="90" w:type="dxa"/>
              <w:bottom w:w="60" w:type="dxa"/>
              <w:end w:w="90" w:type="dxa"/>
            </w:tcMar>
            <w:shd w:fill="0C2D52"/>
          </w:tcPr>
          <w:p>
            <w:pPr>
              <w:spacing w:after="0" w:line="252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课程定位：学生从教师审核的Kaggle表格数据中选题，以共同Python技术骨架完成可复现项目和4–6页论文初稿。</w:t>
            </w:r>
          </w:p>
        </w:tc>
      </w:tr>
    </w:tbl>
    <w:p>
      <w:pPr>
        <w:spacing w:before="100" w:after="80"/>
      </w:pPr>
      <w:r>
        <w:rPr>
          <w:rFonts w:ascii="Aptos" w:hAnsi="Aptos" w:eastAsia="Microsoft YaHei"/>
          <w:b/>
          <w:color w:val="1769C0"/>
          <w:sz w:val="30"/>
        </w:rPr>
        <w:t>15节课程与项目Stage</w:t>
      </w:r>
    </w:p>
    <w:tbl>
      <w:tblPr>
        <w:tblStyle w:val="TableGrid"/>
        <w:tblW w:type="dxa" w:w="10656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720"/>
        <w:gridCol w:w="4752"/>
        <w:gridCol w:w="5184"/>
      </w:tblGrid>
      <w:tr>
        <w:tc>
          <w:tcPr>
            <w:tcW w:type="dxa" w:w="720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课次</w:t>
            </w:r>
          </w:p>
        </w:tc>
        <w:tc>
          <w:tcPr>
            <w:tcW w:type="dxa" w:w="4752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课程内容</w:t>
            </w:r>
          </w:p>
        </w:tc>
        <w:tc>
          <w:tcPr>
            <w:tcW w:type="dxa" w:w="5184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当堂/阶段产出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1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Kaggle、Notebook与Python入门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项目Notebook v0</w:t>
            </w:r>
          </w:p>
        </w:tc>
      </w:tr>
      <w:tr>
        <w:tc>
          <w:tcPr>
            <w:tcW w:type="dxa" w:w="720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2</w:t>
            </w:r>
          </w:p>
        </w:tc>
        <w:tc>
          <w:tcPr>
            <w:tcW w:type="dxa" w:w="4752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条件、循环与数据质量</w:t>
            </w:r>
          </w:p>
        </w:tc>
        <w:tc>
          <w:tcPr>
            <w:tcW w:type="dxa" w:w="5184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数据检查规则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3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函数、list与dict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Stage 1项目卡模板</w:t>
            </w:r>
          </w:p>
        </w:tc>
      </w:tr>
      <w:tr>
        <w:tc>
          <w:tcPr>
            <w:tcW w:type="dxa" w:w="720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4</w:t>
            </w:r>
          </w:p>
        </w:tc>
        <w:tc>
          <w:tcPr>
            <w:tcW w:type="dxa" w:w="4752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STAGE 1：Kaggle选题与项目启动</w:t>
            </w:r>
          </w:p>
        </w:tc>
        <w:tc>
          <w:tcPr>
            <w:tcW w:type="dxa" w:w="5184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问题、许可、数据字典、Notebook v1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5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pandas读取、查看与筛选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Data Overview</w:t>
            </w:r>
          </w:p>
        </w:tc>
      </w:tr>
      <w:tr>
        <w:tc>
          <w:tcPr>
            <w:tcW w:type="dxa" w:w="720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6</w:t>
            </w:r>
          </w:p>
        </w:tc>
        <w:tc>
          <w:tcPr>
            <w:tcW w:type="dxa" w:w="4752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数据清洗与决策日志</w:t>
            </w:r>
          </w:p>
        </w:tc>
        <w:tc>
          <w:tcPr>
            <w:tcW w:type="dxa" w:w="5184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clean.csv与cleaning_log.csv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7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可视化、简单统计与数据观察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三张图和三条观察</w:t>
            </w:r>
          </w:p>
        </w:tc>
      </w:tr>
      <w:tr>
        <w:tc>
          <w:tcPr>
            <w:tcW w:type="dxa" w:w="720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8</w:t>
            </w:r>
          </w:p>
        </w:tc>
        <w:tc>
          <w:tcPr>
            <w:tcW w:type="dxa" w:w="4752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STAGE 2：数据处理与EDA检查点</w:t>
            </w:r>
          </w:p>
        </w:tc>
        <w:tc>
          <w:tcPr>
            <w:tcW w:type="dxa" w:w="5184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清洁数据、EDA、修订后的问题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9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特征、目标、训练集与Baseline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DummyRegressor与baseline MAE</w:t>
            </w:r>
          </w:p>
        </w:tc>
      </w:tr>
      <w:tr>
        <w:tc>
          <w:tcPr>
            <w:tcW w:type="dxa" w:w="720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10</w:t>
            </w:r>
          </w:p>
        </w:tc>
        <w:tc>
          <w:tcPr>
            <w:tcW w:type="dxa" w:w="4752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一个简单模型：线性回归</w:t>
            </w:r>
          </w:p>
        </w:tc>
        <w:tc>
          <w:tcPr>
            <w:tcW w:type="dxa" w:w="5184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LinearRegression预测结果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11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MAE、错误分析与公平比较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模型评价表和错误分析</w:t>
            </w:r>
          </w:p>
        </w:tc>
      </w:tr>
      <w:tr>
        <w:tc>
          <w:tcPr>
            <w:tcW w:type="dxa" w:w="720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12</w:t>
            </w:r>
          </w:p>
        </w:tc>
        <w:tc>
          <w:tcPr>
            <w:tcW w:type="dxa" w:w="4752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STAGE 3：建模与结果检查点</w:t>
            </w:r>
          </w:p>
        </w:tc>
        <w:tc>
          <w:tcPr>
            <w:tcW w:type="dxa" w:w="5184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可复现模型证据包</w:t>
            </w:r>
          </w:p>
        </w:tc>
      </w:tr>
      <w:tr>
        <w:tc>
          <w:tcPr>
            <w:tcW w:type="dxa" w:w="7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13</w:t>
            </w:r>
          </w:p>
        </w:tc>
        <w:tc>
          <w:tcPr>
            <w:tcW w:type="dxa" w:w="4752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从代码到Method与Results</w:t>
            </w:r>
          </w:p>
        </w:tc>
        <w:tc>
          <w:tcPr>
            <w:tcW w:type="dxa" w:w="5184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Method、Results、Limitations初稿</w:t>
            </w:r>
          </w:p>
        </w:tc>
      </w:tr>
      <w:tr>
        <w:tc>
          <w:tcPr>
            <w:tcW w:type="dxa" w:w="720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14</w:t>
            </w:r>
          </w:p>
        </w:tc>
        <w:tc>
          <w:tcPr>
            <w:tcW w:type="dxa" w:w="4752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Draft Paper写作工作坊</w:t>
            </w:r>
          </w:p>
        </w:tc>
        <w:tc>
          <w:tcPr>
            <w:tcW w:type="dxa" w:w="5184"/>
            <w:vAlign w:val="center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 w:val="0"/>
                <w:color w:val="21303F"/>
                <w:sz w:val="15"/>
              </w:rPr>
              <w:t>4–6页Draft Paper v1与PPT初稿</w:t>
            </w:r>
          </w:p>
        </w:tc>
      </w:tr>
      <w:tr>
        <w:tc>
          <w:tcPr>
            <w:tcW w:type="dxa" w:w="720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15</w:t>
            </w:r>
          </w:p>
        </w:tc>
        <w:tc>
          <w:tcPr>
            <w:tcW w:type="dxa" w:w="4752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Stage 4：Draft Paper展示与AI论文课衔接</w:t>
            </w:r>
          </w:p>
        </w:tc>
        <w:tc>
          <w:tcPr>
            <w:tcW w:type="dxa" w:w="5184"/>
            <w:vAlign w:val="center"/>
            <w:shd w:fill="D9EEF1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ptos" w:hAnsi="Aptos" w:eastAsia="Microsoft YaHei"/>
                <w:b/>
                <w:color w:val="0C2D52"/>
                <w:sz w:val="15"/>
              </w:rPr>
              <w:t>Draft Paper v2、Notebook、PPT、修改清单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1. 专业课程定位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目标人群：8–12年级高中生、Python初学者和AI科研入门学生。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核心承诺：完成可信、可解释、可继续修改的研究初稿，不承诺在15节课内正式发表。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技术边界：第一期统一使用结构化表格回归、DummyRegressor、LinearRegression和MAE。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个性化方式：学生选择主题；教师审核数据、目标变量、模型类型和代码骨架。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课程衔接：后续AI论文课继续完成文献综述、实验强化、引用、学术语言和多轮修改。</w:t>
      </w:r>
    </w:p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2. 课程节奏与评价</w:t>
      </w:r>
    </w:p>
    <w:p>
      <w:pPr>
        <w:spacing w:after="80" w:line="269" w:lineRule="auto"/>
      </w:pPr>
      <w:r>
        <w:rPr>
          <w:rFonts w:ascii="Aptos" w:hAnsi="Aptos" w:eastAsia="Microsoft YaHei"/>
          <w:b w:val="0"/>
          <w:color w:val="21303F"/>
          <w:sz w:val="20"/>
        </w:rPr>
        <w:t>每节120分钟：0–10分钟目标与热身；10–30分钟概念；30–50分钟演示与追踪；50–70分钟两轮跟做；70–75分钟短休息；75–105分钟Kaggle项目工作室，其中约20分钟学生独立操作、约10分钟教师巡检/个别反馈/统一纠错；105–120分钟证据检查、提交和Exit Ticket。</w:t>
      </w:r>
    </w:p>
    <w:p>
      <w:pPr>
        <w:spacing w:after="80" w:line="269" w:lineRule="auto"/>
      </w:pPr>
      <w:r>
        <w:rPr>
          <w:rFonts w:ascii="Aptos" w:hAnsi="Aptos" w:eastAsia="Microsoft YaHei"/>
          <w:b w:val="0"/>
          <w:color w:val="21303F"/>
          <w:sz w:val="19"/>
        </w:rPr>
        <w:t>知识课使用概念—演示—追踪—两轮练习—调试—项目—Notebook整理—论文证据模板。第4、8、12、15课使用Stage检查模板，可将概念页替换为研究问题检查、学生代码解释、教师追问、修改记录和Stage Rubric；两类模板均保持33–37页及稳定的中英页面ID。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Mar>
              <w:top w:w="60" w:type="dxa"/>
              <w:start w:w="90" w:type="dxa"/>
              <w:bottom w:w="60" w:type="dxa"/>
              <w:end w:w="9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8"/>
              </w:rPr>
              <w:t>35% 能运行</w:t>
            </w:r>
          </w:p>
        </w:tc>
        <w:tc>
          <w:tcPr>
            <w:tcW w:type="dxa" w:w="2664"/>
            <w:tcMar>
              <w:top w:w="60" w:type="dxa"/>
              <w:start w:w="90" w:type="dxa"/>
              <w:bottom w:w="60" w:type="dxa"/>
              <w:end w:w="90" w:type="dxa"/>
            </w:tcMar>
            <w:shd w:fill="D9EEF1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8"/>
              </w:rPr>
              <w:t>30% 能解释</w:t>
            </w:r>
          </w:p>
        </w:tc>
        <w:tc>
          <w:tcPr>
            <w:tcW w:type="dxa" w:w="2664"/>
            <w:tcMar>
              <w:top w:w="60" w:type="dxa"/>
              <w:start w:w="90" w:type="dxa"/>
              <w:bottom w:w="60" w:type="dxa"/>
              <w:end w:w="9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8"/>
              </w:rPr>
              <w:t>25% 有证据</w:t>
            </w:r>
          </w:p>
        </w:tc>
        <w:tc>
          <w:tcPr>
            <w:tcW w:type="dxa" w:w="2664"/>
            <w:tcMar>
              <w:top w:w="60" w:type="dxa"/>
              <w:start w:w="90" w:type="dxa"/>
              <w:bottom w:w="60" w:type="dxa"/>
              <w:end w:w="90" w:type="dxa"/>
            </w:tcMar>
            <w:shd w:fill="D9EEF1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0C2D52"/>
                <w:sz w:val="18"/>
              </w:rPr>
              <w:t>10% 结构清楚</w:t>
            </w:r>
          </w:p>
        </w:tc>
      </w:tr>
    </w:tbl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3. Kaggle候选登记表</w:t>
      </w:r>
    </w:p>
    <w:p>
      <w:pPr>
        <w:spacing w:after="80" w:line="269" w:lineRule="auto"/>
      </w:pPr>
      <w:r>
        <w:rPr>
          <w:rFonts w:ascii="Aptos" w:hAnsi="Aptos" w:eastAsia="Microsoft YaHei"/>
          <w:b w:val="0"/>
          <w:color w:val="21303F"/>
          <w:sz w:val="19"/>
        </w:rPr>
        <w:t>以下条目尚未成为正式白名单。每期开课前必须重新核对原始来源、发布者、许可证、文件名、大小、行列、字段、缺失值、隐私风险和核验日期；未知信息不得推测。</w:t>
      </w:r>
    </w:p>
    <w:tbl>
      <w:tblPr>
        <w:tblStyle w:val="TableGrid"/>
        <w:tblW w:type="dxa" w:w="10656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2700"/>
        <w:gridCol w:w="1800"/>
        <w:gridCol w:w="3456"/>
        <w:gridCol w:w="2700"/>
      </w:tblGrid>
      <w:tr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数据集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核验状态</w:t>
            </w:r>
          </w:p>
        </w:tc>
        <w:tc>
          <w:tcPr>
            <w:tcW w:type="dxa" w:w="3456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已知/未知</w:t>
            </w:r>
          </w:p>
        </w:tc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Kaggle URL</w:t>
            </w:r>
          </w:p>
        </w:tc>
      </w:tr>
      <w:tr>
        <w:tc>
          <w:tcPr>
            <w:tcW w:type="dxa" w:w="27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Student Performance (Multiple Linear Regression)</w:t>
            </w:r>
          </w:p>
        </w:tc>
        <w:tc>
          <w:tcPr>
            <w:tcW w:type="dxa" w:w="18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pending manual review</w:t>
            </w:r>
          </w:p>
        </w:tc>
        <w:tc>
          <w:tcPr>
            <w:tcW w:type="dxa" w:w="345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已知：作者、合成说明、10,000行、目标、许可说明；未知：CSV名/大小/缺失值</w:t>
            </w:r>
          </w:p>
        </w:tc>
        <w:tc>
          <w:tcPr>
            <w:tcW w:type="dxa" w:w="27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https://www.kaggle.com/datasets/nikhil7280/student-performance-multiple-linear-regression</w:t>
            </w:r>
          </w:p>
        </w:tc>
      </w:tr>
      <w:tr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Student Academic Performance Dataset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pending manual review</w:t>
            </w:r>
          </w:p>
        </w:tc>
        <w:tc>
          <w:tcPr>
            <w:tcW w:type="dxa" w:w="345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已知：250行、12列、CC0、CSV名、无缺失说明；未知：发布者显示名/精确字段/CSV大小</w:t>
            </w:r>
          </w:p>
        </w:tc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https://www.kaggle.com/datasets/aryancodes12fyds/student-academic-performance-dataset</w:t>
            </w:r>
          </w:p>
        </w:tc>
      </w:tr>
      <w:tr>
        <w:tc>
          <w:tcPr>
            <w:tcW w:type="dxa" w:w="27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Energy Consumption Dataset - Linear Regression</w:t>
            </w:r>
          </w:p>
        </w:tc>
        <w:tc>
          <w:tcPr>
            <w:tcW w:type="dxa" w:w="18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pending manual review</w:t>
            </w:r>
          </w:p>
        </w:tc>
        <w:tc>
          <w:tcPr>
            <w:tcW w:type="dxa" w:w="345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已知：作者、回归主题、CC BY 4.0；未知：来源/文件/规模/缺失值</w:t>
            </w:r>
          </w:p>
        </w:tc>
        <w:tc>
          <w:tcPr>
            <w:tcW w:type="dxa" w:w="270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https://www.kaggle.com/datasets/govindaramsriram/energy-consumption-dataset-linear-regression</w:t>
            </w:r>
          </w:p>
        </w:tc>
      </w:tr>
      <w:tr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Study Hours and Student Scores</w:t>
            </w:r>
          </w:p>
        </w:tc>
        <w:tc>
          <w:tcPr>
            <w:tcW w:type="dxa" w:w="18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pending manual review</w:t>
            </w:r>
          </w:p>
        </w:tc>
        <w:tc>
          <w:tcPr>
            <w:tcW w:type="dxa" w:w="345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已知：作者、100行、2列、随机生成、CC0；未知：CSV名/大小/缺失值</w:t>
            </w:r>
          </w:p>
        </w:tc>
        <w:tc>
          <w:tcPr>
            <w:tcW w:type="dxa" w:w="27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Microsoft YaHei"/>
                <w:b w:val="0"/>
                <w:color w:val="21303F"/>
                <w:sz w:val="13"/>
              </w:rPr>
              <w:t>https://www.kaggle.com/datasets/douaabennoune/study-hours-student-scores-for-linear-regression</w:t>
            </w:r>
          </w:p>
        </w:tc>
      </w:tr>
    </w:tbl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4. 风险控制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不接受学生临时更换为图像、文本、生物信息、化学或大型时间序列项目。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不把相关性、回归系数或低MAE描述为因果证明。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测试集不参与训练、特征选择、清洗决定或目标值填补；优先使用少量数值特征。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核心路径固定使用test_size=0.20、random_state=42、均值DummyRegressor、LinearRegression与MAE。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合成数据只能支持教学模拟结论，不能冒充真实世界研究发现。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SVM、XGBoost、深度学习和复杂调参只进入Challenge，不进入全班必修。</w:t>
      </w:r>
    </w:p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5. Draft Paper交付标准</w:t>
      </w:r>
    </w:p>
    <w:p>
      <w:pPr>
        <w:spacing w:after="80" w:line="269" w:lineRule="auto"/>
      </w:pPr>
      <w:r>
        <w:rPr>
          <w:rFonts w:ascii="Aptos" w:hAnsi="Aptos" w:eastAsia="Microsoft YaHei"/>
          <w:b w:val="0"/>
          <w:color w:val="21303F"/>
          <w:sz w:val="20"/>
        </w:rPr>
        <w:t>建议4–6页、约1500–2500字。论文内容必须与最终Kaggle Notebook中的代码、数字、表格和图表一致。</w:t>
      </w:r>
    </w:p>
    <w:tbl>
      <w:tblPr>
        <w:tblStyle w:val="TableGrid"/>
        <w:tblW w:type="dxa" w:w="10656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2520"/>
        <w:gridCol w:w="8136"/>
      </w:tblGrid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部分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  <w:shd w:fill="1769C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最低要求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Title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准确反映研究问题与目标变量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Abstract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问题、数据、方法、主要结果和限制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Introduction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背景、意义和研究问题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Dataset and Variables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Kaggle来源、许可证、访问日期、字段与目标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Data Processing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缺失、重复、类型和其他清洗决定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Method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特征、80/20拆分、random_state、Baseline、LinearRegression、MAE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Results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3–5张图、模型评价表和谨慎的证据陈述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Discussion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结果可能意味着什么，不夸大因果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Limitations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合成数据、样本、字段、模型和泛化边界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Conclusion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一句主要发现和下一步</w:t>
            </w:r>
          </w:p>
        </w:tc>
      </w:tr>
      <w:tr>
        <w:tc>
          <w:tcPr>
            <w:tcW w:type="dxa" w:w="2520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References</w:t>
            </w:r>
          </w:p>
        </w:tc>
        <w:tc>
          <w:tcPr>
            <w:tcW w:type="dxa" w:w="8136"/>
            <w:shd w:fill="F4F6F9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数据、资料和外部来源</w:t>
            </w:r>
          </w:p>
        </w:tc>
      </w:tr>
      <w:tr>
        <w:tc>
          <w:tcPr>
            <w:tcW w:type="dxa" w:w="252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Links</w:t>
            </w:r>
          </w:p>
        </w:tc>
        <w:tc>
          <w:tcPr>
            <w:tcW w:type="dxa" w:w="813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Kaggle Dataset与Notebook链接</w:t>
            </w:r>
          </w:p>
        </w:tc>
      </w:tr>
    </w:tbl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6. Stage Gate检查</w:t>
      </w:r>
    </w:p>
    <w:tbl>
      <w:tblPr>
        <w:tblStyle w:val="TableGrid"/>
        <w:tblW w:type="dxa" w:w="10656"/>
        <w:tblLayout w:type="fixed"/>
        <w:tblLook w:firstColumn="1" w:firstRow="1" w:lastColumn="0" w:lastRow="0" w:noHBand="0" w:noVBand="1" w:val="04A0"/>
        <w:jc w:val="center"/>
        <w:tblInd w:w="0" w:type="dxa"/>
      </w:tblPr>
      <w:tblGrid>
        <w:gridCol w:w="2160"/>
        <w:gridCol w:w="8496"/>
      </w:tblGrid>
      <w:tr>
        <w:tc>
          <w:tcPr>
            <w:tcW w:type="dxa" w:w="2160"/>
            <w:tcMar>
              <w:top w:w="60" w:type="dxa"/>
              <w:start w:w="90" w:type="dxa"/>
              <w:bottom w:w="60" w:type="dxa"/>
              <w:end w:w="90" w:type="dxa"/>
            </w:tcMar>
            <w:shd w:fill="0F9DB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检查点</w:t>
            </w:r>
          </w:p>
        </w:tc>
        <w:tc>
          <w:tcPr>
            <w:tcW w:type="dxa" w:w="8496"/>
            <w:tcMar>
              <w:top w:w="60" w:type="dxa"/>
              <w:start w:w="90" w:type="dxa"/>
              <w:bottom w:w="60" w:type="dxa"/>
              <w:end w:w="90" w:type="dxa"/>
            </w:tcMar>
            <w:shd w:fill="0F9DB0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通过条件</w:t>
            </w:r>
          </w:p>
        </w:tc>
      </w:tr>
      <w:tr>
        <w:tc>
          <w:tcPr>
            <w:tcW w:type="dxa" w:w="216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Stage 1</w:t>
            </w:r>
          </w:p>
        </w:tc>
        <w:tc>
          <w:tcPr>
            <w:tcW w:type="dxa" w:w="849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问题可检验；数据和许可已审核；目标字段存在；Notebook v1可运行</w:t>
            </w:r>
          </w:p>
        </w:tc>
      </w:tr>
      <w:tr>
        <w:tc>
          <w:tcPr>
            <w:tcW w:type="dxa" w:w="216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Stage 2</w:t>
            </w:r>
          </w:p>
        </w:tc>
        <w:tc>
          <w:tcPr>
            <w:tcW w:type="dxa" w:w="849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原始数据保留；清洗日志完整；三张图与研究问题一致</w:t>
            </w:r>
          </w:p>
        </w:tc>
      </w:tr>
      <w:tr>
        <w:tc>
          <w:tcPr>
            <w:tcW w:type="dxa" w:w="216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Stage 3</w:t>
            </w:r>
          </w:p>
        </w:tc>
        <w:tc>
          <w:tcPr>
            <w:tcW w:type="dxa" w:w="849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相同拆分公平比较；MAE数字正确；错误和限制已经说明</w:t>
            </w:r>
          </w:p>
        </w:tc>
      </w:tr>
      <w:tr>
        <w:tc>
          <w:tcPr>
            <w:tcW w:type="dxa" w:w="216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/>
                <w:color w:val="0C2D52"/>
                <w:sz w:val="17"/>
              </w:rPr>
              <w:t>Stage 4</w:t>
            </w:r>
          </w:p>
        </w:tc>
        <w:tc>
          <w:tcPr>
            <w:tcW w:type="dxa" w:w="849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 w:eastAsia="Microsoft YaHei"/>
                <w:b w:val="0"/>
                <w:color w:val="21303F"/>
                <w:sz w:val="17"/>
              </w:rPr>
              <w:t>Notebook从上到下运行；Draft Paper数字可追溯；PPT和修改清单齐全</w:t>
            </w:r>
          </w:p>
        </w:tc>
      </w:tr>
    </w:tbl>
    <w:p>
      <w:pPr>
        <w:spacing w:before="280" w:after="120"/>
      </w:pPr>
      <w:r>
        <w:rPr>
          <w:rFonts w:ascii="Aptos" w:hAnsi="Aptos" w:eastAsia="Microsoft YaHei"/>
          <w:b/>
          <w:color w:val="1769C0"/>
          <w:sz w:val="32"/>
        </w:rPr>
        <w:t>7. 后续AI论文课程交接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扩展并核对文献综述、引用与数据来源；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复查研究问题、特征选择和实验设计，并只在学生完全理解的前提下评估模型或实验改进；</w:t>
      </w:r>
    </w:p>
    <w:p>
      <w:pPr>
        <w:pStyle w:val="ListBullet"/>
        <w:spacing w:after="60" w:line="276" w:lineRule="auto"/>
      </w:pPr>
      <w:r>
        <w:rPr>
          <w:rFonts w:ascii="Aptos" w:hAnsi="Aptos" w:eastAsia="Microsoft YaHei"/>
          <w:b w:val="0"/>
          <w:color w:val="21303F"/>
          <w:sz w:val="20"/>
        </w:rPr>
        <w:t>根据教师反馈进行多轮结构与语言修改，最后再评估是否具备展示、竞赛、投稿或其他发表条件。</w:t>
      </w:r>
    </w:p>
    <w:sectPr w:rsidR="00FC693F" w:rsidRPr="0006063C" w:rsidSect="00034616">
      <w:footerReference w:type="default" r:id="rId9"/>
      <w:pgSz w:w="12240" w:h="15840"/>
      <w:pgMar w:top="792" w:right="792" w:bottom="792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5E7183"/>
        <w:sz w:val="16"/>
      </w:rPr>
      <w:t>MeritPoint Academy · Python for AI Research · Curriculum Outline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icrosoft YaHei" w:hAnsi="Microsoft YaHei" w:eastAsia="Microsoft YaHei"/>
      <w:color w:val="2130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