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F17B2" w14:textId="77777777" w:rsidR="00484DE1" w:rsidRDefault="00484DE1" w:rsidP="00787009">
      <w:pPr>
        <w:spacing w:after="0" w:line="480" w:lineRule="auto"/>
        <w:rPr>
          <w:rFonts w:ascii="Arial" w:hAnsi="Arial" w:cs="Arial"/>
          <w:b/>
          <w:bCs/>
        </w:rPr>
      </w:pPr>
    </w:p>
    <w:p w14:paraId="3CBD0358" w14:textId="4190E432" w:rsidR="00787009" w:rsidRPr="00DE0DDB" w:rsidRDefault="00787009" w:rsidP="00787009">
      <w:pPr>
        <w:spacing w:after="0" w:line="480" w:lineRule="auto"/>
        <w:rPr>
          <w:rFonts w:ascii="Arial" w:hAnsi="Arial" w:cs="Arial"/>
          <w:b/>
          <w:bCs/>
        </w:rPr>
      </w:pPr>
      <w:r w:rsidRPr="00DE0DDB">
        <w:rPr>
          <w:rFonts w:ascii="Arial" w:hAnsi="Arial" w:cs="Arial"/>
          <w:b/>
          <w:bCs/>
        </w:rPr>
        <w:t xml:space="preserve">Internet-delivered Cognitive </w:t>
      </w:r>
      <w:proofErr w:type="spellStart"/>
      <w:r w:rsidRPr="00DE0DDB">
        <w:rPr>
          <w:rFonts w:ascii="Arial" w:hAnsi="Arial" w:cs="Arial"/>
          <w:b/>
          <w:bCs/>
        </w:rPr>
        <w:t>Behavioral</w:t>
      </w:r>
      <w:proofErr w:type="spellEnd"/>
      <w:r w:rsidRPr="00DE0DDB">
        <w:rPr>
          <w:rFonts w:ascii="Arial" w:hAnsi="Arial" w:cs="Arial"/>
          <w:b/>
          <w:bCs/>
        </w:rPr>
        <w:t xml:space="preserve"> Therapy for Youth with Functional Abdominal Pain: A Randomized Clinical Trial </w:t>
      </w:r>
      <w:proofErr w:type="gramStart"/>
      <w:r w:rsidRPr="00DE0DDB">
        <w:rPr>
          <w:rFonts w:ascii="Arial" w:hAnsi="Arial" w:cs="Arial"/>
          <w:b/>
          <w:bCs/>
        </w:rPr>
        <w:t>testing</w:t>
      </w:r>
      <w:proofErr w:type="gramEnd"/>
      <w:r w:rsidRPr="00DE0DDB">
        <w:rPr>
          <w:rFonts w:ascii="Arial" w:hAnsi="Arial" w:cs="Arial"/>
          <w:b/>
          <w:bCs/>
        </w:rPr>
        <w:t xml:space="preserve"> Differential Efficacy by Patient Subgroup</w:t>
      </w:r>
    </w:p>
    <w:p w14:paraId="27F936A2" w14:textId="77777777" w:rsidR="00787009" w:rsidRPr="00DE0DDB" w:rsidRDefault="00787009" w:rsidP="00787009">
      <w:pPr>
        <w:spacing w:after="0" w:line="480" w:lineRule="auto"/>
        <w:rPr>
          <w:rFonts w:ascii="Arial" w:hAnsi="Arial" w:cs="Arial"/>
        </w:rPr>
      </w:pPr>
    </w:p>
    <w:p w14:paraId="0E14E538" w14:textId="633B4826" w:rsidR="00787009" w:rsidRPr="00DE0DDB" w:rsidRDefault="00787009" w:rsidP="00787009">
      <w:pPr>
        <w:spacing w:after="0" w:line="480" w:lineRule="auto"/>
        <w:rPr>
          <w:rFonts w:ascii="Arial" w:hAnsi="Arial" w:cs="Arial"/>
          <w:vertAlign w:val="superscript"/>
        </w:rPr>
      </w:pPr>
      <w:r w:rsidRPr="00DE0DDB">
        <w:rPr>
          <w:rFonts w:ascii="Arial" w:hAnsi="Arial" w:cs="Arial"/>
        </w:rPr>
        <w:t>Lynn S. Walker, PhD,</w:t>
      </w:r>
      <w:r w:rsidRPr="00DE0DDB">
        <w:rPr>
          <w:rFonts w:ascii="Arial" w:hAnsi="Arial" w:cs="Arial"/>
          <w:vertAlign w:val="superscript"/>
        </w:rPr>
        <w:t>1</w:t>
      </w:r>
      <w:r w:rsidRPr="00DE0DDB">
        <w:rPr>
          <w:rFonts w:ascii="Arial" w:hAnsi="Arial" w:cs="Arial"/>
        </w:rPr>
        <w:t xml:space="preserve"> Amanda L. Stone, PhD,</w:t>
      </w:r>
      <w:r w:rsidRPr="00DE0DDB">
        <w:rPr>
          <w:rFonts w:ascii="Arial" w:hAnsi="Arial" w:cs="Arial"/>
          <w:vertAlign w:val="superscript"/>
        </w:rPr>
        <w:t>2</w:t>
      </w:r>
      <w:r w:rsidRPr="00DE0DDB">
        <w:rPr>
          <w:rFonts w:ascii="Arial" w:hAnsi="Arial" w:cs="Arial"/>
        </w:rPr>
        <w:t xml:space="preserve"> Gloria T. Han, PhD,</w:t>
      </w:r>
      <w:r w:rsidRPr="00DE0DDB">
        <w:rPr>
          <w:rFonts w:ascii="Arial" w:hAnsi="Arial" w:cs="Arial"/>
          <w:vertAlign w:val="superscript"/>
        </w:rPr>
        <w:t>3</w:t>
      </w:r>
      <w:r w:rsidR="00E16FD4">
        <w:rPr>
          <w:rFonts w:ascii="Arial" w:hAnsi="Arial" w:cs="Arial"/>
          <w:vertAlign w:val="superscript"/>
        </w:rPr>
        <w:t>,4</w:t>
      </w:r>
      <w:r w:rsidRPr="00DE0DDB">
        <w:rPr>
          <w:rFonts w:ascii="Arial" w:hAnsi="Arial" w:cs="Arial"/>
        </w:rPr>
        <w:t xml:space="preserve"> Judy Garber, PhD,</w:t>
      </w:r>
      <w:r w:rsidR="00E16FD4">
        <w:rPr>
          <w:rFonts w:ascii="Arial" w:hAnsi="Arial" w:cs="Arial"/>
          <w:vertAlign w:val="superscript"/>
        </w:rPr>
        <w:t>5</w:t>
      </w:r>
      <w:r w:rsidRPr="00DE0DDB">
        <w:rPr>
          <w:rFonts w:ascii="Arial" w:hAnsi="Arial" w:cs="Arial"/>
        </w:rPr>
        <w:t xml:space="preserve"> Stephen Bruehl, PhD,</w:t>
      </w:r>
      <w:r w:rsidRPr="00DE0DDB">
        <w:rPr>
          <w:rFonts w:ascii="Arial" w:hAnsi="Arial" w:cs="Arial"/>
          <w:vertAlign w:val="superscript"/>
        </w:rPr>
        <w:t>2</w:t>
      </w:r>
      <w:r w:rsidRPr="00DE0DDB">
        <w:rPr>
          <w:rFonts w:ascii="Arial" w:hAnsi="Arial" w:cs="Arial"/>
        </w:rPr>
        <w:t xml:space="preserve"> Craig A. Smith, PhD,</w:t>
      </w:r>
      <w:r w:rsidR="00E16FD4">
        <w:rPr>
          <w:rFonts w:ascii="Arial" w:hAnsi="Arial" w:cs="Arial"/>
          <w:vertAlign w:val="superscript"/>
        </w:rPr>
        <w:t>5</w:t>
      </w:r>
      <w:r w:rsidRPr="00DE0DDB">
        <w:rPr>
          <w:rFonts w:ascii="Arial" w:hAnsi="Arial" w:cs="Arial"/>
        </w:rPr>
        <w:t xml:space="preserve"> Julia Anderson, MD,</w:t>
      </w:r>
      <w:r w:rsidRPr="00DE0DDB">
        <w:rPr>
          <w:rFonts w:ascii="Arial" w:hAnsi="Arial" w:cs="Arial"/>
          <w:vertAlign w:val="superscript"/>
        </w:rPr>
        <w:t>1</w:t>
      </w:r>
      <w:r w:rsidRPr="00DE0DDB">
        <w:rPr>
          <w:rFonts w:ascii="Arial" w:hAnsi="Arial" w:cs="Arial"/>
        </w:rPr>
        <w:t xml:space="preserve"> Tonya M. Palermo, PhD</w:t>
      </w:r>
      <w:r w:rsidRPr="00DE0DDB">
        <w:rPr>
          <w:rFonts w:ascii="Arial" w:hAnsi="Arial" w:cs="Arial"/>
          <w:vertAlign w:val="superscript"/>
        </w:rPr>
        <w:t>6</w:t>
      </w:r>
      <w:r w:rsidR="00E16FD4">
        <w:rPr>
          <w:rFonts w:ascii="Arial" w:hAnsi="Arial" w:cs="Arial"/>
          <w:vertAlign w:val="superscript"/>
        </w:rPr>
        <w:t>,7</w:t>
      </w:r>
    </w:p>
    <w:p w14:paraId="497CA536" w14:textId="77777777" w:rsidR="00787009" w:rsidRPr="00DE0DDB" w:rsidRDefault="00787009" w:rsidP="00787009">
      <w:pPr>
        <w:spacing w:after="0"/>
        <w:rPr>
          <w:rFonts w:ascii="Arial" w:hAnsi="Arial" w:cs="Arial"/>
        </w:rPr>
      </w:pPr>
    </w:p>
    <w:p w14:paraId="5FB8C4FD" w14:textId="22510C01" w:rsidR="00787009" w:rsidRPr="00DE0DDB" w:rsidRDefault="00787009" w:rsidP="00787009">
      <w:pPr>
        <w:spacing w:after="0" w:line="480" w:lineRule="auto"/>
        <w:rPr>
          <w:rFonts w:ascii="Arial" w:hAnsi="Arial" w:cs="Arial"/>
          <w:vertAlign w:val="superscript"/>
        </w:rPr>
      </w:pPr>
      <w:r w:rsidRPr="00DE0DDB">
        <w:rPr>
          <w:rFonts w:ascii="Arial" w:hAnsi="Arial" w:cs="Arial"/>
          <w:vertAlign w:val="superscript"/>
        </w:rPr>
        <w:t>1</w:t>
      </w:r>
      <w:r w:rsidRPr="00DE0DDB">
        <w:rPr>
          <w:rFonts w:ascii="Arial" w:hAnsi="Arial" w:cs="Arial"/>
        </w:rPr>
        <w:t xml:space="preserve">Department of Pediatrics, Vanderbilt University Medical </w:t>
      </w:r>
      <w:proofErr w:type="spellStart"/>
      <w:r w:rsidRPr="00DE0DDB">
        <w:rPr>
          <w:rFonts w:ascii="Arial" w:hAnsi="Arial" w:cs="Arial"/>
        </w:rPr>
        <w:t>Center</w:t>
      </w:r>
      <w:proofErr w:type="spellEnd"/>
      <w:r w:rsidRPr="00DE0DDB">
        <w:rPr>
          <w:rFonts w:ascii="Arial" w:hAnsi="Arial" w:cs="Arial"/>
        </w:rPr>
        <w:t>, Nashville, TN</w:t>
      </w:r>
    </w:p>
    <w:p w14:paraId="423516C4" w14:textId="3614AFBC" w:rsidR="00787009" w:rsidRPr="00DE0DDB" w:rsidRDefault="00787009" w:rsidP="00787009">
      <w:pPr>
        <w:spacing w:after="0" w:line="480" w:lineRule="auto"/>
        <w:rPr>
          <w:rFonts w:ascii="Arial" w:hAnsi="Arial" w:cs="Arial"/>
        </w:rPr>
      </w:pPr>
      <w:r w:rsidRPr="00DE0DDB">
        <w:rPr>
          <w:rFonts w:ascii="Arial" w:hAnsi="Arial" w:cs="Arial"/>
          <w:vertAlign w:val="superscript"/>
        </w:rPr>
        <w:t>2</w:t>
      </w:r>
      <w:r w:rsidRPr="00DE0DDB">
        <w:rPr>
          <w:rFonts w:ascii="Arial" w:hAnsi="Arial" w:cs="Arial"/>
        </w:rPr>
        <w:t xml:space="preserve">Department of Anesthesiology, Vanderbilt University Medical </w:t>
      </w:r>
      <w:proofErr w:type="spellStart"/>
      <w:r w:rsidRPr="00DE0DDB">
        <w:rPr>
          <w:rFonts w:ascii="Arial" w:hAnsi="Arial" w:cs="Arial"/>
        </w:rPr>
        <w:t>Center</w:t>
      </w:r>
      <w:proofErr w:type="spellEnd"/>
      <w:r w:rsidRPr="00DE0DDB">
        <w:rPr>
          <w:rFonts w:ascii="Arial" w:hAnsi="Arial" w:cs="Arial"/>
        </w:rPr>
        <w:t>, Nashville, TN</w:t>
      </w:r>
    </w:p>
    <w:p w14:paraId="73AB48D5" w14:textId="5436F3B7" w:rsidR="00E16FD4" w:rsidRPr="00E16FD4" w:rsidRDefault="00787009" w:rsidP="00787009">
      <w:pPr>
        <w:spacing w:after="0" w:line="480" w:lineRule="auto"/>
        <w:rPr>
          <w:rFonts w:ascii="Arial" w:hAnsi="Arial" w:cs="Arial"/>
        </w:rPr>
      </w:pPr>
      <w:r w:rsidRPr="00DE0DDB">
        <w:rPr>
          <w:rFonts w:ascii="Arial" w:hAnsi="Arial" w:cs="Arial"/>
          <w:vertAlign w:val="superscript"/>
        </w:rPr>
        <w:t>3</w:t>
      </w:r>
      <w:r w:rsidR="00E16FD4">
        <w:rPr>
          <w:rFonts w:ascii="Arial" w:hAnsi="Arial" w:cs="Arial"/>
        </w:rPr>
        <w:t xml:space="preserve">Child Study </w:t>
      </w:r>
      <w:proofErr w:type="spellStart"/>
      <w:r w:rsidR="00E16FD4">
        <w:rPr>
          <w:rFonts w:ascii="Arial" w:hAnsi="Arial" w:cs="Arial"/>
        </w:rPr>
        <w:t>Center</w:t>
      </w:r>
      <w:proofErr w:type="spellEnd"/>
      <w:r w:rsidR="00E16FD4">
        <w:rPr>
          <w:rFonts w:ascii="Arial" w:hAnsi="Arial" w:cs="Arial"/>
        </w:rPr>
        <w:t>, Yale University School of Medicine, New Haven, CT</w:t>
      </w:r>
    </w:p>
    <w:p w14:paraId="5CC65FF4" w14:textId="5B3092DD" w:rsidR="00787009" w:rsidRPr="00DE0DDB" w:rsidRDefault="00E16FD4" w:rsidP="00787009">
      <w:pPr>
        <w:spacing w:after="0" w:line="480" w:lineRule="auto"/>
        <w:rPr>
          <w:rFonts w:ascii="Arial" w:hAnsi="Arial" w:cs="Arial"/>
        </w:rPr>
      </w:pPr>
      <w:r w:rsidRPr="00E16FD4">
        <w:rPr>
          <w:rFonts w:ascii="Arial" w:hAnsi="Arial" w:cs="Arial"/>
          <w:vertAlign w:val="superscript"/>
        </w:rPr>
        <w:t>4</w:t>
      </w:r>
      <w:r w:rsidR="00787009" w:rsidRPr="00E16FD4">
        <w:rPr>
          <w:rFonts w:ascii="Arial" w:hAnsi="Arial" w:cs="Arial"/>
        </w:rPr>
        <w:t>Department</w:t>
      </w:r>
      <w:r w:rsidR="00787009" w:rsidRPr="00DE0DDB">
        <w:rPr>
          <w:rFonts w:ascii="Arial" w:hAnsi="Arial" w:cs="Arial"/>
        </w:rPr>
        <w:t xml:space="preserve"> of Psychology, Vanderbilt University, Nashville, TN</w:t>
      </w:r>
    </w:p>
    <w:p w14:paraId="1DE71DE5" w14:textId="31D1A82B" w:rsidR="00787009" w:rsidRPr="00DE0DDB" w:rsidRDefault="00E16FD4" w:rsidP="00787009">
      <w:pPr>
        <w:spacing w:after="0" w:line="480" w:lineRule="auto"/>
        <w:rPr>
          <w:rFonts w:ascii="Arial" w:hAnsi="Arial" w:cs="Arial"/>
        </w:rPr>
      </w:pPr>
      <w:r>
        <w:rPr>
          <w:rFonts w:ascii="Arial" w:hAnsi="Arial" w:cs="Arial"/>
          <w:vertAlign w:val="superscript"/>
        </w:rPr>
        <w:t>5</w:t>
      </w:r>
      <w:r w:rsidR="00787009" w:rsidRPr="00DE0DDB">
        <w:rPr>
          <w:rFonts w:ascii="Arial" w:hAnsi="Arial" w:cs="Arial"/>
        </w:rPr>
        <w:t>Department of Psychology and Human Development, Vanderbilt University, Nashville, TN</w:t>
      </w:r>
    </w:p>
    <w:p w14:paraId="37B412FB" w14:textId="0994CDD3" w:rsidR="00787009" w:rsidRPr="00DE0DDB" w:rsidRDefault="00E16FD4" w:rsidP="00787009">
      <w:pPr>
        <w:spacing w:after="0" w:line="480" w:lineRule="auto"/>
        <w:rPr>
          <w:rFonts w:ascii="Arial" w:hAnsi="Arial" w:cs="Arial"/>
        </w:rPr>
      </w:pPr>
      <w:r w:rsidRPr="00E16FD4">
        <w:rPr>
          <w:rFonts w:ascii="Arial" w:hAnsi="Arial" w:cs="Arial"/>
          <w:vertAlign w:val="superscript"/>
        </w:rPr>
        <w:t>6</w:t>
      </w:r>
      <w:r w:rsidR="00787009" w:rsidRPr="00DE0DDB">
        <w:rPr>
          <w:rFonts w:ascii="Arial" w:hAnsi="Arial" w:cs="Arial"/>
        </w:rPr>
        <w:t xml:space="preserve">Department of Anesthesiology &amp; Pain Medicine, University of Washington, and </w:t>
      </w:r>
    </w:p>
    <w:p w14:paraId="57032445" w14:textId="614950E2" w:rsidR="00787009" w:rsidRPr="00DE0DDB" w:rsidRDefault="00E16FD4" w:rsidP="00787009">
      <w:pPr>
        <w:spacing w:after="0" w:line="480" w:lineRule="auto"/>
        <w:rPr>
          <w:rFonts w:ascii="Arial" w:hAnsi="Arial" w:cs="Arial"/>
        </w:rPr>
      </w:pPr>
      <w:r w:rsidRPr="00E16FD4">
        <w:rPr>
          <w:rFonts w:ascii="Arial" w:hAnsi="Arial" w:cs="Arial"/>
          <w:vertAlign w:val="superscript"/>
        </w:rPr>
        <w:t>7</w:t>
      </w:r>
      <w:r w:rsidR="00787009" w:rsidRPr="00DE0DDB">
        <w:rPr>
          <w:rFonts w:ascii="Arial" w:hAnsi="Arial" w:cs="Arial"/>
        </w:rPr>
        <w:t>Seattle Children's Research Institute, Seattle, WA</w:t>
      </w:r>
    </w:p>
    <w:p w14:paraId="31FA33B0" w14:textId="4DEAD91A" w:rsidR="00787009" w:rsidRPr="00DE0DDB" w:rsidRDefault="00787009" w:rsidP="00787009">
      <w:pPr>
        <w:spacing w:after="0" w:line="480" w:lineRule="auto"/>
        <w:rPr>
          <w:rFonts w:ascii="Arial" w:hAnsi="Arial" w:cs="Arial"/>
          <w:vertAlign w:val="superscript"/>
        </w:rPr>
      </w:pPr>
    </w:p>
    <w:p w14:paraId="52A69C48" w14:textId="70721287" w:rsidR="00787009" w:rsidRPr="00DE0DDB" w:rsidRDefault="00787009" w:rsidP="00787009">
      <w:pPr>
        <w:spacing w:after="0" w:line="480" w:lineRule="auto"/>
        <w:rPr>
          <w:rFonts w:ascii="Arial" w:hAnsi="Arial" w:cs="Arial"/>
        </w:rPr>
      </w:pPr>
      <w:r w:rsidRPr="00DE0DDB">
        <w:rPr>
          <w:rFonts w:ascii="Arial" w:hAnsi="Arial" w:cs="Arial"/>
          <w:b/>
          <w:bCs/>
        </w:rPr>
        <w:t>Corresponding Author:</w:t>
      </w:r>
      <w:r w:rsidRPr="00DE0DDB">
        <w:rPr>
          <w:rFonts w:ascii="Arial" w:hAnsi="Arial" w:cs="Arial"/>
        </w:rPr>
        <w:t xml:space="preserve"> Lynn S. Walker, PhD</w:t>
      </w:r>
      <w:r w:rsidR="00C00519" w:rsidRPr="00DE0DDB">
        <w:rPr>
          <w:rFonts w:ascii="Arial" w:hAnsi="Arial" w:cs="Arial"/>
        </w:rPr>
        <w:t xml:space="preserve">, </w:t>
      </w:r>
      <w:r w:rsidRPr="00DE0DDB">
        <w:rPr>
          <w:rFonts w:ascii="Arial" w:hAnsi="Arial" w:cs="Arial"/>
        </w:rPr>
        <w:t xml:space="preserve">Division of Adolescent and Young Adult Health, Monroe Carell Jr. Children’s Hospital at Vanderbilt, </w:t>
      </w:r>
      <w:r w:rsidR="00AD0BB2">
        <w:rPr>
          <w:rFonts w:ascii="Arial" w:hAnsi="Arial" w:cs="Arial"/>
        </w:rPr>
        <w:t>719 Thompson Lane</w:t>
      </w:r>
      <w:r w:rsidR="00AD0BB2" w:rsidRPr="00DE0DDB">
        <w:rPr>
          <w:rFonts w:ascii="Arial" w:hAnsi="Arial" w:cs="Arial"/>
        </w:rPr>
        <w:t xml:space="preserve">, </w:t>
      </w:r>
      <w:r w:rsidR="00AD0BB2">
        <w:rPr>
          <w:rFonts w:ascii="Arial" w:hAnsi="Arial" w:cs="Arial"/>
        </w:rPr>
        <w:t xml:space="preserve">Suite 36300, </w:t>
      </w:r>
      <w:r w:rsidR="00AD0BB2" w:rsidRPr="00DE0DDB">
        <w:rPr>
          <w:rFonts w:ascii="Arial" w:hAnsi="Arial" w:cs="Arial"/>
        </w:rPr>
        <w:t>Nashville TN 372</w:t>
      </w:r>
      <w:r w:rsidR="00AD0BB2">
        <w:rPr>
          <w:rFonts w:ascii="Arial" w:hAnsi="Arial" w:cs="Arial"/>
        </w:rPr>
        <w:t>04</w:t>
      </w:r>
      <w:r w:rsidR="00AD0BB2" w:rsidRPr="00DE0DDB">
        <w:rPr>
          <w:rFonts w:ascii="Arial" w:hAnsi="Arial" w:cs="Arial"/>
        </w:rPr>
        <w:t>; telephone: 615-936-8</w:t>
      </w:r>
      <w:r w:rsidR="00AD0BB2">
        <w:rPr>
          <w:rFonts w:ascii="Arial" w:hAnsi="Arial" w:cs="Arial"/>
        </w:rPr>
        <w:t>200</w:t>
      </w:r>
      <w:r w:rsidR="00AD0BB2" w:rsidRPr="00DE0DDB">
        <w:rPr>
          <w:rFonts w:ascii="Arial" w:hAnsi="Arial" w:cs="Arial"/>
        </w:rPr>
        <w:t>; fax: 615-</w:t>
      </w:r>
      <w:r w:rsidR="00AD0BB2">
        <w:rPr>
          <w:rFonts w:ascii="Arial" w:hAnsi="Arial" w:cs="Arial"/>
        </w:rPr>
        <w:t>875</w:t>
      </w:r>
      <w:r w:rsidR="00AD0BB2" w:rsidRPr="00DE0DDB">
        <w:rPr>
          <w:rFonts w:ascii="Arial" w:hAnsi="Arial" w:cs="Arial"/>
        </w:rPr>
        <w:t>-</w:t>
      </w:r>
      <w:proofErr w:type="gramStart"/>
      <w:r w:rsidR="00AD0BB2" w:rsidRPr="00DE0DDB">
        <w:rPr>
          <w:rFonts w:ascii="Arial" w:hAnsi="Arial" w:cs="Arial"/>
        </w:rPr>
        <w:t>02</w:t>
      </w:r>
      <w:r w:rsidR="00AD0BB2">
        <w:rPr>
          <w:rFonts w:ascii="Arial" w:hAnsi="Arial" w:cs="Arial"/>
        </w:rPr>
        <w:t>67</w:t>
      </w:r>
      <w:r w:rsidR="00AD0BB2" w:rsidRPr="00DE0DDB">
        <w:rPr>
          <w:rFonts w:ascii="Arial" w:hAnsi="Arial" w:cs="Arial"/>
        </w:rPr>
        <w:t>;</w:t>
      </w:r>
      <w:r w:rsidRPr="00DE0DDB">
        <w:rPr>
          <w:rFonts w:ascii="Arial" w:hAnsi="Arial" w:cs="Arial"/>
        </w:rPr>
        <w:t>email</w:t>
      </w:r>
      <w:proofErr w:type="gramEnd"/>
      <w:r w:rsidRPr="00DE0DDB">
        <w:rPr>
          <w:rFonts w:ascii="Arial" w:hAnsi="Arial" w:cs="Arial"/>
        </w:rPr>
        <w:t>:</w:t>
      </w:r>
      <w:r w:rsidR="00AD0BB2">
        <w:rPr>
          <w:rFonts w:ascii="Arial" w:hAnsi="Arial" w:cs="Arial"/>
        </w:rPr>
        <w:t xml:space="preserve"> lynn.walker@vanderbilt.edu</w:t>
      </w:r>
    </w:p>
    <w:p w14:paraId="4F277B66" w14:textId="77777777" w:rsidR="00C00519" w:rsidRPr="00DE0DDB" w:rsidRDefault="00C00519" w:rsidP="00787009">
      <w:pPr>
        <w:spacing w:after="0"/>
        <w:rPr>
          <w:rFonts w:ascii="Arial" w:hAnsi="Arial" w:cs="Arial"/>
        </w:rPr>
      </w:pPr>
    </w:p>
    <w:p w14:paraId="34B4B3AC" w14:textId="728701D2" w:rsidR="00C00519" w:rsidRPr="005A5CC4" w:rsidRDefault="004C779D" w:rsidP="00787009">
      <w:pPr>
        <w:spacing w:after="0"/>
        <w:rPr>
          <w:rFonts w:ascii="Arial" w:hAnsi="Arial" w:cs="Arial"/>
        </w:rPr>
      </w:pPr>
      <w:r>
        <w:rPr>
          <w:rFonts w:ascii="Arial" w:hAnsi="Arial" w:cs="Arial"/>
          <w:b/>
          <w:bCs/>
        </w:rPr>
        <w:t>Number of text pages (including figures and tables)</w:t>
      </w:r>
      <w:r w:rsidR="00C00519" w:rsidRPr="00DE0DDB">
        <w:rPr>
          <w:rFonts w:ascii="Arial" w:hAnsi="Arial" w:cs="Arial"/>
          <w:b/>
          <w:bCs/>
        </w:rPr>
        <w:t>:</w:t>
      </w:r>
      <w:r w:rsidR="008E3B68">
        <w:rPr>
          <w:rFonts w:ascii="Arial" w:hAnsi="Arial" w:cs="Arial"/>
          <w:b/>
          <w:bCs/>
        </w:rPr>
        <w:t xml:space="preserve"> </w:t>
      </w:r>
      <w:r w:rsidR="005A5CC4">
        <w:rPr>
          <w:rFonts w:ascii="Arial" w:hAnsi="Arial" w:cs="Arial"/>
        </w:rPr>
        <w:t>31</w:t>
      </w:r>
    </w:p>
    <w:p w14:paraId="1BC618FC" w14:textId="77777777" w:rsidR="005A5CC4" w:rsidRDefault="004C779D" w:rsidP="00787009">
      <w:pPr>
        <w:spacing w:after="0"/>
        <w:rPr>
          <w:rFonts w:ascii="Arial" w:hAnsi="Arial" w:cs="Arial"/>
        </w:rPr>
      </w:pPr>
      <w:r>
        <w:rPr>
          <w:rFonts w:ascii="Arial" w:hAnsi="Arial" w:cs="Arial"/>
          <w:b/>
          <w:bCs/>
        </w:rPr>
        <w:t>Number of figures</w:t>
      </w:r>
      <w:r w:rsidR="005A5CC4">
        <w:rPr>
          <w:rFonts w:ascii="Arial" w:hAnsi="Arial" w:cs="Arial"/>
          <w:b/>
          <w:bCs/>
        </w:rPr>
        <w:t xml:space="preserve">: </w:t>
      </w:r>
      <w:r w:rsidR="005A5CC4">
        <w:rPr>
          <w:rFonts w:ascii="Arial" w:hAnsi="Arial" w:cs="Arial"/>
        </w:rPr>
        <w:t>3</w:t>
      </w:r>
    </w:p>
    <w:p w14:paraId="0326D16A" w14:textId="1A4831A6" w:rsidR="004C779D" w:rsidRPr="008E3B68" w:rsidRDefault="005A5CC4" w:rsidP="00787009">
      <w:pPr>
        <w:spacing w:after="0"/>
        <w:rPr>
          <w:rFonts w:ascii="Arial" w:hAnsi="Arial" w:cs="Arial"/>
        </w:rPr>
      </w:pPr>
      <w:r>
        <w:rPr>
          <w:rFonts w:ascii="Arial" w:hAnsi="Arial" w:cs="Arial"/>
          <w:b/>
          <w:bCs/>
        </w:rPr>
        <w:t xml:space="preserve">Number of tables: </w:t>
      </w:r>
      <w:r>
        <w:rPr>
          <w:rFonts w:ascii="Arial" w:hAnsi="Arial" w:cs="Arial"/>
        </w:rPr>
        <w:t>3</w:t>
      </w:r>
      <w:r>
        <w:rPr>
          <w:rFonts w:ascii="Arial" w:hAnsi="Arial" w:cs="Arial"/>
          <w:b/>
          <w:bCs/>
        </w:rPr>
        <w:t xml:space="preserve"> </w:t>
      </w:r>
    </w:p>
    <w:p w14:paraId="08708948" w14:textId="77777777" w:rsidR="00C00519" w:rsidRPr="00DE0DDB" w:rsidRDefault="00C00519">
      <w:pPr>
        <w:rPr>
          <w:rFonts w:ascii="Arial" w:hAnsi="Arial" w:cs="Arial"/>
        </w:rPr>
      </w:pPr>
      <w:r w:rsidRPr="00DE0DDB">
        <w:rPr>
          <w:rFonts w:ascii="Arial" w:hAnsi="Arial" w:cs="Arial"/>
        </w:rPr>
        <w:br w:type="page"/>
      </w:r>
    </w:p>
    <w:p w14:paraId="2A24EEE6" w14:textId="68D25EFE" w:rsidR="00997AC5" w:rsidRDefault="00D96DAC" w:rsidP="00BF6336">
      <w:pPr>
        <w:spacing w:after="0"/>
        <w:jc w:val="center"/>
        <w:rPr>
          <w:rFonts w:ascii="Arial" w:hAnsi="Arial" w:cs="Arial"/>
          <w:b/>
          <w:bCs/>
        </w:rPr>
      </w:pPr>
      <w:r w:rsidRPr="00DE0DDB">
        <w:rPr>
          <w:rFonts w:ascii="Arial" w:hAnsi="Arial" w:cs="Arial"/>
          <w:b/>
          <w:bCs/>
        </w:rPr>
        <w:lastRenderedPageBreak/>
        <w:t>Abstract</w:t>
      </w:r>
    </w:p>
    <w:p w14:paraId="69931E1F" w14:textId="77777777" w:rsidR="00BF6336" w:rsidRPr="0054482E" w:rsidRDefault="00BF6336" w:rsidP="00BF6336">
      <w:pPr>
        <w:spacing w:after="0"/>
        <w:jc w:val="center"/>
        <w:rPr>
          <w:rFonts w:ascii="Arial" w:hAnsi="Arial" w:cs="Arial"/>
          <w:b/>
          <w:bCs/>
        </w:rPr>
      </w:pPr>
    </w:p>
    <w:p w14:paraId="063AB2CF" w14:textId="6E769822" w:rsidR="00997AC5" w:rsidRDefault="00997AC5" w:rsidP="0054482E">
      <w:pPr>
        <w:spacing w:after="0" w:line="480" w:lineRule="auto"/>
        <w:rPr>
          <w:rFonts w:ascii="Arial" w:hAnsi="Arial" w:cs="Arial"/>
        </w:rPr>
      </w:pPr>
      <w:r w:rsidRPr="00DE0DDB">
        <w:rPr>
          <w:rFonts w:ascii="Arial" w:hAnsi="Arial" w:cs="Arial"/>
        </w:rPr>
        <w:t xml:space="preserve">Inconsistent results of psychological treatments </w:t>
      </w:r>
      <w:r>
        <w:rPr>
          <w:rFonts w:ascii="Arial" w:hAnsi="Arial" w:cs="Arial"/>
        </w:rPr>
        <w:t xml:space="preserve">for </w:t>
      </w:r>
      <w:proofErr w:type="spellStart"/>
      <w:r>
        <w:rPr>
          <w:rFonts w:ascii="Arial" w:hAnsi="Arial" w:cs="Arial"/>
        </w:rPr>
        <w:t>pediatric</w:t>
      </w:r>
      <w:proofErr w:type="spellEnd"/>
      <w:r>
        <w:rPr>
          <w:rFonts w:ascii="Arial" w:hAnsi="Arial" w:cs="Arial"/>
        </w:rPr>
        <w:t xml:space="preserve"> functional abdominal pain (FAP) </w:t>
      </w:r>
      <w:r w:rsidRPr="00DE0DDB">
        <w:rPr>
          <w:rFonts w:ascii="Arial" w:hAnsi="Arial" w:cs="Arial"/>
        </w:rPr>
        <w:t>may be due to heterogeneity of patients’ pain-related psychological characteristics.</w:t>
      </w:r>
      <w:r>
        <w:rPr>
          <w:rFonts w:ascii="Arial" w:hAnsi="Arial" w:cs="Arial"/>
        </w:rPr>
        <w:t xml:space="preserve"> This randomized controlled trial</w:t>
      </w:r>
      <w:r w:rsidRPr="00DE0DDB">
        <w:rPr>
          <w:rFonts w:ascii="Arial" w:hAnsi="Arial" w:cs="Arial"/>
          <w:iCs/>
        </w:rPr>
        <w:t xml:space="preserve"> test</w:t>
      </w:r>
      <w:r>
        <w:rPr>
          <w:rFonts w:ascii="Arial" w:hAnsi="Arial" w:cs="Arial"/>
          <w:iCs/>
        </w:rPr>
        <w:t>ed</w:t>
      </w:r>
      <w:r w:rsidRPr="00DE0DDB">
        <w:rPr>
          <w:rFonts w:ascii="Arial" w:hAnsi="Arial" w:cs="Arial"/>
          <w:iCs/>
        </w:rPr>
        <w:t xml:space="preserve"> whether </w:t>
      </w:r>
      <w:proofErr w:type="gramStart"/>
      <w:r w:rsidRPr="00DE0DDB">
        <w:rPr>
          <w:rFonts w:ascii="Arial" w:hAnsi="Arial" w:cs="Arial"/>
          <w:iCs/>
        </w:rPr>
        <w:t>statistically-derived</w:t>
      </w:r>
      <w:proofErr w:type="gramEnd"/>
      <w:r w:rsidRPr="00DE0DDB">
        <w:rPr>
          <w:rFonts w:ascii="Arial" w:hAnsi="Arial" w:cs="Arial"/>
          <w:iCs/>
        </w:rPr>
        <w:t xml:space="preserve"> </w:t>
      </w:r>
      <w:r>
        <w:rPr>
          <w:rFonts w:ascii="Arial" w:hAnsi="Arial" w:cs="Arial"/>
          <w:iCs/>
        </w:rPr>
        <w:t>patient</w:t>
      </w:r>
      <w:r w:rsidRPr="00DE0DDB">
        <w:rPr>
          <w:rFonts w:ascii="Arial" w:hAnsi="Arial" w:cs="Arial"/>
          <w:iCs/>
        </w:rPr>
        <w:t xml:space="preserve"> subgroups (High Pain Dysfunctional, HPD; High Pain Adaptive, HPA; Low Pain Adaptive, LPA) moderated response to </w:t>
      </w:r>
      <w:r>
        <w:rPr>
          <w:rFonts w:ascii="Arial" w:hAnsi="Arial" w:cs="Arial"/>
          <w:iCs/>
        </w:rPr>
        <w:t xml:space="preserve">cognitive </w:t>
      </w:r>
      <w:proofErr w:type="spellStart"/>
      <w:r>
        <w:rPr>
          <w:rFonts w:ascii="Arial" w:hAnsi="Arial" w:cs="Arial"/>
          <w:iCs/>
        </w:rPr>
        <w:t>behavior</w:t>
      </w:r>
      <w:proofErr w:type="spellEnd"/>
      <w:r>
        <w:rPr>
          <w:rFonts w:ascii="Arial" w:hAnsi="Arial" w:cs="Arial"/>
          <w:iCs/>
        </w:rPr>
        <w:t xml:space="preserve"> therapy</w:t>
      </w:r>
      <w:r w:rsidRPr="00DE0DDB">
        <w:rPr>
          <w:rFonts w:ascii="Arial" w:hAnsi="Arial" w:cs="Arial"/>
          <w:iCs/>
        </w:rPr>
        <w:t xml:space="preserve"> </w:t>
      </w:r>
      <w:r w:rsidR="00F61DF5">
        <w:rPr>
          <w:rFonts w:ascii="Arial" w:hAnsi="Arial" w:cs="Arial"/>
          <w:iCs/>
        </w:rPr>
        <w:t xml:space="preserve">(CBT) </w:t>
      </w:r>
      <w:r w:rsidRPr="00DE0DDB">
        <w:rPr>
          <w:rFonts w:ascii="Arial" w:hAnsi="Arial" w:cs="Arial"/>
          <w:iCs/>
        </w:rPr>
        <w:t xml:space="preserve">for </w:t>
      </w:r>
      <w:r>
        <w:rPr>
          <w:rFonts w:ascii="Arial" w:hAnsi="Arial" w:cs="Arial"/>
          <w:iCs/>
        </w:rPr>
        <w:t xml:space="preserve">adolescents with </w:t>
      </w:r>
      <w:r w:rsidRPr="00DE0DDB">
        <w:rPr>
          <w:rFonts w:ascii="Arial" w:hAnsi="Arial" w:cs="Arial"/>
          <w:iCs/>
        </w:rPr>
        <w:t>FA</w:t>
      </w:r>
      <w:r>
        <w:rPr>
          <w:rFonts w:ascii="Arial" w:hAnsi="Arial" w:cs="Arial"/>
          <w:iCs/>
        </w:rPr>
        <w:t>P and their parents</w:t>
      </w:r>
      <w:r w:rsidR="00F61DF5">
        <w:rPr>
          <w:rFonts w:ascii="Arial" w:hAnsi="Arial" w:cs="Arial"/>
          <w:iCs/>
        </w:rPr>
        <w:t xml:space="preserve"> </w:t>
      </w:r>
      <w:r w:rsidR="000A2EAC">
        <w:rPr>
          <w:rFonts w:ascii="Arial" w:hAnsi="Arial" w:cs="Arial"/>
          <w:iCs/>
        </w:rPr>
        <w:t>[</w:t>
      </w:r>
      <w:r w:rsidR="00F61DF5">
        <w:rPr>
          <w:rFonts w:ascii="Arial" w:hAnsi="Arial" w:cs="Arial"/>
          <w:iCs/>
        </w:rPr>
        <w:t xml:space="preserve">n = 278 dyads; </w:t>
      </w:r>
      <w:r w:rsidR="00E54A11">
        <w:rPr>
          <w:rFonts w:ascii="Arial" w:hAnsi="Arial" w:cs="Arial"/>
          <w:iCs/>
        </w:rPr>
        <w:t xml:space="preserve">patients </w:t>
      </w:r>
      <w:r w:rsidR="00F61DF5">
        <w:rPr>
          <w:rFonts w:ascii="Arial" w:hAnsi="Arial" w:cs="Arial"/>
          <w:iCs/>
        </w:rPr>
        <w:t>were 66% female</w:t>
      </w:r>
      <w:r w:rsidR="00F617C3">
        <w:rPr>
          <w:rFonts w:ascii="Arial" w:hAnsi="Arial" w:cs="Arial"/>
          <w:iCs/>
        </w:rPr>
        <w:t xml:space="preserve">, Mean (SD) age </w:t>
      </w:r>
      <w:r w:rsidR="00320031">
        <w:rPr>
          <w:rFonts w:ascii="Arial" w:hAnsi="Arial" w:cs="Arial"/>
          <w:iCs/>
        </w:rPr>
        <w:t xml:space="preserve">was </w:t>
      </w:r>
      <w:r w:rsidR="00F617C3">
        <w:rPr>
          <w:rFonts w:ascii="Arial" w:hAnsi="Arial" w:cs="Arial"/>
          <w:iCs/>
        </w:rPr>
        <w:t>14.62 (1.88) years</w:t>
      </w:r>
      <w:r w:rsidR="00F61DF5">
        <w:rPr>
          <w:rFonts w:ascii="Arial" w:hAnsi="Arial" w:cs="Arial"/>
          <w:iCs/>
        </w:rPr>
        <w:t>; parents were 95% female</w:t>
      </w:r>
      <w:r w:rsidR="000A2EAC">
        <w:rPr>
          <w:rFonts w:ascii="Arial" w:hAnsi="Arial" w:cs="Arial"/>
          <w:iCs/>
        </w:rPr>
        <w:t>]</w:t>
      </w:r>
      <w:r w:rsidRPr="00DE0DDB">
        <w:rPr>
          <w:rFonts w:ascii="Arial" w:hAnsi="Arial" w:cs="Arial"/>
          <w:iCs/>
        </w:rPr>
        <w:t>.</w:t>
      </w:r>
      <w:r w:rsidR="00F61DF5">
        <w:rPr>
          <w:rFonts w:ascii="Arial" w:hAnsi="Arial" w:cs="Arial"/>
          <w:iCs/>
        </w:rPr>
        <w:t xml:space="preserve"> Ra</w:t>
      </w:r>
      <w:r w:rsidR="00F61DF5" w:rsidRPr="00DE0DDB">
        <w:rPr>
          <w:rFonts w:ascii="Arial" w:hAnsi="Arial" w:cs="Arial"/>
        </w:rPr>
        <w:t xml:space="preserve">ndomization </w:t>
      </w:r>
      <w:r w:rsidR="00F61DF5">
        <w:rPr>
          <w:rFonts w:ascii="Arial" w:hAnsi="Arial" w:cs="Arial"/>
        </w:rPr>
        <w:t xml:space="preserve">to internet-delivered CBT versus internet-delivered pain education (EDU) </w:t>
      </w:r>
      <w:r w:rsidR="00F61DF5" w:rsidRPr="00DE0DDB">
        <w:rPr>
          <w:rFonts w:ascii="Arial" w:hAnsi="Arial" w:cs="Arial"/>
        </w:rPr>
        <w:t xml:space="preserve">was stratified by </w:t>
      </w:r>
      <w:r w:rsidR="00F61DF5">
        <w:rPr>
          <w:rFonts w:ascii="Arial" w:hAnsi="Arial" w:cs="Arial"/>
        </w:rPr>
        <w:t xml:space="preserve">patient </w:t>
      </w:r>
      <w:r w:rsidR="00F61DF5" w:rsidRPr="00DE0DDB">
        <w:rPr>
          <w:rFonts w:ascii="Arial" w:hAnsi="Arial" w:cs="Arial"/>
        </w:rPr>
        <w:t>subgroup</w:t>
      </w:r>
      <w:r w:rsidR="00F61DF5">
        <w:rPr>
          <w:rFonts w:ascii="Arial" w:hAnsi="Arial" w:cs="Arial"/>
        </w:rPr>
        <w:t>.</w:t>
      </w:r>
      <w:r w:rsidR="00F61DF5" w:rsidRPr="00DE0DDB">
        <w:rPr>
          <w:rFonts w:ascii="Arial" w:hAnsi="Arial" w:cs="Arial"/>
        </w:rPr>
        <w:t xml:space="preserve"> </w:t>
      </w:r>
      <w:r w:rsidR="00F617C3">
        <w:rPr>
          <w:rFonts w:ascii="Arial" w:hAnsi="Arial" w:cs="Arial"/>
        </w:rPr>
        <w:t>F</w:t>
      </w:r>
      <w:r w:rsidR="00F61DF5" w:rsidRPr="00DE0DDB">
        <w:rPr>
          <w:rFonts w:ascii="Arial" w:hAnsi="Arial" w:cs="Arial"/>
        </w:rPr>
        <w:t xml:space="preserve">ollow-up assessments </w:t>
      </w:r>
      <w:r w:rsidR="00F61DF5">
        <w:rPr>
          <w:rFonts w:ascii="Arial" w:hAnsi="Arial" w:cs="Arial"/>
        </w:rPr>
        <w:t xml:space="preserve">of gastrointestinal (GI) symptoms (primary outcome), abdominal pain, and pain interference were </w:t>
      </w:r>
      <w:r w:rsidR="00F61DF5" w:rsidRPr="00DE0DDB">
        <w:rPr>
          <w:rFonts w:ascii="Arial" w:hAnsi="Arial" w:cs="Arial"/>
        </w:rPr>
        <w:t>at mid-treatment, post-treatment, 6 months, 12 months.</w:t>
      </w:r>
      <w:r w:rsidR="00113B5F">
        <w:rPr>
          <w:rFonts w:ascii="Arial" w:hAnsi="Arial" w:cs="Arial"/>
        </w:rPr>
        <w:t xml:space="preserve"> </w:t>
      </w:r>
      <w:r w:rsidRPr="00DE0DDB">
        <w:rPr>
          <w:rFonts w:ascii="Arial" w:hAnsi="Arial" w:cs="Arial"/>
          <w:iCs/>
        </w:rPr>
        <w:t xml:space="preserve">Data were analysed using linear mixed effects models. </w:t>
      </w:r>
      <w:r w:rsidR="00D91890">
        <w:rPr>
          <w:rFonts w:ascii="Arial" w:hAnsi="Arial" w:cs="Arial"/>
          <w:iCs/>
        </w:rPr>
        <w:t>S</w:t>
      </w:r>
      <w:r w:rsidRPr="00DE0DDB">
        <w:rPr>
          <w:rFonts w:ascii="Arial" w:hAnsi="Arial" w:cs="Arial"/>
          <w:iCs/>
        </w:rPr>
        <w:t>ignificant Treatment X Subgroup X Time interaction effect</w:t>
      </w:r>
      <w:r w:rsidR="00D91890">
        <w:rPr>
          <w:rFonts w:ascii="Arial" w:hAnsi="Arial" w:cs="Arial"/>
          <w:iCs/>
        </w:rPr>
        <w:t>s</w:t>
      </w:r>
      <w:r w:rsidRPr="00DE0DDB">
        <w:rPr>
          <w:rFonts w:ascii="Arial" w:hAnsi="Arial" w:cs="Arial"/>
          <w:iCs/>
        </w:rPr>
        <w:t xml:space="preserve"> showed that </w:t>
      </w:r>
      <w:r>
        <w:rPr>
          <w:rFonts w:ascii="Arial" w:hAnsi="Arial" w:cs="Arial"/>
          <w:iCs/>
        </w:rPr>
        <w:t xml:space="preserve">patient </w:t>
      </w:r>
      <w:r w:rsidRPr="00DE0DDB">
        <w:rPr>
          <w:rFonts w:ascii="Arial" w:hAnsi="Arial" w:cs="Arial"/>
          <w:iCs/>
        </w:rPr>
        <w:t>subgroup significantly moderated the effect of treatment on GI symptoms (</w:t>
      </w:r>
      <w:proofErr w:type="gramStart"/>
      <w:r w:rsidRPr="00DE0DDB">
        <w:rPr>
          <w:rFonts w:ascii="Arial" w:hAnsi="Arial" w:cs="Arial"/>
          <w:iCs/>
        </w:rPr>
        <w:t>t</w:t>
      </w:r>
      <w:r>
        <w:rPr>
          <w:rFonts w:ascii="Arial" w:hAnsi="Arial" w:cs="Arial"/>
          <w:iCs/>
        </w:rPr>
        <w:t>[</w:t>
      </w:r>
      <w:proofErr w:type="gramEnd"/>
      <w:r w:rsidRPr="00DE0DDB">
        <w:rPr>
          <w:rFonts w:ascii="Arial" w:hAnsi="Arial" w:cs="Arial"/>
          <w:iCs/>
        </w:rPr>
        <w:t>853 = -2.93, p=0.003) and abdominal pain (t(844) = -2.14, p=0.03</w:t>
      </w:r>
      <w:r w:rsidR="00283C5F">
        <w:rPr>
          <w:rFonts w:ascii="Arial" w:hAnsi="Arial" w:cs="Arial"/>
          <w:iCs/>
        </w:rPr>
        <w:t>)</w:t>
      </w:r>
      <w:r w:rsidRPr="00DE0DDB">
        <w:rPr>
          <w:rFonts w:ascii="Arial" w:hAnsi="Arial" w:cs="Arial"/>
          <w:iCs/>
        </w:rPr>
        <w:t xml:space="preserve"> across the treatment period.  Among HPD youth, those in CBT had significantly greater GI symptom reduction than those in EDU through post-treatment</w:t>
      </w:r>
      <w:r w:rsidR="00320031" w:rsidRPr="00320031">
        <w:rPr>
          <w:rFonts w:ascii="Arial" w:hAnsi="Arial" w:cs="Arial"/>
          <w:iCs/>
        </w:rPr>
        <w:t>.</w:t>
      </w:r>
      <w:r w:rsidRPr="00DE0DDB">
        <w:rPr>
          <w:rFonts w:ascii="Arial" w:hAnsi="Arial" w:cs="Arial"/>
          <w:iCs/>
        </w:rPr>
        <w:t xml:space="preserve"> </w:t>
      </w:r>
      <w:r w:rsidR="00320031">
        <w:rPr>
          <w:rFonts w:ascii="Arial" w:hAnsi="Arial" w:cs="Arial"/>
          <w:iCs/>
        </w:rPr>
        <w:t>In contrast, a</w:t>
      </w:r>
      <w:r w:rsidRPr="00DE0DDB">
        <w:rPr>
          <w:rFonts w:ascii="Arial" w:hAnsi="Arial" w:cs="Arial"/>
          <w:iCs/>
        </w:rPr>
        <w:t xml:space="preserve">mong HPA and LPA youth, symptom improvement did not differ by treatment condition. </w:t>
      </w:r>
      <w:r w:rsidR="00320031">
        <w:rPr>
          <w:rFonts w:ascii="Arial" w:hAnsi="Arial" w:cs="Arial"/>
          <w:lang w:val="en-US"/>
        </w:rPr>
        <w:t>Furthermore, a</w:t>
      </w:r>
      <w:r w:rsidR="00320031" w:rsidRPr="00C50A39">
        <w:rPr>
          <w:rFonts w:ascii="Arial" w:hAnsi="Arial" w:cs="Arial"/>
          <w:lang w:val="en-US"/>
        </w:rPr>
        <w:t xml:space="preserve">mong all patients </w:t>
      </w:r>
      <w:r w:rsidR="00320031">
        <w:rPr>
          <w:rFonts w:ascii="Arial" w:hAnsi="Arial" w:cs="Arial"/>
          <w:lang w:val="en-US"/>
        </w:rPr>
        <w:t>assigned to</w:t>
      </w:r>
      <w:r w:rsidR="00320031" w:rsidRPr="00C50A39">
        <w:rPr>
          <w:rFonts w:ascii="Arial" w:hAnsi="Arial" w:cs="Arial"/>
          <w:lang w:val="en-US"/>
        </w:rPr>
        <w:t xml:space="preserve"> CBT, HPD youth demonstrated significantly greater reductions in GI symptoms compared to </w:t>
      </w:r>
      <w:r w:rsidR="00320031">
        <w:rPr>
          <w:rFonts w:ascii="Arial" w:hAnsi="Arial" w:cs="Arial"/>
          <w:lang w:val="en-US"/>
        </w:rPr>
        <w:t xml:space="preserve">HPA and </w:t>
      </w:r>
      <w:r w:rsidR="00320031" w:rsidRPr="00C50A39">
        <w:rPr>
          <w:rFonts w:ascii="Arial" w:hAnsi="Arial" w:cs="Arial"/>
          <w:lang w:val="en-US"/>
        </w:rPr>
        <w:t>LPA youth and greater</w:t>
      </w:r>
      <w:r w:rsidR="00320031">
        <w:rPr>
          <w:rFonts w:ascii="Arial" w:hAnsi="Arial" w:cs="Arial"/>
          <w:lang w:val="en-US"/>
        </w:rPr>
        <w:t xml:space="preserve"> </w:t>
      </w:r>
      <w:r w:rsidR="00320031" w:rsidRPr="00C50A39">
        <w:rPr>
          <w:rFonts w:ascii="Arial" w:hAnsi="Arial" w:cs="Arial"/>
          <w:lang w:val="en-US"/>
        </w:rPr>
        <w:t>reductions in abdominal pain compared to LPA youth</w:t>
      </w:r>
      <w:r w:rsidR="00320031">
        <w:rPr>
          <w:rFonts w:ascii="Arial" w:hAnsi="Arial" w:cs="Arial"/>
          <w:lang w:val="en-US"/>
        </w:rPr>
        <w:t xml:space="preserve">. </w:t>
      </w:r>
      <w:r w:rsidRPr="00DE0DDB">
        <w:rPr>
          <w:rFonts w:ascii="Arial" w:hAnsi="Arial" w:cs="Arial"/>
          <w:lang w:val="en-US"/>
        </w:rPr>
        <w:t xml:space="preserve">All </w:t>
      </w:r>
      <w:proofErr w:type="gramStart"/>
      <w:r w:rsidRPr="00DE0DDB">
        <w:rPr>
          <w:rFonts w:ascii="Arial" w:hAnsi="Arial" w:cs="Arial"/>
          <w:lang w:val="en-US"/>
        </w:rPr>
        <w:t>subgroups maintained</w:t>
      </w:r>
      <w:proofErr w:type="gramEnd"/>
      <w:r w:rsidRPr="00DE0DDB">
        <w:rPr>
          <w:rFonts w:ascii="Arial" w:hAnsi="Arial" w:cs="Arial"/>
          <w:lang w:val="en-US"/>
        </w:rPr>
        <w:t xml:space="preserve"> symptom reductions throughout the follow-up period.</w:t>
      </w:r>
      <w:r w:rsidR="00113B5F">
        <w:rPr>
          <w:rFonts w:ascii="Arial" w:hAnsi="Arial" w:cs="Arial"/>
        </w:rPr>
        <w:t xml:space="preserve"> R</w:t>
      </w:r>
      <w:r w:rsidR="00113B5F">
        <w:rPr>
          <w:rFonts w:ascii="Arial" w:eastAsia="Times New Roman" w:hAnsi="Arial" w:cs="Arial"/>
        </w:rPr>
        <w:t>esults suggest that s</w:t>
      </w:r>
      <w:r w:rsidRPr="00BC7500">
        <w:rPr>
          <w:rFonts w:ascii="Arial" w:eastAsia="Times New Roman" w:hAnsi="Arial" w:cs="Arial"/>
        </w:rPr>
        <w:t>ubgrouping FAP patients may inform treatment allocation and optimize treatment response.</w:t>
      </w:r>
      <w:r w:rsidRPr="00DE0DDB">
        <w:rPr>
          <w:rFonts w:ascii="Arial" w:hAnsi="Arial" w:cs="Arial"/>
        </w:rPr>
        <w:t xml:space="preserve"> </w:t>
      </w:r>
    </w:p>
    <w:p w14:paraId="6BA3A209" w14:textId="40976D4D" w:rsidR="002B319F" w:rsidRPr="00D91890" w:rsidRDefault="002B319F" w:rsidP="0054482E">
      <w:pPr>
        <w:spacing w:after="0" w:line="480" w:lineRule="auto"/>
        <w:rPr>
          <w:rFonts w:ascii="Arial" w:hAnsi="Arial" w:cs="Arial"/>
        </w:rPr>
      </w:pPr>
    </w:p>
    <w:p w14:paraId="7143F632" w14:textId="2AAFA07A" w:rsidR="00BC791B" w:rsidRDefault="00D96DAC" w:rsidP="00A7255F">
      <w:pPr>
        <w:spacing w:line="480" w:lineRule="auto"/>
        <w:rPr>
          <w:rFonts w:ascii="Arial" w:hAnsi="Arial" w:cs="Arial"/>
          <w:i/>
        </w:rPr>
      </w:pPr>
      <w:r w:rsidRPr="00DE0DDB">
        <w:rPr>
          <w:rFonts w:ascii="Arial" w:hAnsi="Arial" w:cs="Arial"/>
          <w:b/>
          <w:bCs/>
        </w:rPr>
        <w:t>Trial Registration:</w:t>
      </w:r>
      <w:r w:rsidRPr="00DE0DDB">
        <w:rPr>
          <w:rFonts w:ascii="Arial" w:hAnsi="Arial" w:cs="Arial"/>
        </w:rPr>
        <w:t xml:space="preserve"> ClinicalTrials.gov Identifier</w:t>
      </w:r>
      <w:r w:rsidR="005D4117" w:rsidRPr="00DE0DDB">
        <w:rPr>
          <w:rFonts w:ascii="Arial" w:hAnsi="Arial" w:cs="Arial"/>
        </w:rPr>
        <w:t xml:space="preserve">: </w:t>
      </w:r>
      <w:r w:rsidR="005D4117" w:rsidRPr="00DE0DDB">
        <w:rPr>
          <w:rFonts w:ascii="Arial" w:eastAsia="Times New Roman" w:hAnsi="Arial" w:cs="Arial"/>
          <w:shd w:val="clear" w:color="auto" w:fill="FFFFFF"/>
        </w:rPr>
        <w:t>NCT0232737</w:t>
      </w:r>
      <w:r w:rsidR="00D11823" w:rsidRPr="00DE0DDB">
        <w:rPr>
          <w:rFonts w:ascii="Arial" w:eastAsia="Times New Roman" w:hAnsi="Arial" w:cs="Arial"/>
          <w:shd w:val="clear" w:color="auto" w:fill="FFFFFF"/>
        </w:rPr>
        <w:t>7</w:t>
      </w:r>
      <w:r w:rsidRPr="00DE0DDB">
        <w:rPr>
          <w:rFonts w:ascii="Arial" w:hAnsi="Arial" w:cs="Arial"/>
        </w:rPr>
        <w:t xml:space="preserve">. </w:t>
      </w:r>
      <w:hyperlink r:id="rId8" w:history="1">
        <w:r w:rsidR="00E16FD4" w:rsidRPr="00BC1E31">
          <w:rPr>
            <w:rStyle w:val="Hyperlink"/>
            <w:rFonts w:ascii="Arial" w:hAnsi="Arial" w:cs="Arial"/>
          </w:rPr>
          <w:t>https://clinicaltrials.gov/ct2/show/NCT02327377</w:t>
        </w:r>
      </w:hyperlink>
      <w:r w:rsidR="00E16FD4">
        <w:rPr>
          <w:rFonts w:ascii="Arial" w:hAnsi="Arial" w:cs="Arial"/>
        </w:rPr>
        <w:t xml:space="preserve"> </w:t>
      </w:r>
    </w:p>
    <w:p w14:paraId="2EAC3679" w14:textId="77777777" w:rsidR="00A7255F" w:rsidRPr="00A7255F" w:rsidRDefault="00A7255F" w:rsidP="00A7255F">
      <w:pPr>
        <w:spacing w:line="480" w:lineRule="auto"/>
        <w:rPr>
          <w:rFonts w:ascii="Arial" w:hAnsi="Arial" w:cs="Arial"/>
          <w:i/>
        </w:rPr>
      </w:pPr>
    </w:p>
    <w:p w14:paraId="043F38D2" w14:textId="1FB284BE" w:rsidR="00AD31CC" w:rsidRDefault="00D96DAC" w:rsidP="00C50A39">
      <w:pPr>
        <w:jc w:val="center"/>
        <w:rPr>
          <w:rFonts w:ascii="Arial" w:hAnsi="Arial" w:cs="Arial"/>
          <w:b/>
          <w:bCs/>
        </w:rPr>
      </w:pPr>
      <w:r w:rsidRPr="00C50A39">
        <w:rPr>
          <w:rFonts w:ascii="Arial" w:hAnsi="Arial" w:cs="Arial"/>
          <w:b/>
          <w:bCs/>
        </w:rPr>
        <w:lastRenderedPageBreak/>
        <w:t>Introduction</w:t>
      </w:r>
    </w:p>
    <w:p w14:paraId="1E9B3D20" w14:textId="77777777" w:rsidR="00A7255F" w:rsidRPr="00C50A39" w:rsidRDefault="00A7255F" w:rsidP="00C50A39">
      <w:pPr>
        <w:jc w:val="center"/>
        <w:rPr>
          <w:rFonts w:ascii="Arial" w:hAnsi="Arial" w:cs="Arial"/>
          <w:b/>
          <w:bCs/>
        </w:rPr>
      </w:pPr>
    </w:p>
    <w:p w14:paraId="4117CB89" w14:textId="6D6E33FE" w:rsidR="00132D21" w:rsidRDefault="00132D21" w:rsidP="00C50A39">
      <w:pPr>
        <w:spacing w:after="0" w:line="480" w:lineRule="auto"/>
        <w:ind w:firstLine="720"/>
        <w:rPr>
          <w:rFonts w:ascii="Arial" w:hAnsi="Arial" w:cs="Arial"/>
        </w:rPr>
      </w:pPr>
      <w:r w:rsidRPr="00C50A39">
        <w:rPr>
          <w:rFonts w:ascii="Arial" w:hAnsi="Arial" w:cs="Arial"/>
        </w:rPr>
        <w:t xml:space="preserve">Functional abdominal pain </w:t>
      </w:r>
      <w:r w:rsidR="007F3DEE" w:rsidRPr="00C50A39">
        <w:rPr>
          <w:rFonts w:ascii="Arial" w:hAnsi="Arial" w:cs="Arial"/>
        </w:rPr>
        <w:t xml:space="preserve">(FAP) </w:t>
      </w:r>
      <w:r w:rsidRPr="00C50A39">
        <w:rPr>
          <w:rFonts w:ascii="Arial" w:hAnsi="Arial" w:cs="Arial"/>
        </w:rPr>
        <w:t xml:space="preserve">– persistent pain </w:t>
      </w:r>
      <w:r w:rsidR="00C977FC" w:rsidRPr="00C50A39">
        <w:rPr>
          <w:rFonts w:ascii="Arial" w:hAnsi="Arial" w:cs="Arial"/>
        </w:rPr>
        <w:t xml:space="preserve">not associated with organic causes </w:t>
      </w:r>
      <w:r w:rsidRPr="00C50A39">
        <w:rPr>
          <w:rFonts w:ascii="Arial" w:hAnsi="Arial" w:cs="Arial"/>
        </w:rPr>
        <w:t xml:space="preserve">– </w:t>
      </w:r>
      <w:r w:rsidR="00BE3B8B" w:rsidRPr="00C50A39">
        <w:rPr>
          <w:rFonts w:ascii="Arial" w:hAnsi="Arial" w:cs="Arial"/>
        </w:rPr>
        <w:t xml:space="preserve">is </w:t>
      </w:r>
      <w:r w:rsidRPr="00C50A39">
        <w:rPr>
          <w:rFonts w:ascii="Arial" w:hAnsi="Arial" w:cs="Arial"/>
        </w:rPr>
        <w:t xml:space="preserve">common </w:t>
      </w:r>
      <w:r w:rsidR="00BE3B8B" w:rsidRPr="00C50A39">
        <w:rPr>
          <w:rFonts w:ascii="Arial" w:hAnsi="Arial" w:cs="Arial"/>
        </w:rPr>
        <w:t xml:space="preserve">in </w:t>
      </w:r>
      <w:proofErr w:type="spellStart"/>
      <w:r w:rsidRPr="00C50A39">
        <w:rPr>
          <w:rFonts w:ascii="Arial" w:hAnsi="Arial" w:cs="Arial"/>
        </w:rPr>
        <w:t>pediatric</w:t>
      </w:r>
      <w:proofErr w:type="spellEnd"/>
      <w:r w:rsidRPr="00C50A39">
        <w:rPr>
          <w:rFonts w:ascii="Arial" w:hAnsi="Arial" w:cs="Arial"/>
        </w:rPr>
        <w:t xml:space="preserve"> </w:t>
      </w:r>
      <w:r w:rsidR="00FC608C" w:rsidRPr="00C50A39">
        <w:rPr>
          <w:rFonts w:ascii="Arial" w:hAnsi="Arial" w:cs="Arial"/>
        </w:rPr>
        <w:t>care</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878h9sj6j","properties":{"formattedCitation":"[7,31,33]","plainCitation":"[7,31,33]","noteIndex":0},"citationItems":[{"id":145,"uris":["http://zotero.org/users/7139165/items/X5NAE62W"],"uri":["http://zotero.org/users/7139165/items/X5NAE62W"],"itemData":{"id":145,"type":"article-journal","abstract":"OBJECTIVES: To estimate annual medical and nonmedical costs of care for children diagnosed with irritable bowel syndrome (IBS) or functional abdominal pain (syndrome; FAP/FAPS).\nSTUDY DESIGN: Baseline data from children with IBS or FAP/FAPS who were included in a multicenter trial (NTR2725) in The Netherlands were analyzed. Patients' parents completed a questionnaire concerning usage of healthcare resources, travel costs, out-of-pocket expenses, productivity loss of parents, and supportive measures at school. Use of abdominal pain related prescription medication was derived from case reports forms. Total annual costs per patient were calculated as the sum of direct and indirect medical and nonmedical costs. Costs of initial diagnostic investigations were not included.\nRESULTS: A total of 258 children, mean age 13.4 years (±5.5), were included, and 183 (70.9%) were female. Total annual costs per patient were estimated to be €2512.31. Inpatient and outpatient healthcare use were major cost drivers, accounting for 22.5% and 35.2% of total annual costs, respectively. Parental productivity loss accounted for 22.2% of total annual costs. No difference was found in total costs between children with IBS or FAP/FAPS.\nCONCLUSIONS: Pediatric abdominal pain related functional gastrointestinal disorders impose a large economic burden on patients' families and healthcare systems. More than one-half of total annual costs of IBS and FAP/FAPS consist of inpatient and outpatient healthcare use.\nTRIAL REGISTRATION: Netherlands Trial Registry: NTR2725.","container-title":"The Journal of Pediatrics","DOI":"10.1016/j.jpeds.2015.07.058","ISSN":"1097-6833","issue":"5","journalAbbreviation":"J. Pediatr.","language":"eng","note":"PMID: 26329806","page":"1103-1108.e2","source":"PubMed","title":"Annual costs of care for pediatric irritable bowel syndrome, functional abdominal pain, and functional abdominal pain syndrome","volume":"167","author":[{"family":"Hoekman","given":"Daniël R."},{"family":"Rutten","given":"Juliette M. T. M."},{"family":"Vlieger","given":"Arine M."},{"family":"Benninga","given":"Marc A."},{"family":"Dijkgraaf","given":"Marcel G. W."}],"issued":{"date-parts":[["2015",11]]}}},{"id":199,"uris":["http://zotero.org/users/7139165/items/B7BBZXCZ"],"uri":["http://zotero.org/users/7139165/items/B7BBZXCZ"],"itemData":{"id":199,"type":"article-journal","abstract":"OBJECTIVES: Symptom-based diagnostic criteria have improved recognition and standardization of pediatric functional gastrointestinal disorders (FGIDs). We used Rome 3 diagnostic criteria to determine the prevalence of FGIDs in pediatric gastroenterology clinic. In the process, we developed a diagnostic questionnaire for infants and toddlers.\nMETHODS: We enrolled new patients ≤18 years referred during 19 months to a pediatric gastroenterology clinic. Subjects or parents completed a demographic survey and a the Questionnaire on Pediatric Gastrointestinal symptoms, Rome 3 Version (if ≥4 years, or a new infant-toddler questionnaire) before their appointment.\nRESULTS: We acquired data from 976 subjects: 476 boys, 592 white. Of 332 subjects &lt;4 years, 172 (52%) met diagnostic criteria for ≥1 FGIDs. Of 644 subjects ≥4 years, 486 (75%) met diagnostic criteria for ≥1 FGIDs. Thirty one (9%) subjects &lt;4 years and 170 (26%) subjects ≥4 years met the criteria for ≥2 FGIDs. Of the total sample of subjects &lt;4 years, common FGIDs included functional constipation (29%), infant regurgitation (13%), and cyclic vomiting syndrome (10%). Of the total sample of subjects ≥4 years, common FGIDs included irritable bowel syndrome (36%), abdominal migraine (19%), functional constipation (17%), cyclic vomiting syndrome (8%), functional abdominal pain syndrome (7%), aerophagia (7%), and functional dyspepsia (7%).\nCONCLUSIONS: More than half of new pediatric gastrointestinal clinic patients met the Rome 3 criteria for ≥1 FGIDs. Satisfying the criteria may facilitate diagnosis on the first visit.","container-title":"Journal of Pediatric Gastroenterology and Nutrition","DOI":"10.1097/MPG.0000000000001023","ISSN":"1536-4801","issue":"6","journalAbbreviation":"J. Pediatr. Gastroenterol. Nutr.","language":"eng","note":"PMID: 26513617","page":"847-851","source":"PubMed","title":"Functional gastrointestinal disorders dominate pediatric gastroenterology outpatient practice","volume":"62","author":[{"family":"Rouster","given":"Audra S."},{"family":"Karpinski","given":"Aryn C."},{"family":"Silver","given":"David"},{"family":"Monagas","given":"Javier"},{"family":"Hyman","given":"Paul E."}],"issued":{"date-parts":[["2016"]]}}},{"id":203,"uris":["http://zotero.org/users/7139165/items/64SDX2IW"],"uri":["http://zotero.org/users/7139165/items/64SDX2IW"],"itemData":{"id":203,"type":"article-journal","abstract":"OBJECTIVES: To assess the prevalence of functional gastrointestinal disorders (FGIDs) in children using Rome IV criteria and to compare the prevalence of FGIDs using Rome IV with Rome III criteria.\nSTUDY DESIGN: This was a cross-sectional study using the same methods as our previous study on FGIDs in Colombia. The Questionnaire of Pediatric Gastrointestinal Symptoms Rome IV version was translated into Spanish, followed by reverse translation. Terms were adjusted to children's language by using focus groups of children. School children aged 8-18 years completed the Spanish version of the Questionnaire of Pediatric Gastrointestinal Symptoms Rome IV. Data were compared with Rome III data.\nRESULTS: In total, there were 3567 children (from 6 cities): 1071 preadolescents (8-12 years) and 2496 adolescents (13-18 years). Average age 13.7 ± 2.4 years (56.5% girls). A total of 21.2% of children had at least 1 FGID. Prevalence was significantly lower than Rome III (P = .004). Similar to Rome III, disorders of defecation were the most common, followed by abdominal pain, and disorders of nausea and vomiting. Prevalence of abdominal migraine decreased (P = .000) and functional dyspepsia increased (P = .000). The new diagnoses functional vomiting and functional nausea were present in 0.7% of all children.\nCONCLUSIONS: The application of the Rome IV criteria resulted in a significantly lower prevalence of FGIDs; however, the relative frequency of each subgroup of disorders did not change. New diagnoses of the Rome IV criteria were present in a small percentage of children.","container-title":"The Journal of Pediatrics","DOI":"10.1016/j.jpeds.2018.03.037","ISSN":"1097-6833","journalAbbreviation":"J. Pediatr.","language":"eng","note":"PMID: 29747935","page":"212-216","source":"PubMed","title":"Prevalence of functional gastrointestinal disorders in children and adolescents: Comparison between Rome III and Rome IV criteria","title-short":"Prevalence of Functional Gastrointestinal Disorders in Children and Adolescents","volume":"199","author":[{"family":"Saps","given":"Miguel"},{"family":"Velasco-Benitez","given":"Carlos Alberto"},{"family":"Langshaw","given":"Amber Hamid"},{"family":"Ramírez-Hernández","given":"Carmen Rosy"}],"issued":{"date-parts":[["2018"]]}}}],"schema":"https://github.com/citation-style-language/schema/raw/master/csl-citation.json"}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[7,31,33]</w:t>
      </w:r>
      <w:r w:rsidR="001B38E6" w:rsidRPr="00C50A39">
        <w:rPr>
          <w:rFonts w:ascii="Arial" w:hAnsi="Arial" w:cs="Arial"/>
        </w:rPr>
        <w:fldChar w:fldCharType="end"/>
      </w:r>
      <w:r w:rsidR="006F51B3">
        <w:rPr>
          <w:rFonts w:ascii="Arial" w:hAnsi="Arial" w:cs="Arial"/>
        </w:rPr>
        <w:t>.</w:t>
      </w:r>
      <w:r w:rsidR="001B38E6" w:rsidRPr="00C50A39">
        <w:rPr>
          <w:rFonts w:ascii="Arial" w:hAnsi="Arial" w:cs="Arial"/>
        </w:rPr>
        <w:t xml:space="preserve"> </w:t>
      </w:r>
      <w:r w:rsidR="00BE3B8B" w:rsidRPr="00C50A39">
        <w:rPr>
          <w:rFonts w:ascii="Arial" w:hAnsi="Arial" w:cs="Arial"/>
        </w:rPr>
        <w:t xml:space="preserve">Upon </w:t>
      </w:r>
      <w:r w:rsidR="00AC5762">
        <w:rPr>
          <w:rFonts w:ascii="Arial" w:hAnsi="Arial" w:cs="Arial"/>
        </w:rPr>
        <w:t xml:space="preserve">medical </w:t>
      </w:r>
      <w:r w:rsidR="00BE3B8B" w:rsidRPr="00C50A39">
        <w:rPr>
          <w:rFonts w:ascii="Arial" w:hAnsi="Arial" w:cs="Arial"/>
        </w:rPr>
        <w:t xml:space="preserve">evaluation, most youth with FAP meet Rome criteria for </w:t>
      </w:r>
      <w:r w:rsidR="004864A4" w:rsidRPr="00C50A39">
        <w:rPr>
          <w:rFonts w:ascii="Arial" w:hAnsi="Arial" w:cs="Arial"/>
        </w:rPr>
        <w:t>a</w:t>
      </w:r>
      <w:r w:rsidR="000B5A62" w:rsidRPr="00C50A39">
        <w:rPr>
          <w:rFonts w:ascii="Arial" w:hAnsi="Arial" w:cs="Arial"/>
        </w:rPr>
        <w:t xml:space="preserve"> </w:t>
      </w:r>
      <w:r w:rsidR="00BE3B8B" w:rsidRPr="00C50A39">
        <w:rPr>
          <w:rFonts w:ascii="Arial" w:hAnsi="Arial" w:cs="Arial"/>
        </w:rPr>
        <w:t xml:space="preserve">functional abdominal pain disorder, </w:t>
      </w:r>
      <w:r w:rsidR="00E54A11">
        <w:rPr>
          <w:rFonts w:ascii="Arial" w:hAnsi="Arial" w:cs="Arial"/>
        </w:rPr>
        <w:t>including</w:t>
      </w:r>
      <w:r w:rsidR="004864A4" w:rsidRPr="00C50A39">
        <w:rPr>
          <w:rFonts w:ascii="Arial" w:hAnsi="Arial" w:cs="Arial"/>
        </w:rPr>
        <w:t xml:space="preserve"> </w:t>
      </w:r>
      <w:r w:rsidR="00BE3B8B" w:rsidRPr="00C50A39">
        <w:rPr>
          <w:rFonts w:ascii="Arial" w:hAnsi="Arial" w:cs="Arial"/>
        </w:rPr>
        <w:t>irritable bowel syndrome, functional dyspepsia, and FAP not otherwise specified</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2bjn9lljvv","properties":{"formattedCitation":"[8]","plainCitation":"[8]","noteIndex":0},"citationItems":[{"id":147,"uris":["http://zotero.org/users/7139165/items/ZXKIDWH5"],"uri":["http://zotero.org/users/7139165/items/ZXKIDWH5"],"itemData":{"id":147,"type":"article-journal","abstract":"Characterization of childhood and adolescent functional gastrointestinal disorders (FGIDs) has evolved during the 2−decade long Rome process now culminating in Rome IV. The era of diagnosing an FGID only when organic disease has been excluded is waning, as we now have evidence to support symptom-based diagnosis. In child/adolescent Rome IV, we extend this concept by removing the dictum that there was “no evidence for organic disease” in all definitions and replacing it with “after appropriate medical evaluation the symptoms cannot be attributed to another medical condition.” This change allows the clinician to perform selective or no testing to support a positive diagnosis of an FGID. We also point out that FGIDs can coexist with other medical conditions that themselves result in GI symptoms (eg, inflammatory bowel disease). In Rome IV, functional nausea and functional vomiting are now described. Rome III’s “abdominal pain related functional gastrointestinal disorders” has been changed to “functional abdominal pain disorders” and we have derived a new term, functional abdominal pain—not otherwise specified, to describe children who do not fit a specific disorder, such as irritable bowel, functional dyspepsia, or abdominal migraine. Rome IV FGID definitions should enhance clarity for both clinicians and researchers.","container-title":"Gastroenterology","DOI":"https://doi.org/10.1053/j.gastro.2016.02.015","ISSN":"0016-5085","issue":"6","journalAbbreviation":"Gastroenterology","note":"PMID: 16678566\nPMCID: PMC7104693","page":"1456-1468.E2","source":"PubMed Central","title":"Childhood functional gastrointestinal disorders: Child/adolescent","title-short":"Childhood Functional Gastrointestinal Disorders","volume":"150","author":[{"family":"Hyams","given":"Jeffrey S."},{"family":"Di Lorenzo","given":"Carlo"},{"family":"Saps","given":"Miguel"},{"family":"Shulman","given":"Robert J."},{"family":"Staiano","given":"Annamaria"},{"family":"Tilburg","given":"Miranda","non-dropping-particle":"van"}],"issued":{"date-parts":[["2016"]]}}}],"schema":"https://github.com/citation-style-language/schema/raw/master/csl-citation.json"} </w:instrText>
      </w:r>
      <w:r w:rsidR="001B38E6" w:rsidRPr="00C50A39">
        <w:rPr>
          <w:rFonts w:ascii="Arial" w:hAnsi="Arial" w:cs="Arial"/>
        </w:rPr>
        <w:fldChar w:fldCharType="separate"/>
      </w:r>
      <w:r w:rsidR="007346C0" w:rsidRPr="007346C0">
        <w:rPr>
          <w:rFonts w:ascii="Arial" w:hAnsi="Arial" w:cs="Arial"/>
          <w:szCs w:val="24"/>
        </w:rPr>
        <w:t>[8]</w:t>
      </w:r>
      <w:r w:rsidR="001B38E6" w:rsidRPr="00C50A39">
        <w:rPr>
          <w:rFonts w:ascii="Arial" w:hAnsi="Arial" w:cs="Arial"/>
        </w:rPr>
        <w:fldChar w:fldCharType="end"/>
      </w:r>
      <w:r w:rsidR="006F51B3">
        <w:rPr>
          <w:rFonts w:ascii="Arial" w:hAnsi="Arial" w:cs="Arial"/>
        </w:rPr>
        <w:t>.</w:t>
      </w:r>
      <w:r w:rsidR="00BE3B8B" w:rsidRPr="00C50A39">
        <w:rPr>
          <w:rFonts w:ascii="Arial" w:hAnsi="Arial" w:cs="Arial"/>
        </w:rPr>
        <w:t xml:space="preserve"> </w:t>
      </w:r>
      <w:r w:rsidR="00DD0355" w:rsidRPr="00C50A39">
        <w:rPr>
          <w:rFonts w:ascii="Arial" w:hAnsi="Arial" w:cs="Arial"/>
        </w:rPr>
        <w:t>G</w:t>
      </w:r>
      <w:r w:rsidR="00C369B4" w:rsidRPr="00C50A39">
        <w:rPr>
          <w:rFonts w:ascii="Arial" w:hAnsi="Arial" w:cs="Arial"/>
        </w:rPr>
        <w:t>iven</w:t>
      </w:r>
      <w:r w:rsidR="007F3DEE" w:rsidRPr="00C50A39">
        <w:rPr>
          <w:rFonts w:ascii="Arial" w:hAnsi="Arial" w:cs="Arial"/>
        </w:rPr>
        <w:t xml:space="preserve"> the importance of brain-gut interaction</w:t>
      </w:r>
      <w:r w:rsidR="00232E4C" w:rsidRPr="00C50A39">
        <w:rPr>
          <w:rFonts w:ascii="Arial" w:hAnsi="Arial" w:cs="Arial"/>
        </w:rPr>
        <w:t xml:space="preserve"> </w:t>
      </w:r>
      <w:r w:rsidR="007F3DEE" w:rsidRPr="00C50A39">
        <w:rPr>
          <w:rFonts w:ascii="Arial" w:hAnsi="Arial" w:cs="Arial"/>
        </w:rPr>
        <w:t>in</w:t>
      </w:r>
      <w:r w:rsidR="00BE3B8B" w:rsidRPr="00C50A39">
        <w:rPr>
          <w:rFonts w:ascii="Arial" w:hAnsi="Arial" w:cs="Arial"/>
        </w:rPr>
        <w:t xml:space="preserve"> </w:t>
      </w:r>
      <w:r w:rsidR="00AD31CC" w:rsidRPr="00C50A39">
        <w:rPr>
          <w:rFonts w:ascii="Arial" w:hAnsi="Arial" w:cs="Arial"/>
        </w:rPr>
        <w:t xml:space="preserve">functional gastrointestinal disorders </w:t>
      </w:r>
      <w:r w:rsidR="0045509D" w:rsidRPr="00C50A39">
        <w:rPr>
          <w:rFonts w:ascii="Arial" w:hAnsi="Arial" w:cs="Arial"/>
        </w:rPr>
        <w:t>(FGIDs)</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20idq2tq6e","properties":{"formattedCitation":"[41]","plainCitation":"[41]","noteIndex":0},"citationItems":[{"id":220,"uris":["http://zotero.org/users/7139165/items/HK6D4F4F"],"uri":["http://zotero.org/users/7139165/items/HK6D4F4F"],"itemData":{"id":220,"type":"article-journal","abstract":"In this paper, we provide a general framework for understanding the functional gastrointestinal disorders (FGID) from a biopsychosocial perspective. More specifically, we provide an overview of the recent research on how the complex interactions of environmental, psychological, and biological factors contribute to the development and maintenance of the FGID. We emphasize that considering and addressing all these factors is a conditio sine qua non for appropriate treatment of these conditions. First, we provide an overview of what is currently known about how each of these factors - the environment, including the influence of those in an individual's family, the individual's own psychological states and traits, and the individual's (neuro)physiological make-up - interact to ultimately result in the generation of FGID symptoms. Second, we provide an overview of commonly used assessment tools which can assist clinicians in obtaining a more comprehensive assessment of these factors in their patients. Finally, the broader perspective outlined earlier is applied to provide an overview of centrally acting treatment strategies, both psychological and pharmacological, which have been shown to be efficacious to treat FGID.","container-title":"Gastroenterology","DOI":"10.1053/j.gastro.2016.02.027","ISSN":"1528-0012","journalAbbreviation":"Gastroenterology","language":"eng","note":"PMID: 27144624","source":"PubMed","title":"Biopsychosocial aspects of functional gastrointestinal disorders","author":[{"family":"Van Oudenhove","given":"Lukas"},{"family":"Crowell","given":"Michael D."},{"family":"Drossman","given":"Douglas A."},{"family":"Halpert","given":"Albena D."},{"family":"Keefer","given":"Laurie"},{"family":"Lackner","given":"Jeffrey M."},{"family":"Murphy","given":"Tasha B."},{"family":"Naliboff","given":"Bruce D."},{"family":"Levy","given":"Rona L."}],"issued":{"date-parts":[["2016",2,18]]}}}],"schema":"https://github.com/citation-style-language/schema/raw/master/csl-citation.json"}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[41]</w:t>
      </w:r>
      <w:r w:rsidR="001B38E6" w:rsidRPr="00C50A39">
        <w:rPr>
          <w:rFonts w:ascii="Arial" w:hAnsi="Arial" w:cs="Arial"/>
        </w:rPr>
        <w:fldChar w:fldCharType="end"/>
      </w:r>
      <w:r w:rsidR="006F51B3">
        <w:rPr>
          <w:rFonts w:ascii="Arial" w:hAnsi="Arial" w:cs="Arial"/>
        </w:rPr>
        <w:t>,</w:t>
      </w:r>
      <w:r w:rsidR="00DD0355" w:rsidRPr="00C50A39">
        <w:rPr>
          <w:rFonts w:ascii="Arial" w:hAnsi="Arial" w:cs="Arial"/>
        </w:rPr>
        <w:t xml:space="preserve"> a biopsychosocial approach is </w:t>
      </w:r>
      <w:r w:rsidR="00392D6D" w:rsidRPr="00C50A39">
        <w:rPr>
          <w:rFonts w:ascii="Arial" w:hAnsi="Arial" w:cs="Arial"/>
        </w:rPr>
        <w:t>common</w:t>
      </w:r>
      <w:r w:rsidR="007F3DEE" w:rsidRPr="00C50A39">
        <w:rPr>
          <w:rFonts w:ascii="Arial" w:hAnsi="Arial" w:cs="Arial"/>
        </w:rPr>
        <w:t xml:space="preserve"> and </w:t>
      </w:r>
      <w:r w:rsidR="00AD31CC" w:rsidRPr="00C50A39">
        <w:rPr>
          <w:rFonts w:ascii="Arial" w:hAnsi="Arial" w:cs="Arial"/>
        </w:rPr>
        <w:t>under</w:t>
      </w:r>
      <w:r w:rsidR="00DA6624" w:rsidRPr="00C50A39">
        <w:rPr>
          <w:rFonts w:ascii="Arial" w:hAnsi="Arial" w:cs="Arial"/>
        </w:rPr>
        <w:t>lies</w:t>
      </w:r>
      <w:r w:rsidR="007F3DEE" w:rsidRPr="00C50A39">
        <w:rPr>
          <w:rFonts w:ascii="Arial" w:hAnsi="Arial" w:cs="Arial"/>
        </w:rPr>
        <w:t xml:space="preserve"> treatments that </w:t>
      </w:r>
      <w:r w:rsidR="00AD31CC" w:rsidRPr="00C50A39">
        <w:rPr>
          <w:rFonts w:ascii="Arial" w:hAnsi="Arial" w:cs="Arial"/>
        </w:rPr>
        <w:t>target</w:t>
      </w:r>
      <w:r w:rsidR="007F3DEE" w:rsidRPr="00C50A39">
        <w:rPr>
          <w:rFonts w:ascii="Arial" w:hAnsi="Arial" w:cs="Arial"/>
        </w:rPr>
        <w:t xml:space="preserve"> psychosocial factors</w:t>
      </w:r>
      <w:r w:rsidR="00AD31CC" w:rsidRPr="00C50A39">
        <w:rPr>
          <w:rFonts w:ascii="Arial" w:hAnsi="Arial" w:cs="Arial"/>
        </w:rPr>
        <w:t xml:space="preserve"> </w:t>
      </w:r>
      <w:r w:rsidR="00392D6D" w:rsidRPr="00C50A39">
        <w:rPr>
          <w:rFonts w:ascii="Arial" w:hAnsi="Arial" w:cs="Arial"/>
        </w:rPr>
        <w:t>in FAP</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bh7um0i65","properties":{"formattedCitation":"[29]","plainCitation":"[29]","noteIndex":0},"citationItems":[{"id":196,"uris":["http://zotero.org/users/7139165/items/37HT8C8L"],"uri":["http://zotero.org/users/7139165/items/37HT8C8L"],"itemData":{"id":196,"type":"article-journal","abstract":"Pediatric gastroenterological disorders are frequently encountered by the practicing pediatric psychologist and can be challenging to treat due to the range of presenting symptoms and potentially high impact on patient’s functioning. In this article, the authors aim to (a) describe the brain–gut axis as a means to increase understanding among pediatric psychologists of the biological mechanisms implicated in pediatric GI disorders and how their interactions with psychological and contextual factors maintain GI symptoms and (b) provide practical ways for pediatric psychologists to incorporate the discussion of biological mechanisms and the brain–gut axis into patient education and psychological interventions. Biological mechanisms of the brain–gut axis including alterations in pain processing, the stress response system, and gut microbiome activity will be reviewed. Psychosocial factors that contribute to or maintain disturbances in the brain–gut axis are discussed with implications for clinical assessment and intervention. The authors assert that a mutual understanding by patients, families, and providers alike of the relevant brain–gut interactions and the biopsychosocial model, in general, will serve as a foundation for successful delivery of and adherence to psychological intervention. (PsycINFO Database Record (c) 2017 APA, all rights reserved)","container-title":"Clinical Practice in Pediatric Psychology","DOI":"10.1037/cpp0000166","ISSN":"2169-4834(Electronic),2169-4826(Print)","issue":"1","note":"publisher-place: US\npublisher: Educational Publishing Foundation","page":"93-105","source":"APA PsycNET","title":"Brain–gut interactions and maintenance factors in pediatric gastroenterological disorders: Recommendations for clinical care","title-short":"Brain–gut interactions and maintenance factors in pediatric gastroenterological disorders","volume":"5","author":[{"family":"Reed-Knight","given":"Bonney"},{"family":"Maddux","given":"Michele H."},{"family":"Deacy","given":"Amanda D."},{"family":"Lamparyk","given":"Katherine"},{"family":"Stone","given":"Amanda L."},{"family":"Mackner","given":"Laura"}],"issued":{"date-parts":[["2017"]]}}}],"schema":"https://github.com/citation-style-language/schema/raw/master/csl-citation.json"}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[29]</w:t>
      </w:r>
      <w:r w:rsidR="001B38E6" w:rsidRPr="00C50A39">
        <w:rPr>
          <w:rFonts w:ascii="Arial" w:hAnsi="Arial" w:cs="Arial"/>
        </w:rPr>
        <w:fldChar w:fldCharType="end"/>
      </w:r>
      <w:r w:rsidR="006F51B3">
        <w:rPr>
          <w:rFonts w:ascii="Arial" w:hAnsi="Arial" w:cs="Arial"/>
        </w:rPr>
        <w:t>.</w:t>
      </w:r>
      <w:r w:rsidR="007F3DEE" w:rsidRPr="00C50A39">
        <w:rPr>
          <w:rFonts w:ascii="Arial" w:hAnsi="Arial" w:cs="Arial"/>
        </w:rPr>
        <w:t xml:space="preserve"> Inconsistent results</w:t>
      </w:r>
      <w:r w:rsidR="001B38E6" w:rsidRPr="00C50A39">
        <w:rPr>
          <w:rFonts w:ascii="Arial" w:hAnsi="Arial" w:cs="Arial"/>
        </w:rPr>
        <w:fldChar w:fldCharType="begin"/>
      </w:r>
      <w:r w:rsidR="00F30351">
        <w:rPr>
          <w:rFonts w:ascii="Arial" w:hAnsi="Arial" w:cs="Arial"/>
        </w:rPr>
        <w:instrText xml:space="preserve"> ADDIN ZOTERO_ITEM CSL_CITATION {"citationID":"a1i4vqh3okk","properties":{"formattedCitation":"[1,29]","plainCitation":"[1,29]","dontUpdate":true,"noteIndex":0},"citationItems":[{"id":123,"uris":["http://zotero.org/users/7139165/items/SGHVFQN4"],"uri":["http://zotero.org/users/7139165/items/SGHVFQN4"],"itemData":{"id":123,"type":"article-journal","container-title":"Cochrane Database of Systematic Reviews","DOI":"10.1002/14651858.CD010971.pub2","ISSN":"14651858","language":"en","source":"DOI.org (Crossref)","title":"Psychosocial interventions for recurrent abdominal pain in childhood","URL":"http://doi.wiley.com/10.1002/14651858.CD010971.pub2","author":[{"family":"Abbott","given":"Rebecca A"},{"family":"Martin","given":"Alice E"},{"family":"Newlove-Delgado","given":"Tamsin V"},{"family":"Bethel","given":"Alison"},{"family":"Thompson-Coon","given":"Joanna"},{"family":"Whear","given":"Rebecca"},{"family":"Logan","given":"Stuart"}],"editor":[{"literal":"Cochrane Developmental, Psychosocial and Learning Problems Group"}],"accessed":{"date-parts":[["2020",8,3]]},"issued":{"date-parts":[["2017",1,10]]}}},{"id":201,"uris":["http://zotero.org/users/7139165/items/W32VKHHK"],"uri":["http://zotero.org/users/7139165/items/W32VKHHK"],"itemData":{"id":201,"type":"article-journal","abstract":"BACKGROUND AND OBJECTIVE: Various nonpharmacologic treatments are available for pediatric abdominal pain-related functional gastrointestinal disorders (AP-FGIDs). Data on efficacy and safety are scarce. The goal of this study was to summarize the evidence regarding nonpharmacologic interventions for pediatric AP-FGIDs: lifestyle interventions, dietary interventions, behavioral interventions, prebiotics and probiotics, and alternative medicine.\nMETHODS: Searches were conducted of the Medline and Cochrane Library databases. Systematic reviews and randomized controlled trials (RCTs) concerning nonpharmacologic therapies in children (aged 3-18 years) with AP-FGIDs were included, and data were extracted on participants, interventions, and outcomes. The quality of evidence was assessed by using the GRADE approach.\nRESULTS: Twenty-four RCTs were found that included 1390 children. Significant improvement of abdominal pain was reported after hypnotherapy compared with standard care/wait-list approaches and after cognitive behavioral therapy compared with a variety of control treatments/wait-list approaches. Written self-disclosure improved pain frequency at the 6-month follow-up only. Compared with placebo, Lactobacillus rhamnosus GG (LGG) and VSL#3 were associated with significantly more treatment responders (LGG relative risk: 1.31 [95% confidence interval: 1.08 to 1.59]; VSL#3: P &lt; .05). Guar gum significantly improved irritable bowel syndrome symptom frequency; however, no effect was found for other fiber supplements (relative risk: 1.17 [95% confidence interval: 0.75 to 1.81]) or a lactose-free diet. Functional disability was not significantly decreased after yoga compared with a wait-list approach. No studies were found concerning lifestyle interventions; gluten-, histamine-, or carbonic acid-free diets; fluid intake; or prebiotics. No serious adverse effects were reported. The quality of evidence was found to be very low to moderate.\nCONCLUSIONS: Although high-quality studies are lacking, some evidence shows efficacy of hypnotherapy, cognitive behavioral therapy, and probiotics (LGG and VSL#3) in pediatric AP-FGIDs. Data on fiber supplements are inconclusive.","container-title":"Pediatrics","DOI":"10.1542/peds.2014-2123","ISSN":"1098-4275","issue":"3","journalAbbreviation":"Pediatrics","language":"eng","note":"PMID: 25667239","page":"522-535","source":"PubMed","title":"Nonpharmacologic treatment of functional abdominal pain disorders: a systematic review","title-short":"Nonpharmacologic treatment of functional abdominal pain disorders","volume":"135","author":[{"family":"Rutten","given":"Juliette M. T. M."},{"family":"Korterink","given":"Judith J."},{"family":"Venmans","given":"Leonie M. A. J."},{"family":"Benninga","given":"Marc A."},{"family":"Tabbers","given":"Merit M."}],"issued":{"date-parts":[["2015",3]]}}}],"schema":"https://github.com/citation-style-language/schema/raw/master/csl-citation.json"} </w:instrText>
      </w:r>
      <w:r w:rsidR="001B38E6" w:rsidRPr="00C50A39">
        <w:rPr>
          <w:rFonts w:ascii="Arial" w:hAnsi="Arial" w:cs="Arial"/>
        </w:rPr>
        <w:fldChar w:fldCharType="separate"/>
      </w:r>
      <w:r w:rsidR="006F51B3">
        <w:rPr>
          <w:rFonts w:ascii="Arial" w:hAnsi="Arial" w:cs="Arial"/>
        </w:rPr>
        <w:t xml:space="preserve"> </w:t>
      </w:r>
      <w:r w:rsidR="006F51B3" w:rsidRPr="006F51B3">
        <w:rPr>
          <w:rFonts w:ascii="Arial" w:hAnsi="Arial" w:cs="Arial"/>
        </w:rPr>
        <w:t>[1,29]</w:t>
      </w:r>
      <w:r w:rsidR="001B38E6" w:rsidRPr="00C50A39">
        <w:rPr>
          <w:rFonts w:ascii="Arial" w:hAnsi="Arial" w:cs="Arial"/>
        </w:rPr>
        <w:fldChar w:fldCharType="end"/>
      </w:r>
      <w:r w:rsidR="007F3DEE" w:rsidRPr="00C50A39">
        <w:rPr>
          <w:rFonts w:ascii="Arial" w:hAnsi="Arial" w:cs="Arial"/>
        </w:rPr>
        <w:t xml:space="preserve"> may be </w:t>
      </w:r>
      <w:r w:rsidR="004864A4" w:rsidRPr="00C50A39">
        <w:rPr>
          <w:rFonts w:ascii="Arial" w:hAnsi="Arial" w:cs="Arial"/>
        </w:rPr>
        <w:t xml:space="preserve">partially </w:t>
      </w:r>
      <w:r w:rsidR="007F3DEE" w:rsidRPr="00C50A39">
        <w:rPr>
          <w:rFonts w:ascii="Arial" w:hAnsi="Arial" w:cs="Arial"/>
        </w:rPr>
        <w:t xml:space="preserve">due to failure of </w:t>
      </w:r>
      <w:r w:rsidR="00290C18" w:rsidRPr="00C50A39">
        <w:rPr>
          <w:rFonts w:ascii="Arial" w:hAnsi="Arial" w:cs="Arial"/>
        </w:rPr>
        <w:t xml:space="preserve">these </w:t>
      </w:r>
      <w:r w:rsidR="007F3DEE" w:rsidRPr="00C50A39">
        <w:rPr>
          <w:rFonts w:ascii="Arial" w:hAnsi="Arial" w:cs="Arial"/>
        </w:rPr>
        <w:t>treatment</w:t>
      </w:r>
      <w:r w:rsidR="00B75541" w:rsidRPr="00C50A39">
        <w:rPr>
          <w:rFonts w:ascii="Arial" w:hAnsi="Arial" w:cs="Arial"/>
        </w:rPr>
        <w:t>s</w:t>
      </w:r>
      <w:r w:rsidR="007F3DEE" w:rsidRPr="00C50A39">
        <w:rPr>
          <w:rFonts w:ascii="Arial" w:hAnsi="Arial" w:cs="Arial"/>
        </w:rPr>
        <w:t xml:space="preserve"> to address heterogeneity in </w:t>
      </w:r>
      <w:r w:rsidR="00AB322C" w:rsidRPr="00C50A39">
        <w:rPr>
          <w:rFonts w:ascii="Arial" w:hAnsi="Arial" w:cs="Arial"/>
        </w:rPr>
        <w:t xml:space="preserve">patients’ </w:t>
      </w:r>
      <w:r w:rsidR="007F3DEE" w:rsidRPr="00C50A39">
        <w:rPr>
          <w:rFonts w:ascii="Arial" w:hAnsi="Arial" w:cs="Arial"/>
        </w:rPr>
        <w:t>psycho</w:t>
      </w:r>
      <w:r w:rsidR="00AD31CC" w:rsidRPr="00C50A39">
        <w:rPr>
          <w:rFonts w:ascii="Arial" w:hAnsi="Arial" w:cs="Arial"/>
        </w:rPr>
        <w:t xml:space="preserve">social </w:t>
      </w:r>
      <w:r w:rsidR="00956D68" w:rsidRPr="00C50A39">
        <w:rPr>
          <w:rFonts w:ascii="Arial" w:hAnsi="Arial" w:cs="Arial"/>
        </w:rPr>
        <w:t>characteristic</w:t>
      </w:r>
      <w:r w:rsidR="007F3DEE" w:rsidRPr="00C50A39">
        <w:rPr>
          <w:rFonts w:ascii="Arial" w:hAnsi="Arial" w:cs="Arial"/>
        </w:rPr>
        <w:t>s.</w:t>
      </w:r>
    </w:p>
    <w:p w14:paraId="7A3D8CD2" w14:textId="19259373" w:rsidR="00502484" w:rsidRDefault="00502484" w:rsidP="00C50A39">
      <w:pPr>
        <w:spacing w:after="0" w:line="480" w:lineRule="auto"/>
        <w:ind w:firstLine="720"/>
        <w:rPr>
          <w:rFonts w:ascii="Arial" w:hAnsi="Arial" w:cs="Arial"/>
        </w:rPr>
      </w:pPr>
      <w:r>
        <w:rPr>
          <w:rFonts w:ascii="Arial" w:hAnsi="Arial" w:cs="Arial"/>
        </w:rPr>
        <w:t>The Federal Pain Research Strategy</w:t>
      </w:r>
      <w:r w:rsidR="001353E9">
        <w:rPr>
          <w:rFonts w:ascii="Arial" w:hAnsi="Arial" w:cs="Arial"/>
        </w:rPr>
        <w:t xml:space="preserve"> (FPRS) </w:t>
      </w:r>
      <w:r w:rsidR="00ED5D6F">
        <w:rPr>
          <w:rFonts w:ascii="Arial" w:hAnsi="Arial" w:cs="Arial"/>
        </w:rPr>
        <w:fldChar w:fldCharType="begin"/>
      </w:r>
      <w:r w:rsidR="00F30351">
        <w:rPr>
          <w:rFonts w:ascii="Arial" w:hAnsi="Arial" w:cs="Arial"/>
        </w:rPr>
        <w:instrText xml:space="preserve"> ADDIN ZOTERO_ITEM CSL_CITATION {"citationID":"ajptfn01bq","properties":{"formattedCitation":"[9]","plainCitation":"[9]","noteIndex":0},"citationItems":[{"id":334,"uris":["http://zotero.org/users/7139165/items/V5FKFJ2F"],"uri":["http://zotero.org/users/7139165/items/V5FKFJ2F"],"itemData":{"id":334,"type":"report","event-place":"Baltimore, MD","page":"8-9","publisher":"National Institutes of Health","publisher-place":"Baltimore, MD","title":"Federal Pain Research Strategy","URL":"https://www.iprcc.nih.gov/sites/default/files/iprcc/FPRS_Research_Recommendations_Final_508C.pdf","author":[{"family":"Interagency Pain Research Coordinating Committee","given":""}],"accessed":{"date-parts":[["2020",11,17]]},"issued":{"date-parts":[["2017",10,24]]}}}],"schema":"https://github.com/citation-style-language/schema/raw/master/csl-citation.json"} </w:instrText>
      </w:r>
      <w:r w:rsidR="00ED5D6F">
        <w:rPr>
          <w:rFonts w:ascii="Arial" w:hAnsi="Arial" w:cs="Arial"/>
        </w:rPr>
        <w:fldChar w:fldCharType="separate"/>
      </w:r>
      <w:r w:rsidR="007346C0" w:rsidRPr="007346C0">
        <w:rPr>
          <w:rFonts w:ascii="Arial" w:hAnsi="Arial" w:cs="Arial"/>
        </w:rPr>
        <w:t>[9]</w:t>
      </w:r>
      <w:r w:rsidR="00ED5D6F">
        <w:rPr>
          <w:rFonts w:ascii="Arial" w:hAnsi="Arial" w:cs="Arial"/>
        </w:rPr>
        <w:fldChar w:fldCharType="end"/>
      </w:r>
      <w:r w:rsidR="00ED5D6F">
        <w:rPr>
          <w:rFonts w:ascii="Arial" w:hAnsi="Arial" w:cs="Arial"/>
        </w:rPr>
        <w:t xml:space="preserve"> </w:t>
      </w:r>
      <w:r w:rsidR="00584F76">
        <w:rPr>
          <w:rFonts w:ascii="Arial" w:hAnsi="Arial" w:cs="Arial"/>
        </w:rPr>
        <w:t xml:space="preserve">lists as a top priority </w:t>
      </w:r>
      <w:r w:rsidR="00A10D40">
        <w:rPr>
          <w:rFonts w:ascii="Arial" w:hAnsi="Arial" w:cs="Arial"/>
        </w:rPr>
        <w:t xml:space="preserve">the </w:t>
      </w:r>
      <w:r w:rsidR="00584F76">
        <w:rPr>
          <w:rFonts w:ascii="Arial" w:hAnsi="Arial" w:cs="Arial"/>
        </w:rPr>
        <w:t>“</w:t>
      </w:r>
      <w:r w:rsidR="00A10D40">
        <w:rPr>
          <w:rFonts w:ascii="Arial" w:hAnsi="Arial" w:cs="Arial"/>
        </w:rPr>
        <w:t xml:space="preserve">identification of patient-specific factors associated with </w:t>
      </w:r>
      <w:proofErr w:type="spellStart"/>
      <w:r w:rsidR="00A10D40">
        <w:rPr>
          <w:rFonts w:ascii="Arial" w:hAnsi="Arial" w:cs="Arial"/>
        </w:rPr>
        <w:t>favorable</w:t>
      </w:r>
      <w:proofErr w:type="spellEnd"/>
      <w:r w:rsidR="00A10D40">
        <w:rPr>
          <w:rFonts w:ascii="Arial" w:hAnsi="Arial" w:cs="Arial"/>
        </w:rPr>
        <w:t xml:space="preserve"> versus poor responsiveness to specific treatments.”</w:t>
      </w:r>
      <w:r>
        <w:rPr>
          <w:rFonts w:ascii="Arial" w:hAnsi="Arial" w:cs="Arial"/>
        </w:rPr>
        <w:t xml:space="preserve"> </w:t>
      </w:r>
      <w:r w:rsidR="00A10D40">
        <w:rPr>
          <w:rFonts w:ascii="Arial" w:hAnsi="Arial" w:cs="Arial"/>
        </w:rPr>
        <w:t xml:space="preserve">The </w:t>
      </w:r>
      <w:r w:rsidR="001353E9">
        <w:rPr>
          <w:rFonts w:ascii="Arial" w:hAnsi="Arial" w:cs="Arial"/>
        </w:rPr>
        <w:t xml:space="preserve">FPRS </w:t>
      </w:r>
      <w:r w:rsidR="00A10D40">
        <w:rPr>
          <w:rFonts w:ascii="Arial" w:hAnsi="Arial" w:cs="Arial"/>
        </w:rPr>
        <w:t xml:space="preserve">calls for randomized controlled trials </w:t>
      </w:r>
      <w:r w:rsidR="00AF392D">
        <w:rPr>
          <w:rFonts w:ascii="Arial" w:hAnsi="Arial" w:cs="Arial"/>
        </w:rPr>
        <w:t xml:space="preserve">(RCTs) </w:t>
      </w:r>
      <w:r w:rsidR="00A10D40">
        <w:rPr>
          <w:rFonts w:ascii="Arial" w:hAnsi="Arial" w:cs="Arial"/>
        </w:rPr>
        <w:t xml:space="preserve">to identify patient subgroup </w:t>
      </w:r>
      <w:r>
        <w:rPr>
          <w:rFonts w:ascii="Arial" w:hAnsi="Arial" w:cs="Arial"/>
        </w:rPr>
        <w:t xml:space="preserve">characteristics </w:t>
      </w:r>
      <w:r w:rsidR="00AF392D">
        <w:rPr>
          <w:rFonts w:ascii="Arial" w:hAnsi="Arial" w:cs="Arial"/>
        </w:rPr>
        <w:t xml:space="preserve">that moderate </w:t>
      </w:r>
      <w:r w:rsidR="00BC399C">
        <w:rPr>
          <w:rFonts w:ascii="Arial" w:hAnsi="Arial" w:cs="Arial"/>
        </w:rPr>
        <w:t xml:space="preserve">treatment </w:t>
      </w:r>
      <w:r w:rsidR="00AF392D">
        <w:rPr>
          <w:rFonts w:ascii="Arial" w:hAnsi="Arial" w:cs="Arial"/>
        </w:rPr>
        <w:t>effects</w:t>
      </w:r>
      <w:r>
        <w:rPr>
          <w:rFonts w:ascii="Arial" w:hAnsi="Arial" w:cs="Arial"/>
        </w:rPr>
        <w:t xml:space="preserve">. Such moderators may </w:t>
      </w:r>
      <w:r w:rsidR="00DD2298">
        <w:rPr>
          <w:rFonts w:ascii="Arial" w:hAnsi="Arial" w:cs="Arial"/>
        </w:rPr>
        <w:t>reveal</w:t>
      </w:r>
      <w:r>
        <w:rPr>
          <w:rFonts w:ascii="Arial" w:hAnsi="Arial" w:cs="Arial"/>
        </w:rPr>
        <w:t xml:space="preserve"> a treatment effect for one patient subgroup </w:t>
      </w:r>
      <w:r w:rsidR="00DD2298">
        <w:rPr>
          <w:rFonts w:ascii="Arial" w:hAnsi="Arial" w:cs="Arial"/>
        </w:rPr>
        <w:t>but</w:t>
      </w:r>
      <w:r>
        <w:rPr>
          <w:rFonts w:ascii="Arial" w:hAnsi="Arial" w:cs="Arial"/>
        </w:rPr>
        <w:t xml:space="preserve"> not </w:t>
      </w:r>
      <w:r w:rsidR="00DD2298">
        <w:rPr>
          <w:rFonts w:ascii="Arial" w:hAnsi="Arial" w:cs="Arial"/>
        </w:rPr>
        <w:t xml:space="preserve">for </w:t>
      </w:r>
      <w:r>
        <w:rPr>
          <w:rFonts w:ascii="Arial" w:hAnsi="Arial" w:cs="Arial"/>
        </w:rPr>
        <w:t xml:space="preserve">others. Consistent with the </w:t>
      </w:r>
      <w:r w:rsidR="00355C8C">
        <w:rPr>
          <w:rFonts w:ascii="Arial" w:hAnsi="Arial" w:cs="Arial"/>
        </w:rPr>
        <w:t>goals of</w:t>
      </w:r>
      <w:r>
        <w:rPr>
          <w:rFonts w:ascii="Arial" w:hAnsi="Arial" w:cs="Arial"/>
        </w:rPr>
        <w:t xml:space="preserve"> </w:t>
      </w:r>
      <w:r w:rsidR="00CE6349">
        <w:rPr>
          <w:rFonts w:ascii="Arial" w:hAnsi="Arial" w:cs="Arial"/>
        </w:rPr>
        <w:t xml:space="preserve">precision </w:t>
      </w:r>
      <w:r>
        <w:rPr>
          <w:rFonts w:ascii="Arial" w:hAnsi="Arial" w:cs="Arial"/>
        </w:rPr>
        <w:t>medicine</w:t>
      </w:r>
      <w:r w:rsidR="00AF392D">
        <w:rPr>
          <w:rFonts w:ascii="Arial" w:hAnsi="Arial" w:cs="Arial"/>
        </w:rPr>
        <w:t xml:space="preserve">, </w:t>
      </w:r>
      <w:r w:rsidR="00DD2298">
        <w:rPr>
          <w:rFonts w:ascii="Arial" w:hAnsi="Arial" w:cs="Arial"/>
        </w:rPr>
        <w:t>identification of treatment moderators</w:t>
      </w:r>
      <w:r>
        <w:rPr>
          <w:rFonts w:ascii="Arial" w:hAnsi="Arial" w:cs="Arial"/>
        </w:rPr>
        <w:t xml:space="preserve"> </w:t>
      </w:r>
      <w:r w:rsidR="00461E58">
        <w:rPr>
          <w:rFonts w:ascii="Arial" w:hAnsi="Arial" w:cs="Arial"/>
        </w:rPr>
        <w:t xml:space="preserve">such as patient subgroup </w:t>
      </w:r>
      <w:r w:rsidR="00CE6349">
        <w:rPr>
          <w:rFonts w:ascii="Arial" w:hAnsi="Arial" w:cs="Arial"/>
        </w:rPr>
        <w:t xml:space="preserve">may </w:t>
      </w:r>
      <w:r>
        <w:rPr>
          <w:rFonts w:ascii="Arial" w:hAnsi="Arial" w:cs="Arial"/>
        </w:rPr>
        <w:t>facilitate allocation of resources to patients most likely to benefit and, for those unlikely to benefit, inform the development of new treatments that address their particular needs.</w:t>
      </w:r>
    </w:p>
    <w:p w14:paraId="3B8DFD18" w14:textId="645ECCD8" w:rsidR="00D96DAC" w:rsidRPr="00C50A39" w:rsidRDefault="00D96DAC" w:rsidP="00C50A39">
      <w:pPr>
        <w:spacing w:after="0" w:line="480" w:lineRule="auto"/>
        <w:ind w:firstLine="720"/>
        <w:rPr>
          <w:rFonts w:ascii="Arial" w:hAnsi="Arial" w:cs="Arial"/>
        </w:rPr>
      </w:pPr>
      <w:r w:rsidRPr="00C50A39">
        <w:rPr>
          <w:rFonts w:ascii="Arial" w:hAnsi="Arial" w:cs="Arial"/>
        </w:rPr>
        <w:t xml:space="preserve">In a </w:t>
      </w:r>
      <w:r w:rsidR="00106CF6" w:rsidRPr="00C50A39">
        <w:rPr>
          <w:rFonts w:ascii="Arial" w:hAnsi="Arial" w:cs="Arial"/>
        </w:rPr>
        <w:t xml:space="preserve">large </w:t>
      </w:r>
      <w:r w:rsidRPr="00C50A39">
        <w:rPr>
          <w:rFonts w:ascii="Arial" w:hAnsi="Arial" w:cs="Arial"/>
        </w:rPr>
        <w:t>prospective study</w:t>
      </w:r>
      <w:r w:rsidR="00C369B4" w:rsidRPr="00C50A39">
        <w:rPr>
          <w:rFonts w:ascii="Arial" w:hAnsi="Arial" w:cs="Arial"/>
        </w:rPr>
        <w:t xml:space="preserve"> </w:t>
      </w:r>
      <w:r w:rsidR="00E72070" w:rsidRPr="00C50A39">
        <w:rPr>
          <w:rFonts w:ascii="Arial" w:hAnsi="Arial" w:cs="Arial"/>
        </w:rPr>
        <w:t>follow</w:t>
      </w:r>
      <w:r w:rsidR="00C369B4" w:rsidRPr="00C50A39">
        <w:rPr>
          <w:rFonts w:ascii="Arial" w:hAnsi="Arial" w:cs="Arial"/>
        </w:rPr>
        <w:t>ing</w:t>
      </w:r>
      <w:r w:rsidRPr="00C50A39">
        <w:rPr>
          <w:rFonts w:ascii="Arial" w:hAnsi="Arial" w:cs="Arial"/>
        </w:rPr>
        <w:t xml:space="preserve"> </w:t>
      </w:r>
      <w:proofErr w:type="spellStart"/>
      <w:r w:rsidRPr="00C50A39">
        <w:rPr>
          <w:rFonts w:ascii="Arial" w:hAnsi="Arial" w:cs="Arial"/>
        </w:rPr>
        <w:t>pediatric</w:t>
      </w:r>
      <w:proofErr w:type="spellEnd"/>
      <w:r w:rsidRPr="00C50A39">
        <w:rPr>
          <w:rFonts w:ascii="Arial" w:hAnsi="Arial" w:cs="Arial"/>
        </w:rPr>
        <w:t xml:space="preserve"> FAP</w:t>
      </w:r>
      <w:r w:rsidR="00E956DC" w:rsidRPr="00C50A39">
        <w:rPr>
          <w:rFonts w:ascii="Arial" w:hAnsi="Arial" w:cs="Arial"/>
        </w:rPr>
        <w:t xml:space="preserve"> </w:t>
      </w:r>
      <w:r w:rsidRPr="00C50A39">
        <w:rPr>
          <w:rFonts w:ascii="Arial" w:hAnsi="Arial" w:cs="Arial"/>
        </w:rPr>
        <w:t>patients into late adolescence and young adulthood, we</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1268e66b3h","properties":{"formattedCitation":"[48]","plainCitation":"[48]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[48]</w:t>
      </w:r>
      <w:r w:rsidR="001B38E6" w:rsidRPr="00C50A39">
        <w:rPr>
          <w:rFonts w:ascii="Arial" w:hAnsi="Arial" w:cs="Arial"/>
        </w:rPr>
        <w:fldChar w:fldCharType="end"/>
      </w:r>
      <w:r w:rsidRPr="00C50A39">
        <w:rPr>
          <w:rFonts w:ascii="Arial" w:hAnsi="Arial" w:cs="Arial"/>
        </w:rPr>
        <w:t xml:space="preserve"> </w:t>
      </w:r>
      <w:r w:rsidR="00C369B4" w:rsidRPr="00C50A39">
        <w:rPr>
          <w:rFonts w:ascii="Arial" w:hAnsi="Arial" w:cs="Arial"/>
        </w:rPr>
        <w:t xml:space="preserve">statistically </w:t>
      </w:r>
      <w:r w:rsidRPr="00C50A39">
        <w:rPr>
          <w:rFonts w:ascii="Arial" w:hAnsi="Arial" w:cs="Arial"/>
        </w:rPr>
        <w:t>identified three pa</w:t>
      </w:r>
      <w:r w:rsidR="003D6800" w:rsidRPr="00C50A39">
        <w:rPr>
          <w:rFonts w:ascii="Arial" w:hAnsi="Arial" w:cs="Arial"/>
        </w:rPr>
        <w:t>tient</w:t>
      </w:r>
      <w:r w:rsidRPr="00C50A39">
        <w:rPr>
          <w:rFonts w:ascii="Arial" w:hAnsi="Arial" w:cs="Arial"/>
        </w:rPr>
        <w:t xml:space="preserve"> sub</w:t>
      </w:r>
      <w:r w:rsidR="00585949" w:rsidRPr="00C50A39">
        <w:rPr>
          <w:rFonts w:ascii="Arial" w:hAnsi="Arial" w:cs="Arial"/>
        </w:rPr>
        <w:t>group</w:t>
      </w:r>
      <w:r w:rsidRPr="00C50A39">
        <w:rPr>
          <w:rFonts w:ascii="Arial" w:hAnsi="Arial" w:cs="Arial"/>
        </w:rPr>
        <w:t xml:space="preserve">s </w:t>
      </w:r>
      <w:r w:rsidR="003259DD" w:rsidRPr="00C50A39">
        <w:rPr>
          <w:rFonts w:ascii="Arial" w:hAnsi="Arial" w:cs="Arial"/>
        </w:rPr>
        <w:t>(</w:t>
      </w:r>
      <w:r w:rsidRPr="00C50A39">
        <w:rPr>
          <w:rFonts w:ascii="Arial" w:hAnsi="Arial" w:cs="Arial"/>
        </w:rPr>
        <w:t xml:space="preserve">i.e., High Pain Dysfunctional </w:t>
      </w:r>
      <w:r w:rsidR="003259DD" w:rsidRPr="00C50A39">
        <w:rPr>
          <w:rFonts w:ascii="Arial" w:hAnsi="Arial" w:cs="Arial"/>
        </w:rPr>
        <w:t>[</w:t>
      </w:r>
      <w:r w:rsidRPr="00C50A39">
        <w:rPr>
          <w:rFonts w:ascii="Arial" w:hAnsi="Arial" w:cs="Arial"/>
        </w:rPr>
        <w:t>HPD</w:t>
      </w:r>
      <w:r w:rsidR="003259DD" w:rsidRPr="00C50A39">
        <w:rPr>
          <w:rFonts w:ascii="Arial" w:hAnsi="Arial" w:cs="Arial"/>
        </w:rPr>
        <w:t>]</w:t>
      </w:r>
      <w:r w:rsidRPr="00C50A39">
        <w:rPr>
          <w:rFonts w:ascii="Arial" w:hAnsi="Arial" w:cs="Arial"/>
        </w:rPr>
        <w:t xml:space="preserve">; High Pain Adaptive </w:t>
      </w:r>
      <w:r w:rsidR="003259DD" w:rsidRPr="00C50A39">
        <w:rPr>
          <w:rFonts w:ascii="Arial" w:hAnsi="Arial" w:cs="Arial"/>
        </w:rPr>
        <w:t>[</w:t>
      </w:r>
      <w:r w:rsidRPr="00C50A39">
        <w:rPr>
          <w:rFonts w:ascii="Arial" w:hAnsi="Arial" w:cs="Arial"/>
        </w:rPr>
        <w:t>HPA</w:t>
      </w:r>
      <w:r w:rsidR="003259DD" w:rsidRPr="00C50A39">
        <w:rPr>
          <w:rFonts w:ascii="Arial" w:hAnsi="Arial" w:cs="Arial"/>
        </w:rPr>
        <w:t>]</w:t>
      </w:r>
      <w:r w:rsidRPr="00C50A39">
        <w:rPr>
          <w:rFonts w:ascii="Arial" w:hAnsi="Arial" w:cs="Arial"/>
        </w:rPr>
        <w:t xml:space="preserve">; and Low Pain Adaptive </w:t>
      </w:r>
      <w:r w:rsidR="003259DD" w:rsidRPr="00C50A39">
        <w:rPr>
          <w:rFonts w:ascii="Arial" w:hAnsi="Arial" w:cs="Arial"/>
        </w:rPr>
        <w:t>[</w:t>
      </w:r>
      <w:r w:rsidRPr="00C50A39">
        <w:rPr>
          <w:rFonts w:ascii="Arial" w:hAnsi="Arial" w:cs="Arial"/>
        </w:rPr>
        <w:t>LPA</w:t>
      </w:r>
      <w:r w:rsidR="003259DD" w:rsidRPr="00C50A39">
        <w:rPr>
          <w:rFonts w:ascii="Arial" w:hAnsi="Arial" w:cs="Arial"/>
        </w:rPr>
        <w:t>])</w:t>
      </w:r>
      <w:r w:rsidRPr="00C50A39">
        <w:rPr>
          <w:rFonts w:ascii="Arial" w:hAnsi="Arial" w:cs="Arial"/>
        </w:rPr>
        <w:t xml:space="preserve"> </w:t>
      </w:r>
      <w:r w:rsidR="000662A4" w:rsidRPr="00C50A39">
        <w:rPr>
          <w:rFonts w:ascii="Arial" w:hAnsi="Arial" w:cs="Arial"/>
        </w:rPr>
        <w:t xml:space="preserve">based on </w:t>
      </w:r>
      <w:r w:rsidR="00B56411" w:rsidRPr="00C50A39">
        <w:rPr>
          <w:rFonts w:ascii="Arial" w:hAnsi="Arial" w:cs="Arial"/>
        </w:rPr>
        <w:t>assess</w:t>
      </w:r>
      <w:r w:rsidR="000662A4" w:rsidRPr="00C50A39">
        <w:rPr>
          <w:rFonts w:ascii="Arial" w:hAnsi="Arial" w:cs="Arial"/>
        </w:rPr>
        <w:t xml:space="preserve">ment of </w:t>
      </w:r>
      <w:r w:rsidRPr="00C50A39">
        <w:rPr>
          <w:rFonts w:ascii="Arial" w:hAnsi="Arial" w:cs="Arial"/>
        </w:rPr>
        <w:t xml:space="preserve">pain-related psychological characteristics including pain cognitions, impairment, and affect. These </w:t>
      </w:r>
      <w:r w:rsidR="00426E09" w:rsidRPr="00C50A39">
        <w:rPr>
          <w:rFonts w:ascii="Arial" w:hAnsi="Arial" w:cs="Arial"/>
        </w:rPr>
        <w:t>pa</w:t>
      </w:r>
      <w:r w:rsidR="003D6800" w:rsidRPr="00C50A39">
        <w:rPr>
          <w:rFonts w:ascii="Arial" w:hAnsi="Arial" w:cs="Arial"/>
        </w:rPr>
        <w:t>tient</w:t>
      </w:r>
      <w:r w:rsidR="00426E09" w:rsidRPr="00C50A39">
        <w:rPr>
          <w:rFonts w:ascii="Arial" w:hAnsi="Arial" w:cs="Arial"/>
        </w:rPr>
        <w:t xml:space="preserve"> </w:t>
      </w:r>
      <w:r w:rsidRPr="00C50A39">
        <w:rPr>
          <w:rFonts w:ascii="Arial" w:hAnsi="Arial" w:cs="Arial"/>
        </w:rPr>
        <w:t>sub</w:t>
      </w:r>
      <w:r w:rsidR="00585949" w:rsidRPr="00C50A39">
        <w:rPr>
          <w:rFonts w:ascii="Arial" w:hAnsi="Arial" w:cs="Arial"/>
        </w:rPr>
        <w:t>group</w:t>
      </w:r>
      <w:r w:rsidRPr="00C50A39">
        <w:rPr>
          <w:rFonts w:ascii="Arial" w:hAnsi="Arial" w:cs="Arial"/>
        </w:rPr>
        <w:t xml:space="preserve">s predicted </w:t>
      </w:r>
      <w:r w:rsidR="00426E09" w:rsidRPr="00C50A39">
        <w:rPr>
          <w:rFonts w:ascii="Arial" w:hAnsi="Arial" w:cs="Arial"/>
        </w:rPr>
        <w:t xml:space="preserve">differences in </w:t>
      </w:r>
      <w:r w:rsidR="00880040" w:rsidRPr="00C50A39">
        <w:rPr>
          <w:rFonts w:ascii="Arial" w:hAnsi="Arial" w:cs="Arial"/>
        </w:rPr>
        <w:t>FGIDs</w:t>
      </w:r>
      <w:r w:rsidRPr="00C50A39">
        <w:rPr>
          <w:rFonts w:ascii="Arial" w:hAnsi="Arial" w:cs="Arial"/>
        </w:rPr>
        <w:t>, chronic pain</w:t>
      </w:r>
      <w:r w:rsidR="00351651" w:rsidRPr="00C50A39">
        <w:rPr>
          <w:rFonts w:ascii="Arial" w:hAnsi="Arial" w:cs="Arial"/>
        </w:rPr>
        <w:t>,</w:t>
      </w:r>
      <w:r w:rsidRPr="00C50A39">
        <w:rPr>
          <w:rFonts w:ascii="Arial" w:hAnsi="Arial" w:cs="Arial"/>
        </w:rPr>
        <w:t xml:space="preserve"> and </w:t>
      </w:r>
      <w:r w:rsidR="00AA0B07" w:rsidRPr="00C50A39">
        <w:rPr>
          <w:rFonts w:ascii="Arial" w:hAnsi="Arial" w:cs="Arial"/>
        </w:rPr>
        <w:t xml:space="preserve">other </w:t>
      </w:r>
      <w:r w:rsidRPr="00C50A39">
        <w:rPr>
          <w:rFonts w:ascii="Arial" w:hAnsi="Arial" w:cs="Arial"/>
        </w:rPr>
        <w:t>outcomes at follow-up nearly a decade later</w:t>
      </w:r>
      <w:r w:rsidR="008A4403" w:rsidRPr="00C50A39">
        <w:rPr>
          <w:rFonts w:ascii="Arial" w:hAnsi="Arial" w:cs="Arial"/>
        </w:rPr>
        <w:t xml:space="preserve">, with HPD </w:t>
      </w:r>
      <w:r w:rsidR="00FB6883" w:rsidRPr="00C50A39">
        <w:rPr>
          <w:rFonts w:ascii="Arial" w:hAnsi="Arial" w:cs="Arial"/>
        </w:rPr>
        <w:t xml:space="preserve">patients showing </w:t>
      </w:r>
      <w:r w:rsidR="00426E09" w:rsidRPr="00C50A39">
        <w:rPr>
          <w:rFonts w:ascii="Arial" w:hAnsi="Arial" w:cs="Arial"/>
        </w:rPr>
        <w:t>significantly worse outcomes</w:t>
      </w:r>
      <w:r w:rsidRPr="00C50A39">
        <w:rPr>
          <w:rFonts w:ascii="Arial" w:hAnsi="Arial" w:cs="Arial"/>
        </w:rPr>
        <w:t xml:space="preserve">. </w:t>
      </w:r>
      <w:r w:rsidR="00E54A11">
        <w:rPr>
          <w:rFonts w:ascii="Arial" w:hAnsi="Arial" w:cs="Arial"/>
        </w:rPr>
        <w:t>P</w:t>
      </w:r>
      <w:r w:rsidR="005A039E" w:rsidRPr="00C50A39">
        <w:rPr>
          <w:rFonts w:ascii="Arial" w:hAnsi="Arial" w:cs="Arial"/>
        </w:rPr>
        <w:t xml:space="preserve">atient </w:t>
      </w:r>
      <w:r w:rsidR="000D42E4" w:rsidRPr="00C50A39">
        <w:rPr>
          <w:rFonts w:ascii="Arial" w:hAnsi="Arial" w:cs="Arial"/>
        </w:rPr>
        <w:t>s</w:t>
      </w:r>
      <w:r w:rsidR="004E51DF" w:rsidRPr="00C50A39">
        <w:rPr>
          <w:rFonts w:ascii="Arial" w:hAnsi="Arial" w:cs="Arial"/>
        </w:rPr>
        <w:t xml:space="preserve">ubgrouping based on </w:t>
      </w:r>
      <w:r w:rsidRPr="00C50A39">
        <w:rPr>
          <w:rFonts w:ascii="Arial" w:hAnsi="Arial" w:cs="Arial"/>
        </w:rPr>
        <w:t>characteristics</w:t>
      </w:r>
      <w:r w:rsidR="005C3B8F" w:rsidRPr="00C50A39">
        <w:rPr>
          <w:rFonts w:ascii="Arial" w:hAnsi="Arial" w:cs="Arial"/>
        </w:rPr>
        <w:t xml:space="preserve"> </w:t>
      </w:r>
      <w:r w:rsidRPr="00C50A39">
        <w:rPr>
          <w:rFonts w:ascii="Arial" w:hAnsi="Arial" w:cs="Arial"/>
        </w:rPr>
        <w:t>that predict outcomes</w:t>
      </w:r>
      <w:r w:rsidR="001B6A78" w:rsidRPr="00C50A39">
        <w:rPr>
          <w:rFonts w:ascii="Arial" w:hAnsi="Arial" w:cs="Arial"/>
        </w:rPr>
        <w:t xml:space="preserve"> </w:t>
      </w:r>
      <w:r w:rsidR="008E0201" w:rsidRPr="00C50A39">
        <w:rPr>
          <w:rFonts w:ascii="Arial" w:hAnsi="Arial" w:cs="Arial"/>
        </w:rPr>
        <w:t xml:space="preserve">can be useful in </w:t>
      </w:r>
      <w:r w:rsidR="008E0201" w:rsidRPr="00C50A39">
        <w:rPr>
          <w:rFonts w:ascii="Arial" w:hAnsi="Arial" w:cs="Arial"/>
        </w:rPr>
        <w:lastRenderedPageBreak/>
        <w:t>guid</w:t>
      </w:r>
      <w:r w:rsidR="001B6A78" w:rsidRPr="00C50A39">
        <w:rPr>
          <w:rFonts w:ascii="Arial" w:hAnsi="Arial" w:cs="Arial"/>
        </w:rPr>
        <w:t>ing individualized</w:t>
      </w:r>
      <w:r w:rsidRPr="00C50A39">
        <w:rPr>
          <w:rFonts w:ascii="Arial" w:hAnsi="Arial" w:cs="Arial"/>
        </w:rPr>
        <w:t xml:space="preserve"> treatment decisions</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14nsi7a5uq","properties":{"formattedCitation":"[21]","plainCitation":"[21]","noteIndex":0},"citationItems":[{"id":176,"uris":["http://zotero.org/users/7139165/items/ZCFFVFDR"],"uri":["http://zotero.org/users/7139165/items/ZCFFVFDR"],"itemData":{"id":176,"type":"article-journal","abstract":"Background\nWithin the past decade, healthcare service and research priorities have shifted from evidence-based medicine to personalized medicine. In mental healthcare, a similar shift to personalized intervention may boost the effectiveness and clinical utility of empirically supported therapies (ESTs).\n\nAims and Scope\nThe emerging science of personalized intervention will need to encompass evidence-based methods for determining which problems to target and in which order, selecting treatments and deciding whether and how to combine them, and informing ongoing clinical decision-making through monitoring of treatment response throughout episodes of care. We review efforts to develop these methods, drawing primarily from psychotherapy research with youths. Then we propose strategies for building a science of personalized intervention in youth mental health.\n\nFindings\nThe growing evidence base for personalizing interventions includes research on therapies adapted for specific subgroups; treatments targeting youths’ environments; modular therapies; sequential, multiple assignment, randomized trials; measurement feedback systems; meta-analyses comparing treatments for specific patient characteristics; data-mining decision trees; and individualized metrics.\n\nConclusion\nThe science of personalized intervention presents questions that can be addressed in several ways. First, to evaluate and organize personalized interventions, we propose modifying the system used to evaluate and organize ESTs. Second, to help personalizing research keep pace with practice needs, we propose exploiting existing randomized trial data to inform personalizing approaches, prioritizing the personalizing approaches likely to have the greatest impact, conducting more idiographic research, and studying tailoring strategies in usual care. Third, to encourage clinicians’ use of personalized intervention research to inform their practice, we propose expanding outlets for research summaries and case studies, developing heuristic frameworks that incorporate personalizing approaches into practice, and integrating personalizing approaches into service delivery systems. Finally, to build a richer understanding of how and why treatments work for particular individuals, we propose accelerating research to identify mediators within and across RCTs, to isolate mechanisms of change, and to inform the shift from diagnoses to psychopathological processes. This ambitious agenda for personalized intervention science, though challenging, could markedly alter the nature of mental health care and the benefit provided to youths and families.","container-title":"Journal of child psychology and psychiatry, and allied disciplines","DOI":"10.1111/jcpp.12470","ISSN":"0021-9630","issue":"3","journalAbbreviation":"J Child Psychol Psychiatry","note":"PMID: 26467325\nPMCID: PMC4760855","page":"216-236","source":"PubMed Central","title":"Building a science of personalized intervention for youth mental health","volume":"57","author":[{"family":"Ng","given":"Mei Yi"},{"family":"Weisz","given":"John R."}],"issued":{"date-parts":[["2016",3]]}}}],"schema":"https://github.com/citation-style-language/schema/raw/master/csl-citation.json"} </w:instrText>
      </w:r>
      <w:r w:rsidR="001B38E6" w:rsidRPr="00C50A39">
        <w:rPr>
          <w:rFonts w:ascii="Arial" w:hAnsi="Arial" w:cs="Arial"/>
        </w:rPr>
        <w:fldChar w:fldCharType="separate"/>
      </w:r>
      <w:r w:rsidR="007346C0" w:rsidRPr="007346C0">
        <w:rPr>
          <w:rFonts w:ascii="Arial" w:hAnsi="Arial" w:cs="Arial"/>
        </w:rPr>
        <w:t>[21]</w:t>
      </w:r>
      <w:r w:rsidR="001B38E6" w:rsidRPr="00C50A39">
        <w:rPr>
          <w:rFonts w:ascii="Arial" w:hAnsi="Arial" w:cs="Arial"/>
        </w:rPr>
        <w:fldChar w:fldCharType="end"/>
      </w:r>
      <w:r w:rsidR="006F51B3">
        <w:rPr>
          <w:rFonts w:ascii="Arial" w:hAnsi="Arial" w:cs="Arial"/>
        </w:rPr>
        <w:t>,</w:t>
      </w:r>
      <w:r w:rsidRPr="00C50A39">
        <w:rPr>
          <w:rFonts w:ascii="Arial" w:hAnsi="Arial" w:cs="Arial"/>
        </w:rPr>
        <w:t xml:space="preserve"> </w:t>
      </w:r>
      <w:r w:rsidR="00161637" w:rsidRPr="00C50A39">
        <w:rPr>
          <w:rFonts w:ascii="Arial" w:hAnsi="Arial" w:cs="Arial"/>
        </w:rPr>
        <w:t>although</w:t>
      </w:r>
      <w:r w:rsidRPr="00C50A39">
        <w:rPr>
          <w:rFonts w:ascii="Arial" w:hAnsi="Arial" w:cs="Arial"/>
        </w:rPr>
        <w:t xml:space="preserve"> show</w:t>
      </w:r>
      <w:r w:rsidR="00161637" w:rsidRPr="00C50A39">
        <w:rPr>
          <w:rFonts w:ascii="Arial" w:hAnsi="Arial" w:cs="Arial"/>
        </w:rPr>
        <w:t xml:space="preserve">ing that these subgroups </w:t>
      </w:r>
      <w:r w:rsidR="00797EE1" w:rsidRPr="00C50A39">
        <w:rPr>
          <w:rFonts w:ascii="Arial" w:hAnsi="Arial" w:cs="Arial"/>
        </w:rPr>
        <w:t xml:space="preserve">differentially </w:t>
      </w:r>
      <w:r w:rsidRPr="00C50A39">
        <w:rPr>
          <w:rFonts w:ascii="Arial" w:hAnsi="Arial" w:cs="Arial"/>
        </w:rPr>
        <w:t xml:space="preserve">predict </w:t>
      </w:r>
      <w:r w:rsidR="00B41CE7" w:rsidRPr="00C50A39">
        <w:rPr>
          <w:rFonts w:ascii="Arial" w:hAnsi="Arial" w:cs="Arial"/>
        </w:rPr>
        <w:t xml:space="preserve">treatment </w:t>
      </w:r>
      <w:r w:rsidRPr="00C50A39">
        <w:rPr>
          <w:rFonts w:ascii="Arial" w:hAnsi="Arial" w:cs="Arial"/>
        </w:rPr>
        <w:t>response</w:t>
      </w:r>
      <w:r w:rsidR="00161637" w:rsidRPr="00C50A39">
        <w:rPr>
          <w:rFonts w:ascii="Arial" w:hAnsi="Arial" w:cs="Arial"/>
        </w:rPr>
        <w:t xml:space="preserve"> is a critical next step</w:t>
      </w:r>
      <w:r w:rsidRPr="00C50A39">
        <w:rPr>
          <w:rFonts w:ascii="Arial" w:hAnsi="Arial" w:cs="Arial"/>
        </w:rPr>
        <w:t xml:space="preserve">. </w:t>
      </w:r>
    </w:p>
    <w:p w14:paraId="69AA41F6" w14:textId="7F9BE780" w:rsidR="00E72070" w:rsidRPr="00C50A39" w:rsidRDefault="00D96DAC" w:rsidP="00C50A39">
      <w:pPr>
        <w:spacing w:after="0" w:line="480" w:lineRule="auto"/>
        <w:ind w:firstLine="720"/>
        <w:rPr>
          <w:rFonts w:ascii="Arial" w:hAnsi="Arial" w:cs="Arial"/>
        </w:rPr>
      </w:pPr>
      <w:r w:rsidRPr="00C50A39">
        <w:rPr>
          <w:rFonts w:ascii="Arial" w:hAnsi="Arial" w:cs="Arial"/>
        </w:rPr>
        <w:t xml:space="preserve">The current </w:t>
      </w:r>
      <w:r w:rsidR="00AF392D">
        <w:rPr>
          <w:rFonts w:ascii="Arial" w:hAnsi="Arial" w:cs="Arial"/>
        </w:rPr>
        <w:t xml:space="preserve">RCT </w:t>
      </w:r>
      <w:r w:rsidRPr="00C50A39">
        <w:rPr>
          <w:rFonts w:ascii="Arial" w:hAnsi="Arial" w:cs="Arial"/>
        </w:rPr>
        <w:t xml:space="preserve">tested </w:t>
      </w:r>
      <w:r w:rsidR="0042164A" w:rsidRPr="00C50A39">
        <w:rPr>
          <w:rFonts w:ascii="Arial" w:hAnsi="Arial" w:cs="Arial"/>
        </w:rPr>
        <w:t xml:space="preserve">whether </w:t>
      </w:r>
      <w:r w:rsidR="004864A4" w:rsidRPr="00C50A39">
        <w:rPr>
          <w:rFonts w:ascii="Arial" w:hAnsi="Arial" w:cs="Arial"/>
        </w:rPr>
        <w:t xml:space="preserve">FAP </w:t>
      </w:r>
      <w:r w:rsidR="00E72070" w:rsidRPr="00C50A39">
        <w:rPr>
          <w:rFonts w:ascii="Arial" w:hAnsi="Arial" w:cs="Arial"/>
        </w:rPr>
        <w:t>pa</w:t>
      </w:r>
      <w:r w:rsidR="003D6800" w:rsidRPr="00C50A39">
        <w:rPr>
          <w:rFonts w:ascii="Arial" w:hAnsi="Arial" w:cs="Arial"/>
        </w:rPr>
        <w:t>tient</w:t>
      </w:r>
      <w:r w:rsidRPr="00C50A39">
        <w:rPr>
          <w:rFonts w:ascii="Arial" w:hAnsi="Arial" w:cs="Arial"/>
        </w:rPr>
        <w:t xml:space="preserve"> sub</w:t>
      </w:r>
      <w:r w:rsidR="00585949" w:rsidRPr="00C50A39">
        <w:rPr>
          <w:rFonts w:ascii="Arial" w:hAnsi="Arial" w:cs="Arial"/>
        </w:rPr>
        <w:t>group</w:t>
      </w:r>
      <w:r w:rsidRPr="00C50A39">
        <w:rPr>
          <w:rFonts w:ascii="Arial" w:hAnsi="Arial" w:cs="Arial"/>
        </w:rPr>
        <w:t xml:space="preserve"> moderate</w:t>
      </w:r>
      <w:r w:rsidR="002C1F05" w:rsidRPr="00C50A39">
        <w:rPr>
          <w:rFonts w:ascii="Arial" w:hAnsi="Arial" w:cs="Arial"/>
        </w:rPr>
        <w:t>d</w:t>
      </w:r>
      <w:r w:rsidRPr="00C50A39">
        <w:rPr>
          <w:rFonts w:ascii="Arial" w:hAnsi="Arial" w:cs="Arial"/>
        </w:rPr>
        <w:t xml:space="preserve"> response</w:t>
      </w:r>
      <w:r w:rsidR="00767909" w:rsidRPr="00C50A39">
        <w:rPr>
          <w:rFonts w:ascii="Arial" w:hAnsi="Arial" w:cs="Arial"/>
        </w:rPr>
        <w:t xml:space="preserve">s </w:t>
      </w:r>
      <w:r w:rsidRPr="00C50A39">
        <w:rPr>
          <w:rFonts w:ascii="Arial" w:hAnsi="Arial" w:cs="Arial"/>
        </w:rPr>
        <w:t>to psycho</w:t>
      </w:r>
      <w:r w:rsidR="006F6790" w:rsidRPr="00C50A39">
        <w:rPr>
          <w:rFonts w:ascii="Arial" w:hAnsi="Arial" w:cs="Arial"/>
        </w:rPr>
        <w:t>logical</w:t>
      </w:r>
      <w:r w:rsidRPr="00C50A39">
        <w:rPr>
          <w:rFonts w:ascii="Arial" w:hAnsi="Arial" w:cs="Arial"/>
        </w:rPr>
        <w:t xml:space="preserve"> treatment. Cognitive </w:t>
      </w:r>
      <w:proofErr w:type="spellStart"/>
      <w:r w:rsidRPr="00C50A39">
        <w:rPr>
          <w:rFonts w:ascii="Arial" w:hAnsi="Arial" w:cs="Arial"/>
        </w:rPr>
        <w:t>behavior</w:t>
      </w:r>
      <w:r w:rsidR="00956D68" w:rsidRPr="00C50A39">
        <w:rPr>
          <w:rFonts w:ascii="Arial" w:hAnsi="Arial" w:cs="Arial"/>
        </w:rPr>
        <w:t>al</w:t>
      </w:r>
      <w:proofErr w:type="spellEnd"/>
      <w:r w:rsidRPr="00C50A39">
        <w:rPr>
          <w:rFonts w:ascii="Arial" w:hAnsi="Arial" w:cs="Arial"/>
        </w:rPr>
        <w:t xml:space="preserve"> therapy (CBT) </w:t>
      </w:r>
      <w:r w:rsidR="000239FE" w:rsidRPr="00C50A39">
        <w:rPr>
          <w:rFonts w:ascii="Arial" w:hAnsi="Arial" w:cs="Arial"/>
        </w:rPr>
        <w:t xml:space="preserve">for pain management </w:t>
      </w:r>
      <w:r w:rsidR="00D41E92" w:rsidRPr="00C50A39">
        <w:rPr>
          <w:rFonts w:ascii="Arial" w:hAnsi="Arial" w:cs="Arial"/>
        </w:rPr>
        <w:t>shows</w:t>
      </w:r>
      <w:r w:rsidRPr="00C50A39">
        <w:rPr>
          <w:rFonts w:ascii="Arial" w:hAnsi="Arial" w:cs="Arial"/>
        </w:rPr>
        <w:t xml:space="preserve"> promise as a</w:t>
      </w:r>
      <w:r w:rsidR="004864A4" w:rsidRPr="00C50A39">
        <w:rPr>
          <w:rFonts w:ascii="Arial" w:hAnsi="Arial" w:cs="Arial"/>
        </w:rPr>
        <w:t xml:space="preserve"> FAP</w:t>
      </w:r>
      <w:r w:rsidRPr="00C50A39">
        <w:rPr>
          <w:rFonts w:ascii="Arial" w:hAnsi="Arial" w:cs="Arial"/>
        </w:rPr>
        <w:t xml:space="preserve"> treatment</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2rjibrpba","properties":{"formattedCitation":"[1,16,18,43]","plainCitation":"[1,16,18,43]","noteIndex":0},"citationItems":[{"id":123,"uris":["http://zotero.org/users/7139165/items/SGHVFQN4"],"uri":["http://zotero.org/users/7139165/items/SGHVFQN4"],"itemData":{"id":123,"type":"article-journal","container-title":"Cochrane Database of Systematic Reviews","DOI":"10.1002/14651858.CD010971.pub2","ISSN":"14651858","language":"en","source":"DOI.org (Crossref)","title":"Psychosocial interventions for recurrent abdominal pain in childhood","URL":"http://doi.wiley.com/10.1002/14651858.CD010971.pub2","author":[{"family":"Abbott","given":"Rebecca A"},{"family":"Martin","given":"Alice E"},{"family":"Newlove-Delgado","given":"Tamsin V"},{"family":"Bethel","given":"Alison"},{"family":"Thompson-Coon","given":"Joanna"},{"family":"Whear","given":"Rebecca"},{"family":"Logan","given":"Stuart"}],"editor":[{"literal":"Cochrane Developmental, Psychosocial and Learning Problems Group"}],"accessed":{"date-parts":[["2020",8,3]]},"issued":{"date-parts":[["2017",1,10]]}}},{"id":164,"uris":["http://zotero.org/users/7139165/items/LU7I8VZV"],"uri":["http://zotero.org/users/7139165/items/LU7I8VZV"],"itemData":{"id":164,"type":"article-journal","abstract":"OBJECTIVES: Unexplained abdominal pain in children has been shown to be related to parental responses to symptoms. This randomized controlled trial tested the efficacy of an intervention designed to improve outcomes in idiopathic childhood abdominal pain by altering parental responses to pain and children's ways of coping and thinking about their symptoms.\nMETHODS: Two hundred children with persistent functional abdominal pain and their parents were randomly assigned to one of two conditions-a three-session intervention of cognitive-behavioral treatment targeting parents' responses to their children's pain complaints and children's coping responses, or a three-session educational intervention that controlled for time and attention. Parents and children were assessed at pretreatment, and 1 week, 3 months, and 6 months post-treatment. Outcome measures were child and parent reports of child pain levels, function, and adjustment. Process measures included parental protective responses to children's symptom reports and child coping methods.\nRESULTS: Children in the cognitive-behavioral condition showed greater baseline to follow-up decreases in pain and gastrointestinal symptom severity (as reported by parents) than children in the comparison condition (time x treatment interaction, P&lt;0.01). Also, parents in the cognitive-behavioral condition reported greater decreases in solicitous responses to their child's symptoms compared with parents in the comparison condition (time x treatment interaction, P&lt;0.0001).\nCONCLUSIONS: An intervention aimed at reducing protective parental responses and increasing child coping skills is effective in reducing children's pain and symptom levels compared with an educational control condition.","container-title":"The American Journal of Gastroenterology","DOI":"10.1038/ajg.2010.106","ISSN":"1572-0241","issue":"4","journalAbbreviation":"Am. J. Gastroenterol.","language":"eng","note":"PMID: 20216531\nPMCID: PMC2887246","page":"946-956","source":"PubMed","title":"Cognitive-behavioral therapy for children with functional abdominal pain and their parents decreases pain and other symptoms","volume":"105","author":[{"family":"Levy","given":"Rona L."},{"family":"Langer","given":"Shelby L."},{"family":"Walker","given":"Lynn S."},{"family":"Romano","given":"Joan M."},{"family":"Christie","given":"Dennis L."},{"family":"Youssef","given":"Nader"},{"family":"DuPen","given":"Melissa M."},{"family":"Feld","given":"Andrew D."},{"family":"Ballard","given":"Sheri A."},{"family":"Welsh","given":"Ericka M."},{"family":"Jeffery","given":"Robert W."},{"family":"Young","given":"Melissa"},{"family":"Coffey","given":"Melissa J."},{"family":"Whitehead","given":"William E."}],"issued":{"date-parts":[["2010",4]]}}},{"id":161,"uris":["http://zotero.org/users/7139165/items/WBLAV3CE"],"uri":["http://zotero.org/users/7139165/items/WBLAV3CE"],"itemData":{"id":161,"type":"article-journal","abstract":"BACKGROUND &amp; AIMS: Scalable and effective treatments are needed for children with functional abdominal pain disorders (FAPDs). We performed a randomized controlled trial of the efficacy and cost effectiveness of cognitive behavioral therapy delivered online (Internet-CBT) compared with usual therapy.\nMETHODS: We studied children (age, 8-12 y) diagnosed with FAPDs, based on the Rome IV criteria, in Sweden from September 2016 through April 2017. The patients were assigned randomly to groups that received 10 weeks of therapist-guided, internet-delivered cognitive behavioral therapy (Internet-CBT, n = 46) or treatment as usual (treatments within the health care and school systems, including medications and visits to doctors and other health care professionals; n = 44). The primary outcome was global child-rated gastrointestinal symptom severity assessed using the Pediatric Quality of Life Gastrointestinal Symptom scale. All outcomes were collected from September 2016 through January 2018. Secondary outcomes included quality of life, gastrointestinal-specific anxiety, avoidance behaviors, and parental responses to children's symptoms. Societal costs and costs for health care consumption were collected during the treatment.\nRESULTS: Children who received Internet-CBT had a significantly larger improvement in gastrointestinal symptom severity with a medium effect size (Cohen's d = 0.46; 95% CI, 0.05-0.88; number needed to treat, 3.8) compared with children who received the treatment as usual. The children's quality of life, gastrointestinal-specific anxiety, avoidance behaviors, and parental responses to children's symptoms also improved significantly in the Internet-CBT group compared with the treatment as usual group. The effects of Internet-CBT persisted through 36 weeks of follow-up evaluation. Children who received Internet-CBT had significantly less health care use than children who received treatment as usual, with an average cost difference of US $137 (P = .011). We calculated a cost savings of US $1050 for every child treated with Internet-CBT compared with treatment as usual.\nCONCLUSIONS: In a randomized trial of pediatric patients with FAPDs, we found Internet-CBT to be clinically cost effective compared with treatment as usual. Internet-CBT has the potential to increase the availability of treatment for a number of patients and reduce health care costs. ClinicalTrials.gov: NCT02873078.","container-title":"Clinical Gastroenterology and Hepatology: The Official Clinical Practice Journal of the American Gastroenterological Association","DOI":"10.1016/j.cgh.2018.11.043","ISSN":"1542-7714","issue":"11","journalAbbreviation":"Clin. Gastroenterol. Hepatol.","language":"eng","note":"PMID: 30502501","page":"2236-2244.e11","source":"PubMed","title":"Clinical and cost effectiveness of online cognitive behavioral therapy in children with functional abdominal pain disorders","volume":"17","author":[{"family":"Lalouni","given":"Maria"},{"family":"Ljótsson","given":"Brjánn"},{"family":"Bonnert","given":"Marianne"},{"family":"Ssegonja","given":"Richard"},{"family":"Benninga","given":"Marc"},{"family":"Bjureberg","given":"Johan"},{"family":"Högström","given":"Jens"},{"family":"Sahlin","given":"Hanna"},{"family":"Simrén","given":"Magnus"},{"family":"Feldman","given":"Inna"},{"family":"Hedman-Lagerlöf","given":"Erik"},{"family":"Serlachius","given":"Eva"},{"family":"Olén","given":"Ola"}],"issued":{"date-parts":[["2019"]]}}},{"id":218,"uris":["http://zotero.org/users/7139165/items/NMQ9RLIQ"],"uri":["http://zotero.org/users/7139165/items/NMQ9RLIQ"],"itemData":{"id":218,"type":"article-journal","abstract":"OBJECTIVE: This randomized controlled trial investigated the effectiveness of a 6-session protocolized cognitive behavior therapy (CBT) compared with 6 visits to a pediatrician (intensive medical care; IMC) for the treatment of pediatric functional abdominal pain (FAP).\nMETHODS: One hundred four children aged 7 to 18 were randomized to CBT or IMC. CBT was delivered primarily by trained master's degree students in psychology; IMC was delivered by pediatricians or pediatric gastroenterologists. Assessments were performed pretreatment, posttreatment, and at 6- and 12-month follow-up. Primary outcomes were level of abdominal pain (AP) as reported on questionnaires and diaries. Secondary outcomes were other gastrointestinal complaints, functional disability, other somatic complaints, anxiety, depression, and quality of life.\nRESULTS: Both CBT and IMC resulted in a significant decrease in AP (P &lt; .001), but no significant difference was found between the treatments in their effectiveness (P &gt; .05 for all end points). According to the questionnaire-derived data, 1 year after treatment, 60% of children that received CBT had significantly improved or recovered, versus 56.4% of children receiving IMC, which did not significantly differ (P = .47). These percentages were 65.8% versus 62.8% according to the diary-derived data, which also did not significantly differ (P = .14). Additionally, nearly all secondary outcomes improved after treatment.\nCONCLUSIONS: CBT was equally effective as IMC in reducing AP in children with FAP. More research into the specific working mechanisms of CBT for pediatric FAP is needed.","container-title":"Pediatrics","DOI":"10.1542/peds.2013-0242","ISSN":"1098-4275","issue":"5","journalAbbreviation":"Pediatrics","language":"eng","note":"PMID: 24127467","page":"e1163-1172","source":"PubMed","title":"Cognitive behavior therapy for pediatric functional abdominal pain: a randomized controlled trial","title-short":"Cognitive behavior therapy for pediatric functional abdominal pain","volume":"132","author":[{"family":"Veek","given":"Shelley M. C.","non-dropping-particle":"van der"},{"family":"Derkx","given":"Bert H. F."},{"family":"Benninga","given":"Marc A."},{"family":"Boer","given":"Frits"},{"family":"Haan","given":"Else","non-dropping-particle":"de"}],"issued":{"date-parts":[["2013",11]]}}}],"schema":"https://github.com/citation-style-language/schema/raw/master/csl-citation.json"}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[1,16,18,43]</w:t>
      </w:r>
      <w:r w:rsidR="001B38E6" w:rsidRPr="00C50A39">
        <w:rPr>
          <w:rFonts w:ascii="Arial" w:hAnsi="Arial" w:cs="Arial"/>
        </w:rPr>
        <w:fldChar w:fldCharType="end"/>
      </w:r>
      <w:r w:rsidR="00944629">
        <w:rPr>
          <w:rFonts w:ascii="Arial" w:hAnsi="Arial" w:cs="Arial"/>
        </w:rPr>
        <w:t>.</w:t>
      </w:r>
      <w:r w:rsidRPr="00C50A39">
        <w:rPr>
          <w:rFonts w:ascii="Arial" w:hAnsi="Arial" w:cs="Arial"/>
        </w:rPr>
        <w:t xml:space="preserve"> </w:t>
      </w:r>
      <w:r w:rsidR="00944629">
        <w:rPr>
          <w:rFonts w:ascii="Arial" w:hAnsi="Arial" w:cs="Arial"/>
        </w:rPr>
        <w:t>W</w:t>
      </w:r>
      <w:r w:rsidR="00F3649F" w:rsidRPr="00C50A39">
        <w:rPr>
          <w:rFonts w:ascii="Arial" w:hAnsi="Arial" w:cs="Arial"/>
        </w:rPr>
        <w:t>hen offered as a digital intervention</w:t>
      </w:r>
      <w:r w:rsidR="00944629">
        <w:rPr>
          <w:rFonts w:ascii="Arial" w:hAnsi="Arial" w:cs="Arial"/>
        </w:rPr>
        <w:t>, CBT</w:t>
      </w:r>
      <w:r w:rsidR="00F3649F" w:rsidRPr="00C50A39">
        <w:rPr>
          <w:rFonts w:ascii="Arial" w:hAnsi="Arial" w:cs="Arial"/>
        </w:rPr>
        <w:t xml:space="preserve"> </w:t>
      </w:r>
      <w:r w:rsidRPr="00C50A39">
        <w:rPr>
          <w:rFonts w:ascii="Arial" w:hAnsi="Arial" w:cs="Arial"/>
        </w:rPr>
        <w:t>reduces costs, increases patient access, and has benefits comparable to those of in-person CBT</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17qai448mv","properties":{"formattedCitation":"[3]","plainCitation":"[3]","noteIndex":0},"citationItems":[{"id":126,"uris":["http://zotero.org/users/7139165/items/W8GU8GN6"],"uri":["http://zotero.org/users/7139165/items/W8GU8GN6"],"itemData":{"id":126,"type":"article-journal","abstract":"During the last two decades, Internet-delivered cognitive behavior therapy (ICBT) has been tested in hundreds of randomized controlled trials, often with promising results. However, the control groups were often waitlisted, care-as-usual or attention control. Hence, little is known about the relative efficacy of ICBT as compared to face-to-face cognitive behavior therapy (CBT). In the present systematic review and meta-analysis, which included 1418 participants, guided ICBT for psychiatric and somatic conditions were directly compared to face-to-face CBT within the same trial. Out of the 2078 articles screened, a total of 20 studies met all inclusion criteria. Results showed a pooled effect size at post-treatment of Hedges g = .05 (95% CI, -.09 to .20), indicating that ICBT and face-to-face treatment produced equivalent overall effects. Study quality did not affect outcomes. While the overall results indicate equivalence, there have been few studies of the individual psychiatric and somatic conditions so far, and for the majority, guided ICBT has not been compared against face-to-face treatment. Thus, more research, preferably with larger sample sizes, is needed to establish the general equivalence of the two treatment formats.","container-title":"Cognitive Behaviour Therapy","DOI":"10.1080/16506073.2017.1401115","ISSN":"1651-2316","issue":"1","journalAbbreviation":"Cogn Behav Ther","language":"eng","note":"PMID: 29215315","page":"1-18","source":"PubMed","title":"Internet-based vs. face-to-face cognitive behavior therapy for psychiatric and somatic disorders: an updated systematic review and meta-analysis","title-short":"Internet-based vs. face-to-face cognitive behavior therapy for psychiatric and somatic disorders","volume":"47","author":[{"family":"Carlbring","given":"Per"},{"family":"Andersson","given":"Gerhard"},{"family":"Cuijpers","given":"Pim"},{"family":"Riper","given":"Heleen"},{"family":"Hedman-Lagerlöf","given":"Erik"}],"issued":{"date-parts":[["2018",1]]}}}],"schema":"https://github.com/citation-style-language/schema/raw/master/csl-citation.json"} </w:instrText>
      </w:r>
      <w:r w:rsidR="001B38E6" w:rsidRPr="00C50A39">
        <w:rPr>
          <w:rFonts w:ascii="Arial" w:hAnsi="Arial" w:cs="Arial"/>
        </w:rPr>
        <w:fldChar w:fldCharType="separate"/>
      </w:r>
      <w:r w:rsidR="00283C5F" w:rsidRPr="00283C5F">
        <w:rPr>
          <w:rFonts w:ascii="Arial" w:hAnsi="Arial" w:cs="Arial"/>
        </w:rPr>
        <w:t>[3]</w:t>
      </w:r>
      <w:r w:rsidR="001B38E6" w:rsidRPr="00C50A39">
        <w:rPr>
          <w:rFonts w:ascii="Arial" w:hAnsi="Arial" w:cs="Arial"/>
        </w:rPr>
        <w:fldChar w:fldCharType="end"/>
      </w:r>
      <w:r w:rsidR="006F51B3">
        <w:rPr>
          <w:rFonts w:ascii="Arial" w:hAnsi="Arial" w:cs="Arial"/>
        </w:rPr>
        <w:t>.</w:t>
      </w:r>
      <w:r w:rsidRPr="00C50A39">
        <w:rPr>
          <w:rFonts w:ascii="Arial" w:hAnsi="Arial" w:cs="Arial"/>
        </w:rPr>
        <w:t xml:space="preserve"> </w:t>
      </w:r>
      <w:r w:rsidR="00F3649F" w:rsidRPr="00C50A39">
        <w:rPr>
          <w:rFonts w:ascii="Arial" w:hAnsi="Arial" w:cs="Arial"/>
        </w:rPr>
        <w:t xml:space="preserve">We modified an internet-delivered CBT intervention shown effective in other </w:t>
      </w:r>
      <w:proofErr w:type="spellStart"/>
      <w:r w:rsidR="00F3649F" w:rsidRPr="00C50A39">
        <w:rPr>
          <w:rFonts w:ascii="Arial" w:hAnsi="Arial" w:cs="Arial"/>
        </w:rPr>
        <w:t>pediatric</w:t>
      </w:r>
      <w:proofErr w:type="spellEnd"/>
      <w:r w:rsidR="00F3649F" w:rsidRPr="00C50A39">
        <w:rPr>
          <w:rFonts w:ascii="Arial" w:hAnsi="Arial" w:cs="Arial"/>
        </w:rPr>
        <w:t xml:space="preserve"> chronic pain conditions</w:t>
      </w:r>
      <w:r w:rsidR="006F51B3">
        <w:rPr>
          <w:rFonts w:ascii="Arial" w:hAnsi="Arial" w:cs="Arial"/>
        </w:rPr>
        <w:t xml:space="preserve"> </w:t>
      </w:r>
      <w:r w:rsidR="00173D9D" w:rsidRPr="00C50A39">
        <w:rPr>
          <w:rFonts w:ascii="Arial" w:hAnsi="Arial" w:cs="Arial"/>
        </w:rPr>
        <w:fldChar w:fldCharType="begin"/>
      </w:r>
      <w:r w:rsidR="00F30351">
        <w:rPr>
          <w:rFonts w:ascii="Arial" w:hAnsi="Arial" w:cs="Arial"/>
        </w:rPr>
        <w:instrText xml:space="preserve"> ADDIN ZOTERO_ITEM CSL_CITATION {"citationID":"a242024gd8i","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173D9D" w:rsidRPr="00C50A39">
        <w:rPr>
          <w:rFonts w:ascii="Arial" w:hAnsi="Arial" w:cs="Arial"/>
        </w:rPr>
        <w:fldChar w:fldCharType="separate"/>
      </w:r>
      <w:r w:rsidR="00F30351" w:rsidRPr="00F30351">
        <w:rPr>
          <w:rFonts w:ascii="Arial" w:hAnsi="Arial" w:cs="Arial"/>
        </w:rPr>
        <w:t>[24]</w:t>
      </w:r>
      <w:r w:rsidR="00173D9D" w:rsidRPr="00C50A39">
        <w:rPr>
          <w:rFonts w:ascii="Arial" w:hAnsi="Arial" w:cs="Arial"/>
        </w:rPr>
        <w:fldChar w:fldCharType="end"/>
      </w:r>
      <w:r w:rsidR="00F3649F" w:rsidRPr="00C50A39">
        <w:rPr>
          <w:rFonts w:ascii="Arial" w:eastAsia="MS Mincho" w:hAnsi="Arial" w:cs="Arial"/>
        </w:rPr>
        <w:t xml:space="preserve"> </w:t>
      </w:r>
      <w:r w:rsidR="00F3649F" w:rsidRPr="00C50A39">
        <w:rPr>
          <w:rFonts w:ascii="Arial" w:hAnsi="Arial" w:cs="Arial"/>
        </w:rPr>
        <w:t xml:space="preserve">for youth with FAP. </w:t>
      </w:r>
      <w:r w:rsidR="005C3B8F" w:rsidRPr="00C50A39">
        <w:rPr>
          <w:rFonts w:ascii="Arial" w:hAnsi="Arial" w:cs="Arial"/>
        </w:rPr>
        <w:t>Because p</w:t>
      </w:r>
      <w:r w:rsidRPr="00C50A39">
        <w:rPr>
          <w:rFonts w:ascii="Arial" w:hAnsi="Arial" w:cs="Arial"/>
        </w:rPr>
        <w:t>arents</w:t>
      </w:r>
      <w:r w:rsidR="003A2EEC" w:rsidRPr="00C50A39">
        <w:rPr>
          <w:rFonts w:ascii="Arial" w:hAnsi="Arial" w:cs="Arial"/>
        </w:rPr>
        <w:t xml:space="preserve"> can</w:t>
      </w:r>
      <w:r w:rsidRPr="00C50A39">
        <w:rPr>
          <w:rFonts w:ascii="Arial" w:hAnsi="Arial" w:cs="Arial"/>
        </w:rPr>
        <w:t xml:space="preserve"> influence children’s pain</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gbahendff","properties":{"formattedCitation":"[19,25,34,38,49]","plainCitation":"[19,25,34,38,49]","noteIndex":0},"citationItems":[{"id":167,"uris":["http://zotero.org/users/7139165/items/XGVJX9TA"],"uri":["http://zotero.org/users/7139165/items/XGVJX9TA"],"itemData":{"id":167,"type":"article-journal","abstract":"OBJECTIVES: Irritable bowel syndrome (IBS) runs in families. The aims of this study were (i) to exclude biased perception by a mother with irritable bowel as the explanation for increased gastrointestinal (GI) symptoms in their children, (ii) to determine whether non-GI as well as GI symptoms run in families, and (iii) to determine whether parent IBS status and solicitous responses to illness exert independent effects on children's symptom reports, medical clinic visits, and school absences.\nMETHODS: Two hundred and eight mothers with irritable bowel and their 296 children (cases: average age 11.9 yr; 48.6% male) and 241 nonirritable bowel mothers and their 335 children (controls: 11.8 yr; 49.0% male) were interviewed. Other factors assessed were stress, mother's and child's psychological symptoms, child's perceived competence, pain coping style, age, and sex. Children were interviewed apart from their parents.\nRESULTS: Case children independently reported more frequent stomach aches (F(591) = 9.22; p= 0.0025) and non-GI symptoms (F(562) = 21.03; p &lt; 0.001) than control children. Case children also had more school absences (F(625) = 26.53; p &lt; 0.0001), physician visits for GI symptoms (F(602) = 8.09; p= 0.005), and non-GI clinic visits (F(602) = 27.92; p &lt; 0.001) than control children. Children whose mothers made solicitous responses to illness complaints independently reported more severe stomach aches (F(590) = 11.42; p &lt; 0.001), and they also had more school absences for stomach aches (F(625) = 5.33; p &lt; 0.05), but solicitous behavior did not significantly impact non-GI symptom reporting, clinic visits, or school absences. Differences between cases and controls remained significant after adjusting for potential moderators.\nCONCLUSIONS: (i) Frequent GI complaints in children whose mothers have irritable bowel are not explained by the mother's biased perceptions; (ii) children of mothers with irritable bowel have more non-GI as well as GI symptoms, disability days, and clinical visits; (iii) and parent IBS status and solicitous responses to illness have independent effects on the child's symptom complaints.","container-title":"The American Journal of Gastroenterology","DOI":"10.1111/j.1572-0241.2004.40478.x","ISSN":"0002-9270","issue":"12","journalAbbreviation":"Am. J. Gastroenterol.","language":"eng","note":"PMID: 15571594","page":"2442-2451","source":"PubMed","title":"Increased somatic complaints and health-care utilization in children: effects of parent IBS status and parent response to gastrointestinal symptoms","title-short":"Increased somatic complaints and health-care utilization in children","volume":"99","author":[{"family":"Levy","given":"Rona L."},{"family":"Whitehead","given":"William E."},{"family":"Walker","given":"Lynn S."},{"family":"Von Korff","given":"Michael"},{"family":"Feld","given":"Andrew D."},{"family":"Garner","given":"Michelle"},{"family":"Christie","given":"Dennis"}],"issued":{"date-parts":[["2004",12]]}}},{"id":205,"uris":["http://zotero.org/users/7139165/items/QGDUNRXW"],"uri":["http://zotero.org/users/7139165/items/QGDUNRXW"],"itemData":{"id":205,"type":"article-journal","abstract":"Having a parent with chronic pain (CP) may confer greater risk of persistence of CP from childhood into young adulthood. Social learning, such as parental modeling and reinforcement, represents one plausible mechanism for the transmission of risk of CP from parents to offspring. Based on a 7-day pain diary in 154 pediatric patients with functional abdominal CP, we tested a model in which parental CP predicted adolescents' daily average CP severity and functional impairment (distal outcomes) via parental modeling of pain behaviors and parental reinforcement of adolescent's pain behaviors (mediators) and adolescents' cognitive appraisals of pain threat (proximal outcome representing adolescents' encoding of parents' behaviors). Results indicated significant indirect pathways from parental CP status to adolescent average daily pain severity (b = 0.18, SE = 0.08, 95% confidence interval: 0.04-0.31, P = 0.03) and functional impairment (b = 0.08, SE = 0.04, 95% confidence interval: 0.02-0.15, P = 0.03) over the 7-day diary period via adolescents' observations of parent pain behaviors and adolescent pain threat appraisal. The indirect pathway through parental reinforcing responses to adolescents' pain did not reach significance for either adolescent pain severity or functional impairment. Identifying mechanisms of increased risk of pain and functional impairment in children of parents with CP ultimately could lead to targeted interventions aimed at improving functioning and quality of life in families with CP. Parental modeling of pain behaviors represents a potentially promising target for family-based interventions to ameliorate pediatric CP.","container-title":"Pain","DOI":"10.1097/j.pain.0000000000001085","ISSN":"1872-6623","issue":"2","journalAbbreviation":"Pain","language":"eng","note":"PMID: 29016461\nPMCID: PMC5889361","page":"298-305","source":"PubMed","title":"Social learning pathways in the relation between parental chronic pain and daily pain severity and functional impairment in adolescents with functional abdominal pain","volume":"159","author":[{"family":"Stone","given":"Amanda L."},{"family":"Bruehl","given":"Stephen"},{"family":"Smith","given":"Craig A."},{"family":"Garber","given":"Judy"},{"family":"Walker","given":"Lynn S."}],"issued":{"date-parts":[["2018"]]}}},{"id":211,"uris":["http://zotero.org/users/7139165/items/XH2K57YR"],"uri":["http://zotero.org/users/7139165/items/XH2K57YR"],"itemData":{"id":211,"type":"article-journal","abstract":"Offspring of parents with chronic pain are at increased risk for pain and adverse mental and physical health outcomes (Higgins et al, 2015). Although the association between chronic pain in parents and offspring has been established, few studies have addressed why or how this relation occurs. Identifying mechanisms for the transmission of risk that leads to the development of chronic pain in offspring is important for developing preventive interventions targeted to decrease risk for chronic pain and related outcomes (eg, disability and internalizing symptoms). This review presents a conceptual model for the intergenerational transmission of chronic pain from parents to offspring with the goal of setting an agenda for future research and the development of preventive interventions. Our proposed model highlights 5 potential mechanisms for the relation between parental chronic pain and pediatric chronic pain and related adverse outcomes: (1) genetics, (2) alterations in early neurobiological development, (3) pain-specific social learning, (4), general parenting and family health, and (5) exposure to stressful environment. In addition, the model presents 3 potential moderators for the relation between parent and child chronic pain: (1) the presence of chronic pain in a second parent, (2) timing, course, and location of parental chronic pain, and (3) offspring’s characteristics (ie, sex, developmental stage, race or ethnicity, and temperament). Such a framework highlights chronic pain as inherently familial and intergenerational, opening up avenues for new models of intervention and prevention that can be family centered and include at-risk children.","container-title":"Pain","DOI":"10.1097/j.pain.0000000000000637","ISSN":"0304-3959","issue":"12","journalAbbreviation":"Pain","note":"PMID: 27380502\nPMCID: PMC5592972","page":"2628-2639","source":"PubMed Central","title":"Transmission of risk from parents with chronic pain to offspring: an integrative conceptual model","title-short":"Transmission of risk from parents with chronic pain to offspring","volume":"157","author":[{"family":"Stone","given":"Amanda L."},{"family":"Wilson","given":"Anna C."}],"issued":{"date-parts":[["2016",12]]}}},{"id":238,"uris":["http://zotero.org/users/7139165/items/69KBR46X"],"uri":["http://zotero.org/users/7139165/items/69KBR46X"],"itemData":{"id":238,"type":"article-journal","abstract":"The objective of this study was to assess the impact of parent attention and distraction on symptom complaints by children with and without chronic functional abdominal pain. The water load symptom provocation task was used to induce visceral discomfort in pediatric patients with abdominal pain (N = 104) and well children (N = 119), ages 8–16 years. Parents were randomly assigned and trained to interact with their children according to one of three conditions: Attention, Distraction, or No Instruction. Children's symptom complaints and parents’ responses were audiotaped and coded. Children completed a self-report measure of gastrointestinal (GI) symptoms before and after interacting with their parents. Parents’ and children's perceptions of their interaction were assessed. Compared to the No Instruction condition, symptom complaints by pain patients and well children nearly doubled in the Attention condition and were reduced by half in the Distraction condition. The effect of attention on symptom complaints was greater for female pain patients than for male patients or well children. Findings for self-report GI symptoms were similar to those for audiotaped symptom complaints. Both pain patients and well children in the Distraction condition rated parents as making them feel better compared to ratings for the Attention condition. Parents of pain patients rated distraction as having greater potential negative impact on their children than attention. Parents’ responses to children's symptom complaints can significantly increase or decrease those complaints. Girls with functional abdominal pain are particularly vulnerable to the symptom-reinforcing effects of parental attention.","container-title":"Pain","DOI":"10.1016/j.pain.2005.12.020","ISSN":"0304-3959","issue":"1-2","journalAbbreviation":"Pain","note":"PMID: 16495006\nPMCID: PMC3232036","page":"43-52","source":"PubMed Central","title":"Parent attention versus distraction: Impact on symptom complaints by children with and without chronic functional abdominal pain","title-short":"Parent attention versus distraction","volume":"122","author":[{"family":"Walker","given":"Lynn S."},{"family":"Williams","given":"Sara E."},{"family":"Smith","given":"Craig A."},{"family":"Garber","given":"Judy"},{"family":"Van Slyke","given":"Deborah A."},{"family":"Lipani","given":"Tricia A."}],"issued":{"date-parts":[["2006",5]]}}},{"id":187,"uris":["http://zotero.org/users/7139165/items/RDSTVTIR"],"uri":["http://zotero.org/users/7139165/items/RDSTVTIR"],"itemData":{"id":187,"type":"article-journal","abstract":"Pain that recurs or persists is unfortunately a common experience for children. One of the unique considerations in pediatric chronic pain management is the bidirectional influences of children's pain experiences and parental and family factors. In this review we present a developmental perspective on understanding pediatric chronic pain and disability, highlighting factors relevant from infancy to adolescence, and family and parent influences. Preliminary evidence indicates that developmental processes are influenced and may also shape the pediatric pain experience. Parent emotions, behaviors, and health also play a role in children's pain experiences, where overly protective parent behaviors, increased distress, and history of chronic pain are important parent-level influences. Research on family-level influences has revealed that families of children with chronic pain have poorer family functioning (e.g., more conflict, less cohesion) than families of healthy children. Several important gaps exist in this research, such as in understanding basic developmental processes in children with chronic pain and how they influence children's perception of and responses to pain. Also, there is a lack of longitudinal data on family relationships and individual adjustment to allow for understanding of whether changes occur in parenting over the course of the child's chronic pain experience. Although parent interventions have been successfully incorporated into many cognitive-behavioral treatments for children with chronic pain conditions, little guidance exists for adapting intervention strategies to be developmentally appropriate. Additional research is needed to examine whether parent interventions are effective at different developmental stages and the best way to incorporate developmental goals into treatment.","container-title":"The American Psychologist","DOI":"10.1037/a0035216","ISSN":"1935-990X","issue":"2","journalAbbreviation":"Am Psychol","language":"eng","note":"PMID: 24547800\nPMCID: PMC4056332","page":"142-152","source":"PubMed","title":"Family and parent influences on pediatric chronic pain: a developmental perspective","title-short":"Family and parent influences on pediatric chronic pain","volume":"69","author":[{"family":"Palermo","given":"Tonya M."},{"family":"Valrie","given":"Cecelia R."},{"family":"Karlson","given":"Cynthia W."}],"issued":{"date-parts":[["2014",3]]}}}],"schema":"https://github.com/citation-style-language/schema/raw/master/csl-citation.json"}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[19,25,34,38,49]</w:t>
      </w:r>
      <w:r w:rsidR="001B38E6" w:rsidRPr="00C50A39">
        <w:rPr>
          <w:rFonts w:ascii="Arial" w:hAnsi="Arial" w:cs="Arial"/>
        </w:rPr>
        <w:fldChar w:fldCharType="end"/>
      </w:r>
      <w:r w:rsidR="006F51B3">
        <w:rPr>
          <w:rFonts w:ascii="Arial" w:hAnsi="Arial" w:cs="Arial"/>
        </w:rPr>
        <w:t>,</w:t>
      </w:r>
      <w:r w:rsidR="00F70F04" w:rsidRPr="00C50A39">
        <w:rPr>
          <w:rFonts w:ascii="Arial" w:hAnsi="Arial" w:cs="Arial"/>
        </w:rPr>
        <w:t xml:space="preserve"> </w:t>
      </w:r>
      <w:r w:rsidR="00F14EF5">
        <w:rPr>
          <w:rFonts w:ascii="Arial" w:hAnsi="Arial" w:cs="Arial"/>
        </w:rPr>
        <w:t>they</w:t>
      </w:r>
      <w:r w:rsidRPr="00C50A39">
        <w:rPr>
          <w:rFonts w:ascii="Arial" w:hAnsi="Arial" w:cs="Arial"/>
        </w:rPr>
        <w:t xml:space="preserve"> were included. </w:t>
      </w:r>
    </w:p>
    <w:p w14:paraId="78A68BFE" w14:textId="0867AFD6" w:rsidR="00F14EF5" w:rsidRPr="00C50A39" w:rsidRDefault="00557B83" w:rsidP="005D267E">
      <w:pPr>
        <w:spacing w:after="0" w:line="480" w:lineRule="auto"/>
        <w:ind w:firstLine="720"/>
        <w:rPr>
          <w:rFonts w:ascii="Arial" w:hAnsi="Arial" w:cs="Arial"/>
        </w:rPr>
      </w:pPr>
      <w:r w:rsidRPr="00C50A39">
        <w:rPr>
          <w:rFonts w:ascii="Arial" w:hAnsi="Arial" w:cs="Arial"/>
        </w:rPr>
        <w:t xml:space="preserve"> </w:t>
      </w:r>
      <w:r w:rsidR="00CD6B39" w:rsidRPr="00C50A39">
        <w:rPr>
          <w:rFonts w:ascii="Arial" w:hAnsi="Arial" w:cs="Arial"/>
        </w:rPr>
        <w:t>Previously</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vq3kgiljk","properties":{"formattedCitation":"[48]","plainCitation":"[48]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[48]</w:t>
      </w:r>
      <w:r w:rsidR="001B38E6" w:rsidRPr="00C50A39">
        <w:rPr>
          <w:rFonts w:ascii="Arial" w:hAnsi="Arial" w:cs="Arial"/>
        </w:rPr>
        <w:fldChar w:fldCharType="end"/>
      </w:r>
      <w:r w:rsidR="006F51B3">
        <w:rPr>
          <w:rFonts w:ascii="Arial" w:hAnsi="Arial" w:cs="Arial"/>
        </w:rPr>
        <w:t>,</w:t>
      </w:r>
      <w:r w:rsidR="000A378E" w:rsidRPr="00C50A39">
        <w:rPr>
          <w:rFonts w:ascii="Arial" w:hAnsi="Arial" w:cs="Arial"/>
        </w:rPr>
        <w:t xml:space="preserve"> </w:t>
      </w:r>
      <w:r w:rsidR="00CD6B39" w:rsidRPr="00C50A39">
        <w:rPr>
          <w:rFonts w:ascii="Arial" w:hAnsi="Arial" w:cs="Arial"/>
        </w:rPr>
        <w:t>we</w:t>
      </w:r>
      <w:r w:rsidR="000A378E" w:rsidRPr="00C50A39">
        <w:rPr>
          <w:rFonts w:ascii="Arial" w:hAnsi="Arial" w:cs="Arial"/>
        </w:rPr>
        <w:t xml:space="preserve"> </w:t>
      </w:r>
      <w:r w:rsidR="00BE60D3" w:rsidRPr="00C50A39">
        <w:rPr>
          <w:rFonts w:ascii="Arial" w:hAnsi="Arial" w:cs="Arial"/>
        </w:rPr>
        <w:t xml:space="preserve">showed that </w:t>
      </w:r>
      <w:r w:rsidR="00106CF6" w:rsidRPr="00C50A39">
        <w:rPr>
          <w:rFonts w:ascii="Arial" w:hAnsi="Arial" w:cs="Arial"/>
        </w:rPr>
        <w:t xml:space="preserve">HPD </w:t>
      </w:r>
      <w:r w:rsidR="004864A4" w:rsidRPr="00C50A39">
        <w:rPr>
          <w:rFonts w:ascii="Arial" w:hAnsi="Arial" w:cs="Arial"/>
        </w:rPr>
        <w:t>patients</w:t>
      </w:r>
      <w:r w:rsidR="000A378E" w:rsidRPr="00C50A39">
        <w:rPr>
          <w:rFonts w:ascii="Arial" w:hAnsi="Arial" w:cs="Arial"/>
        </w:rPr>
        <w:t>,</w:t>
      </w:r>
      <w:r w:rsidR="00BE60D3" w:rsidRPr="00C50A39">
        <w:rPr>
          <w:rFonts w:ascii="Arial" w:hAnsi="Arial" w:cs="Arial"/>
        </w:rPr>
        <w:t xml:space="preserve"> compared to HPA and LPA </w:t>
      </w:r>
      <w:r w:rsidR="004864A4" w:rsidRPr="00C50A39">
        <w:rPr>
          <w:rFonts w:ascii="Arial" w:hAnsi="Arial" w:cs="Arial"/>
        </w:rPr>
        <w:t>ones</w:t>
      </w:r>
      <w:r w:rsidR="00BE60D3" w:rsidRPr="00C50A39">
        <w:rPr>
          <w:rFonts w:ascii="Arial" w:hAnsi="Arial" w:cs="Arial"/>
        </w:rPr>
        <w:t xml:space="preserve">, </w:t>
      </w:r>
      <w:r w:rsidR="001C6199" w:rsidRPr="00C50A39">
        <w:rPr>
          <w:rFonts w:ascii="Arial" w:hAnsi="Arial" w:cs="Arial"/>
        </w:rPr>
        <w:t>demonstrated</w:t>
      </w:r>
      <w:r w:rsidR="000C73D0" w:rsidRPr="00C50A39">
        <w:rPr>
          <w:rFonts w:ascii="Arial" w:hAnsi="Arial" w:cs="Arial"/>
        </w:rPr>
        <w:t xml:space="preserve"> </w:t>
      </w:r>
      <w:r w:rsidR="00BE60D3" w:rsidRPr="00C50A39">
        <w:rPr>
          <w:rFonts w:ascii="Arial" w:hAnsi="Arial" w:cs="Arial"/>
        </w:rPr>
        <w:t>significantly</w:t>
      </w:r>
      <w:r w:rsidR="00106CF6" w:rsidRPr="00C50A39">
        <w:rPr>
          <w:rFonts w:ascii="Arial" w:hAnsi="Arial" w:cs="Arial"/>
        </w:rPr>
        <w:t xml:space="preserve"> </w:t>
      </w:r>
      <w:r w:rsidR="00F70F04" w:rsidRPr="00C50A39">
        <w:rPr>
          <w:rFonts w:ascii="Arial" w:hAnsi="Arial" w:cs="Arial"/>
        </w:rPr>
        <w:t>high</w:t>
      </w:r>
      <w:r w:rsidR="00BE60D3" w:rsidRPr="00C50A39">
        <w:rPr>
          <w:rFonts w:ascii="Arial" w:hAnsi="Arial" w:cs="Arial"/>
        </w:rPr>
        <w:t>er</w:t>
      </w:r>
      <w:r w:rsidR="00754278" w:rsidRPr="00C50A39">
        <w:rPr>
          <w:rFonts w:ascii="Arial" w:hAnsi="Arial" w:cs="Arial"/>
        </w:rPr>
        <w:t xml:space="preserve"> levels of </w:t>
      </w:r>
      <w:r w:rsidR="00BE60D3" w:rsidRPr="00C50A39">
        <w:rPr>
          <w:rFonts w:ascii="Arial" w:hAnsi="Arial" w:cs="Arial"/>
        </w:rPr>
        <w:t xml:space="preserve">maladaptive pain </w:t>
      </w:r>
      <w:proofErr w:type="spellStart"/>
      <w:r w:rsidR="00094C3C" w:rsidRPr="00C50A39">
        <w:rPr>
          <w:rFonts w:ascii="Arial" w:hAnsi="Arial" w:cs="Arial"/>
        </w:rPr>
        <w:t>behavior</w:t>
      </w:r>
      <w:proofErr w:type="spellEnd"/>
      <w:r w:rsidR="00094C3C" w:rsidRPr="00C50A39">
        <w:rPr>
          <w:rFonts w:ascii="Arial" w:hAnsi="Arial" w:cs="Arial"/>
        </w:rPr>
        <w:t>, cognitions, and affect</w:t>
      </w:r>
      <w:r w:rsidR="00BE60D3" w:rsidRPr="00C50A39">
        <w:rPr>
          <w:rFonts w:ascii="Arial" w:hAnsi="Arial" w:cs="Arial"/>
        </w:rPr>
        <w:t xml:space="preserve"> </w:t>
      </w:r>
      <w:r w:rsidR="00452674" w:rsidRPr="00C50A39">
        <w:rPr>
          <w:rFonts w:ascii="Arial" w:hAnsi="Arial" w:cs="Arial"/>
        </w:rPr>
        <w:t>at their medical evaluation</w:t>
      </w:r>
      <w:r w:rsidR="00944629">
        <w:rPr>
          <w:rFonts w:ascii="Arial" w:hAnsi="Arial" w:cs="Arial"/>
        </w:rPr>
        <w:t xml:space="preserve"> and significantly worse outcomes at long-term follow-up</w:t>
      </w:r>
      <w:r w:rsidR="00BE60D3" w:rsidRPr="00C50A39">
        <w:rPr>
          <w:rFonts w:ascii="Arial" w:hAnsi="Arial" w:cs="Arial"/>
        </w:rPr>
        <w:t xml:space="preserve">. </w:t>
      </w:r>
      <w:r w:rsidR="005C3B8F" w:rsidRPr="00C50A39">
        <w:rPr>
          <w:rFonts w:ascii="Arial" w:hAnsi="Arial" w:cs="Arial"/>
        </w:rPr>
        <w:t>T</w:t>
      </w:r>
      <w:r w:rsidR="00BE60D3" w:rsidRPr="00C50A39">
        <w:rPr>
          <w:rFonts w:ascii="Arial" w:hAnsi="Arial" w:cs="Arial"/>
        </w:rPr>
        <w:t xml:space="preserve">hese </w:t>
      </w:r>
      <w:r w:rsidR="00944629">
        <w:rPr>
          <w:rFonts w:ascii="Arial" w:hAnsi="Arial" w:cs="Arial"/>
        </w:rPr>
        <w:t xml:space="preserve">predictive </w:t>
      </w:r>
      <w:r w:rsidR="00094C3C" w:rsidRPr="00C50A39">
        <w:rPr>
          <w:rFonts w:ascii="Arial" w:hAnsi="Arial" w:cs="Arial"/>
        </w:rPr>
        <w:t>factors</w:t>
      </w:r>
      <w:r w:rsidR="00106CF6" w:rsidRPr="00C50A39">
        <w:rPr>
          <w:rFonts w:ascii="Arial" w:hAnsi="Arial" w:cs="Arial"/>
        </w:rPr>
        <w:t xml:space="preserve"> </w:t>
      </w:r>
      <w:r w:rsidR="00B41CE7" w:rsidRPr="00C50A39">
        <w:rPr>
          <w:rFonts w:ascii="Arial" w:hAnsi="Arial" w:cs="Arial"/>
        </w:rPr>
        <w:t>a</w:t>
      </w:r>
      <w:r w:rsidR="00BE60D3" w:rsidRPr="00C50A39">
        <w:rPr>
          <w:rFonts w:ascii="Arial" w:hAnsi="Arial" w:cs="Arial"/>
        </w:rPr>
        <w:t xml:space="preserve">re </w:t>
      </w:r>
      <w:r w:rsidR="00106CF6" w:rsidRPr="00C50A39">
        <w:rPr>
          <w:rFonts w:ascii="Arial" w:hAnsi="Arial" w:cs="Arial"/>
        </w:rPr>
        <w:t xml:space="preserve">targeted by </w:t>
      </w:r>
      <w:r w:rsidR="00BE60D3" w:rsidRPr="00C50A39">
        <w:rPr>
          <w:rFonts w:ascii="Arial" w:hAnsi="Arial" w:cs="Arial"/>
        </w:rPr>
        <w:t xml:space="preserve">the </w:t>
      </w:r>
      <w:r w:rsidR="00106CF6" w:rsidRPr="00C50A39">
        <w:rPr>
          <w:rFonts w:ascii="Arial" w:hAnsi="Arial" w:cs="Arial"/>
        </w:rPr>
        <w:t>CBT</w:t>
      </w:r>
      <w:r w:rsidR="00BE60D3" w:rsidRPr="00C50A39">
        <w:rPr>
          <w:rFonts w:ascii="Arial" w:hAnsi="Arial" w:cs="Arial"/>
        </w:rPr>
        <w:t xml:space="preserve"> intervention developed by Palermo</w:t>
      </w:r>
      <w:r w:rsidR="006F51B3">
        <w:rPr>
          <w:rFonts w:ascii="Arial" w:hAnsi="Arial" w:cs="Arial"/>
        </w:rPr>
        <w:t xml:space="preserve"> </w:t>
      </w:r>
      <w:r w:rsidR="001B38E6" w:rsidRPr="00C50A39">
        <w:rPr>
          <w:rFonts w:ascii="Arial" w:hAnsi="Arial" w:cs="Arial"/>
        </w:rPr>
        <w:fldChar w:fldCharType="begin"/>
      </w:r>
      <w:r w:rsidR="00F30351">
        <w:rPr>
          <w:rFonts w:ascii="Arial" w:hAnsi="Arial" w:cs="Arial"/>
        </w:rPr>
        <w:instrText xml:space="preserve"> ADDIN ZOTERO_ITEM CSL_CITATION {"citationID":"a10cgqis63n","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1B38E6" w:rsidRPr="00C50A39">
        <w:rPr>
          <w:rFonts w:ascii="Arial" w:hAnsi="Arial" w:cs="Arial"/>
        </w:rPr>
        <w:fldChar w:fldCharType="separate"/>
      </w:r>
      <w:r w:rsidR="00F30351" w:rsidRPr="00F30351">
        <w:rPr>
          <w:rFonts w:ascii="Arial" w:hAnsi="Arial" w:cs="Arial"/>
        </w:rPr>
        <w:t>[24]</w:t>
      </w:r>
      <w:r w:rsidR="001B38E6" w:rsidRPr="00C50A39">
        <w:rPr>
          <w:rFonts w:ascii="Arial" w:hAnsi="Arial" w:cs="Arial"/>
        </w:rPr>
        <w:fldChar w:fldCharType="end"/>
      </w:r>
      <w:r w:rsidR="006F51B3">
        <w:rPr>
          <w:rFonts w:ascii="Arial" w:hAnsi="Arial" w:cs="Arial"/>
        </w:rPr>
        <w:t>.</w:t>
      </w:r>
      <w:r w:rsidR="00106CF6" w:rsidRPr="00C50A39">
        <w:rPr>
          <w:rFonts w:ascii="Arial" w:hAnsi="Arial" w:cs="Arial"/>
        </w:rPr>
        <w:t xml:space="preserve"> </w:t>
      </w:r>
      <w:r w:rsidR="005C3B8F" w:rsidRPr="00C50A39">
        <w:rPr>
          <w:rFonts w:ascii="Arial" w:hAnsi="Arial" w:cs="Arial"/>
        </w:rPr>
        <w:t>W</w:t>
      </w:r>
      <w:r w:rsidR="00D96DAC" w:rsidRPr="00C50A39">
        <w:rPr>
          <w:rFonts w:ascii="Arial" w:hAnsi="Arial" w:cs="Arial"/>
        </w:rPr>
        <w:t xml:space="preserve">e hypothesized that </w:t>
      </w:r>
      <w:r w:rsidR="00A761C2" w:rsidRPr="00C50A39">
        <w:rPr>
          <w:rFonts w:ascii="Arial" w:hAnsi="Arial" w:cs="Arial"/>
        </w:rPr>
        <w:t>youth</w:t>
      </w:r>
      <w:r w:rsidR="00106CF6" w:rsidRPr="00C50A39">
        <w:rPr>
          <w:rFonts w:ascii="Arial" w:hAnsi="Arial" w:cs="Arial"/>
        </w:rPr>
        <w:t xml:space="preserve"> in </w:t>
      </w:r>
      <w:r w:rsidR="00D96DAC" w:rsidRPr="00C50A39">
        <w:rPr>
          <w:rFonts w:ascii="Arial" w:hAnsi="Arial" w:cs="Arial"/>
        </w:rPr>
        <w:t>the HPD sub</w:t>
      </w:r>
      <w:r w:rsidR="00585949" w:rsidRPr="00C50A39">
        <w:rPr>
          <w:rFonts w:ascii="Arial" w:hAnsi="Arial" w:cs="Arial"/>
        </w:rPr>
        <w:t xml:space="preserve">group </w:t>
      </w:r>
      <w:r w:rsidR="00D96DAC" w:rsidRPr="00C50A39">
        <w:rPr>
          <w:rFonts w:ascii="Arial" w:hAnsi="Arial" w:cs="Arial"/>
        </w:rPr>
        <w:t xml:space="preserve">assigned to CBT, </w:t>
      </w:r>
      <w:r w:rsidR="002273B0" w:rsidRPr="00C50A39">
        <w:rPr>
          <w:rFonts w:ascii="Arial" w:hAnsi="Arial" w:cs="Arial"/>
        </w:rPr>
        <w:t xml:space="preserve">relative </w:t>
      </w:r>
      <w:r w:rsidR="00D96DAC" w:rsidRPr="00C50A39">
        <w:rPr>
          <w:rFonts w:ascii="Arial" w:hAnsi="Arial" w:cs="Arial"/>
        </w:rPr>
        <w:t xml:space="preserve">to </w:t>
      </w:r>
      <w:r w:rsidR="00C708FF" w:rsidRPr="00C50A39">
        <w:rPr>
          <w:rFonts w:ascii="Arial" w:hAnsi="Arial" w:cs="Arial"/>
        </w:rPr>
        <w:t xml:space="preserve">those assigned to </w:t>
      </w:r>
      <w:r w:rsidR="00B77008" w:rsidRPr="00C50A39">
        <w:rPr>
          <w:rFonts w:ascii="Arial" w:hAnsi="Arial" w:cs="Arial"/>
        </w:rPr>
        <w:t>internet-delivered pain education (</w:t>
      </w:r>
      <w:r w:rsidR="00D96DAC" w:rsidRPr="00C50A39">
        <w:rPr>
          <w:rFonts w:ascii="Arial" w:hAnsi="Arial" w:cs="Arial"/>
        </w:rPr>
        <w:t>EDU</w:t>
      </w:r>
      <w:r w:rsidR="00B77008" w:rsidRPr="00C50A39">
        <w:rPr>
          <w:rFonts w:ascii="Arial" w:hAnsi="Arial" w:cs="Arial"/>
        </w:rPr>
        <w:t>)</w:t>
      </w:r>
      <w:r w:rsidR="00D96DAC" w:rsidRPr="00C50A39">
        <w:rPr>
          <w:rFonts w:ascii="Arial" w:hAnsi="Arial" w:cs="Arial"/>
        </w:rPr>
        <w:t xml:space="preserve">, would exhibit greater reductions in </w:t>
      </w:r>
      <w:r w:rsidR="005A039E" w:rsidRPr="00C50A39">
        <w:rPr>
          <w:rFonts w:ascii="Arial" w:hAnsi="Arial" w:cs="Arial"/>
        </w:rPr>
        <w:t>gastrointestinal (</w:t>
      </w:r>
      <w:r w:rsidR="00DE0724" w:rsidRPr="00C50A39">
        <w:rPr>
          <w:rFonts w:ascii="Arial" w:hAnsi="Arial" w:cs="Arial"/>
        </w:rPr>
        <w:t>GI</w:t>
      </w:r>
      <w:r w:rsidR="005A039E" w:rsidRPr="00C50A39">
        <w:rPr>
          <w:rFonts w:ascii="Arial" w:hAnsi="Arial" w:cs="Arial"/>
        </w:rPr>
        <w:t>)</w:t>
      </w:r>
      <w:r w:rsidR="00DE0724" w:rsidRPr="00C50A39">
        <w:rPr>
          <w:rFonts w:ascii="Arial" w:hAnsi="Arial" w:cs="Arial"/>
        </w:rPr>
        <w:t xml:space="preserve"> </w:t>
      </w:r>
      <w:r w:rsidR="00D96DAC" w:rsidRPr="00C50A39">
        <w:rPr>
          <w:rFonts w:ascii="Arial" w:hAnsi="Arial" w:cs="Arial"/>
        </w:rPr>
        <w:t xml:space="preserve">symptoms, </w:t>
      </w:r>
      <w:r w:rsidR="00C708FF" w:rsidRPr="00C50A39">
        <w:rPr>
          <w:rFonts w:ascii="Arial" w:hAnsi="Arial" w:cs="Arial"/>
        </w:rPr>
        <w:t xml:space="preserve">abdominal pain, </w:t>
      </w:r>
      <w:r w:rsidR="00D96DAC" w:rsidRPr="00C50A39">
        <w:rPr>
          <w:rFonts w:ascii="Arial" w:hAnsi="Arial" w:cs="Arial"/>
        </w:rPr>
        <w:t xml:space="preserve">and </w:t>
      </w:r>
      <w:r w:rsidR="00F3649F" w:rsidRPr="00C50A39">
        <w:rPr>
          <w:rFonts w:ascii="Arial" w:hAnsi="Arial" w:cs="Arial"/>
        </w:rPr>
        <w:t>pain interference</w:t>
      </w:r>
      <w:r w:rsidR="00D96DAC" w:rsidRPr="00C50A39">
        <w:rPr>
          <w:rFonts w:ascii="Arial" w:hAnsi="Arial" w:cs="Arial"/>
        </w:rPr>
        <w:t xml:space="preserve"> </w:t>
      </w:r>
      <w:r w:rsidR="002273B0" w:rsidRPr="00C50A39">
        <w:rPr>
          <w:rFonts w:ascii="Arial" w:hAnsi="Arial" w:cs="Arial"/>
        </w:rPr>
        <w:t xml:space="preserve">during </w:t>
      </w:r>
      <w:r w:rsidR="00D96DAC" w:rsidRPr="00C50A39">
        <w:rPr>
          <w:rFonts w:ascii="Arial" w:hAnsi="Arial" w:cs="Arial"/>
        </w:rPr>
        <w:t>the trial</w:t>
      </w:r>
      <w:r w:rsidR="00754278" w:rsidRPr="00C50A39">
        <w:rPr>
          <w:rFonts w:ascii="Arial" w:hAnsi="Arial" w:cs="Arial"/>
        </w:rPr>
        <w:t xml:space="preserve">. In contrast, </w:t>
      </w:r>
      <w:r w:rsidR="00A761C2" w:rsidRPr="00C50A39">
        <w:rPr>
          <w:rFonts w:ascii="Arial" w:hAnsi="Arial" w:cs="Arial"/>
        </w:rPr>
        <w:t>youth</w:t>
      </w:r>
      <w:r w:rsidR="00DE0724" w:rsidRPr="00C50A39">
        <w:rPr>
          <w:rFonts w:ascii="Arial" w:hAnsi="Arial" w:cs="Arial"/>
        </w:rPr>
        <w:t xml:space="preserve"> in </w:t>
      </w:r>
      <w:r w:rsidR="00D96DAC" w:rsidRPr="00C50A39">
        <w:rPr>
          <w:rFonts w:ascii="Arial" w:hAnsi="Arial" w:cs="Arial"/>
        </w:rPr>
        <w:t>the HPA and LPA</w:t>
      </w:r>
      <w:r w:rsidR="00094C3C" w:rsidRPr="00C50A39">
        <w:rPr>
          <w:rFonts w:ascii="Arial" w:hAnsi="Arial" w:cs="Arial"/>
        </w:rPr>
        <w:t xml:space="preserve"> </w:t>
      </w:r>
      <w:r w:rsidR="00D96DAC" w:rsidRPr="00C50A39">
        <w:rPr>
          <w:rFonts w:ascii="Arial" w:hAnsi="Arial" w:cs="Arial"/>
        </w:rPr>
        <w:t>sub</w:t>
      </w:r>
      <w:r w:rsidR="00585949" w:rsidRPr="00C50A39">
        <w:rPr>
          <w:rFonts w:ascii="Arial" w:hAnsi="Arial" w:cs="Arial"/>
        </w:rPr>
        <w:t>group</w:t>
      </w:r>
      <w:r w:rsidR="00D96DAC" w:rsidRPr="00C50A39">
        <w:rPr>
          <w:rFonts w:ascii="Arial" w:hAnsi="Arial" w:cs="Arial"/>
        </w:rPr>
        <w:t>s</w:t>
      </w:r>
      <w:r w:rsidR="00106CF6" w:rsidRPr="00C50A39">
        <w:rPr>
          <w:rFonts w:ascii="Arial" w:hAnsi="Arial" w:cs="Arial"/>
        </w:rPr>
        <w:t xml:space="preserve">, </w:t>
      </w:r>
      <w:r w:rsidR="004706A6" w:rsidRPr="00C50A39">
        <w:rPr>
          <w:rFonts w:ascii="Arial" w:hAnsi="Arial" w:cs="Arial"/>
        </w:rPr>
        <w:t>with</w:t>
      </w:r>
      <w:r w:rsidR="00106CF6" w:rsidRPr="00C50A39">
        <w:rPr>
          <w:rFonts w:ascii="Arial" w:hAnsi="Arial" w:cs="Arial"/>
        </w:rPr>
        <w:t xml:space="preserve"> more </w:t>
      </w:r>
      <w:r w:rsidR="006F6790" w:rsidRPr="00C50A39">
        <w:rPr>
          <w:rFonts w:ascii="Arial" w:hAnsi="Arial" w:cs="Arial"/>
        </w:rPr>
        <w:t>adaptive</w:t>
      </w:r>
      <w:r w:rsidR="00106CF6" w:rsidRPr="00C50A39">
        <w:rPr>
          <w:rFonts w:ascii="Arial" w:hAnsi="Arial" w:cs="Arial"/>
        </w:rPr>
        <w:t xml:space="preserve"> pain characteristics</w:t>
      </w:r>
      <w:r w:rsidR="008D3E62" w:rsidRPr="00C50A39">
        <w:rPr>
          <w:rFonts w:ascii="Arial" w:hAnsi="Arial" w:cs="Arial"/>
        </w:rPr>
        <w:t xml:space="preserve">, would benefit </w:t>
      </w:r>
      <w:r w:rsidR="00DE0724" w:rsidRPr="00C50A39">
        <w:rPr>
          <w:rFonts w:ascii="Arial" w:hAnsi="Arial" w:cs="Arial"/>
        </w:rPr>
        <w:t>equally from CBT and EDU</w:t>
      </w:r>
      <w:r w:rsidR="00A761C2" w:rsidRPr="00C50A39">
        <w:rPr>
          <w:rFonts w:ascii="Arial" w:hAnsi="Arial" w:cs="Arial"/>
        </w:rPr>
        <w:t xml:space="preserve">. </w:t>
      </w:r>
      <w:r w:rsidR="00F805C1" w:rsidRPr="00C50A39">
        <w:rPr>
          <w:rFonts w:ascii="Arial" w:hAnsi="Arial" w:cs="Arial"/>
        </w:rPr>
        <w:t xml:space="preserve">We </w:t>
      </w:r>
      <w:r w:rsidR="00D96DAC" w:rsidRPr="00C50A39">
        <w:rPr>
          <w:rFonts w:ascii="Arial" w:hAnsi="Arial" w:cs="Arial"/>
        </w:rPr>
        <w:t xml:space="preserve">evaluated </w:t>
      </w:r>
      <w:r w:rsidR="00797EE1" w:rsidRPr="00C50A39">
        <w:rPr>
          <w:rFonts w:ascii="Arial" w:hAnsi="Arial" w:cs="Arial"/>
        </w:rPr>
        <w:t>dur</w:t>
      </w:r>
      <w:r w:rsidR="00D96DAC" w:rsidRPr="00C50A39">
        <w:rPr>
          <w:rFonts w:ascii="Arial" w:hAnsi="Arial" w:cs="Arial"/>
        </w:rPr>
        <w:t>ability of treatment effects with 6- and 12-month follow-up assessments</w:t>
      </w:r>
      <w:r w:rsidR="00F14EF5">
        <w:rPr>
          <w:rFonts w:ascii="Arial" w:hAnsi="Arial" w:cs="Arial"/>
        </w:rPr>
        <w:t>.</w:t>
      </w:r>
      <w:r w:rsidR="00110B30" w:rsidRPr="00C50A39">
        <w:rPr>
          <w:rFonts w:ascii="Arial" w:hAnsi="Arial" w:cs="Arial"/>
        </w:rPr>
        <w:t xml:space="preserve"> </w:t>
      </w:r>
      <w:r w:rsidR="00F14EF5">
        <w:rPr>
          <w:rFonts w:ascii="Arial" w:hAnsi="Arial" w:cs="Arial"/>
        </w:rPr>
        <w:t>We</w:t>
      </w:r>
      <w:r w:rsidR="00110B30" w:rsidRPr="00C50A39">
        <w:rPr>
          <w:rFonts w:ascii="Arial" w:hAnsi="Arial" w:cs="Arial"/>
        </w:rPr>
        <w:t xml:space="preserve"> </w:t>
      </w:r>
      <w:r w:rsidR="00F14EF5">
        <w:rPr>
          <w:rFonts w:ascii="Arial" w:hAnsi="Arial" w:cs="Arial"/>
        </w:rPr>
        <w:t xml:space="preserve">also </w:t>
      </w:r>
      <w:r w:rsidR="00F805C1" w:rsidRPr="00C50A39">
        <w:rPr>
          <w:rFonts w:ascii="Arial" w:hAnsi="Arial" w:cs="Arial"/>
        </w:rPr>
        <w:t>measured</w:t>
      </w:r>
      <w:r w:rsidR="00110B30" w:rsidRPr="00C50A39">
        <w:rPr>
          <w:rFonts w:ascii="Arial" w:hAnsi="Arial" w:cs="Arial"/>
        </w:rPr>
        <w:t xml:space="preserve"> </w:t>
      </w:r>
      <w:r w:rsidR="00E27B54" w:rsidRPr="00C50A39">
        <w:rPr>
          <w:rFonts w:ascii="Arial" w:hAnsi="Arial" w:cs="Arial"/>
        </w:rPr>
        <w:t>treatment expectancies</w:t>
      </w:r>
      <w:r w:rsidR="00392D6D" w:rsidRPr="00C50A39">
        <w:rPr>
          <w:rFonts w:ascii="Arial" w:hAnsi="Arial" w:cs="Arial"/>
        </w:rPr>
        <w:t>, engagement,</w:t>
      </w:r>
      <w:r w:rsidR="00E27B54" w:rsidRPr="00C50A39">
        <w:rPr>
          <w:rFonts w:ascii="Arial" w:hAnsi="Arial" w:cs="Arial"/>
        </w:rPr>
        <w:t xml:space="preserve"> and satisfaction</w:t>
      </w:r>
      <w:r w:rsidR="00F14EF5">
        <w:rPr>
          <w:rFonts w:ascii="Arial" w:hAnsi="Arial" w:cs="Arial"/>
        </w:rPr>
        <w:t>.</w:t>
      </w:r>
    </w:p>
    <w:p w14:paraId="66AC80AE" w14:textId="77777777" w:rsidR="00E16FD4" w:rsidRDefault="00501047" w:rsidP="00E16FD4">
      <w:pPr>
        <w:shd w:val="clear" w:color="auto" w:fill="FFFFFF"/>
        <w:spacing w:after="0" w:line="480" w:lineRule="auto"/>
        <w:jc w:val="center"/>
        <w:rPr>
          <w:rFonts w:ascii="Arial" w:eastAsia="Times New Roman" w:hAnsi="Arial" w:cs="Arial"/>
          <w:b/>
          <w:lang w:val="en-US"/>
        </w:rPr>
      </w:pPr>
      <w:r w:rsidRPr="00C50A39">
        <w:rPr>
          <w:rFonts w:ascii="Arial" w:eastAsia="Times New Roman" w:hAnsi="Arial" w:cs="Arial"/>
          <w:b/>
          <w:lang w:val="en-US"/>
        </w:rPr>
        <w:t>Methods</w:t>
      </w:r>
    </w:p>
    <w:p w14:paraId="1E4B0743" w14:textId="2AF72754" w:rsidR="007752ED" w:rsidRPr="00C50A39" w:rsidRDefault="007752ED" w:rsidP="00E16FD4">
      <w:pPr>
        <w:shd w:val="clear" w:color="auto" w:fill="FFFFFF"/>
        <w:spacing w:after="0" w:line="480" w:lineRule="auto"/>
        <w:rPr>
          <w:rFonts w:ascii="Arial" w:eastAsia="Times New Roman" w:hAnsi="Arial" w:cs="Arial"/>
          <w:b/>
          <w:lang w:val="en-US"/>
        </w:rPr>
      </w:pPr>
      <w:r w:rsidRPr="00C50A39">
        <w:rPr>
          <w:rFonts w:ascii="Arial" w:eastAsia="Times New Roman" w:hAnsi="Arial" w:cs="Arial"/>
          <w:b/>
          <w:lang w:val="en-US"/>
        </w:rPr>
        <w:t>Participants</w:t>
      </w:r>
    </w:p>
    <w:p w14:paraId="3F6248D1" w14:textId="2D1EB042" w:rsidR="007752ED" w:rsidRPr="00C50A39" w:rsidRDefault="007752ED" w:rsidP="00C50A39">
      <w:pPr>
        <w:shd w:val="clear" w:color="auto" w:fill="FFFFFF"/>
        <w:spacing w:after="0" w:line="480" w:lineRule="auto"/>
        <w:ind w:firstLine="720"/>
        <w:rPr>
          <w:rFonts w:ascii="Arial" w:hAnsi="Arial" w:cs="Arial"/>
        </w:rPr>
      </w:pPr>
      <w:r w:rsidRPr="00C50A39">
        <w:rPr>
          <w:rFonts w:ascii="Arial" w:hAnsi="Arial" w:cs="Arial"/>
        </w:rPr>
        <w:t xml:space="preserve">Participants were consecutive new patients (ages 11-17 years) </w:t>
      </w:r>
      <w:r w:rsidR="00B56411" w:rsidRPr="00C50A39">
        <w:rPr>
          <w:rFonts w:ascii="Arial" w:hAnsi="Arial" w:cs="Arial"/>
        </w:rPr>
        <w:t>whose evaluation for abdominal pain at</w:t>
      </w:r>
      <w:r w:rsidRPr="00C50A39">
        <w:rPr>
          <w:rFonts w:ascii="Arial" w:hAnsi="Arial" w:cs="Arial"/>
        </w:rPr>
        <w:t xml:space="preserve"> a</w:t>
      </w:r>
      <w:r w:rsidRPr="00C50A39">
        <w:rPr>
          <w:rFonts w:ascii="Arial" w:hAnsi="Arial" w:cs="Arial"/>
          <w:lang w:val="en-US"/>
        </w:rPr>
        <w:t xml:space="preserve"> pediatric</w:t>
      </w:r>
      <w:r w:rsidRPr="00C50A39">
        <w:rPr>
          <w:rFonts w:ascii="Arial" w:hAnsi="Arial" w:cs="Arial"/>
        </w:rPr>
        <w:t xml:space="preserve"> gastroenterology clinic </w:t>
      </w:r>
      <w:r w:rsidR="00B56411" w:rsidRPr="00C50A39">
        <w:rPr>
          <w:rFonts w:ascii="Arial" w:hAnsi="Arial" w:cs="Arial"/>
        </w:rPr>
        <w:t>did not attribute the symptoms to organic causes</w:t>
      </w:r>
      <w:r w:rsidR="0045509D" w:rsidRPr="00C50A39">
        <w:rPr>
          <w:rFonts w:ascii="Arial" w:hAnsi="Arial" w:cs="Arial"/>
        </w:rPr>
        <w:t>.</w:t>
      </w:r>
      <w:r w:rsidR="00251895" w:rsidRPr="00C50A39">
        <w:rPr>
          <w:rFonts w:ascii="Arial" w:hAnsi="Arial" w:cs="Arial"/>
        </w:rPr>
        <w:t xml:space="preserve"> </w:t>
      </w:r>
      <w:r w:rsidR="0045509D" w:rsidRPr="00C50A39">
        <w:rPr>
          <w:rFonts w:ascii="Arial" w:hAnsi="Arial" w:cs="Arial"/>
        </w:rPr>
        <w:t>A</w:t>
      </w:r>
      <w:r w:rsidR="00251895" w:rsidRPr="00C50A39">
        <w:rPr>
          <w:rFonts w:ascii="Arial" w:hAnsi="Arial" w:cs="Arial"/>
        </w:rPr>
        <w:t xml:space="preserve"> parent </w:t>
      </w:r>
      <w:r w:rsidR="0045509D" w:rsidRPr="00C50A39">
        <w:rPr>
          <w:rFonts w:ascii="Arial" w:hAnsi="Arial" w:cs="Arial"/>
        </w:rPr>
        <w:t>also participated</w:t>
      </w:r>
      <w:r w:rsidRPr="00C50A39">
        <w:rPr>
          <w:rFonts w:ascii="Arial" w:hAnsi="Arial" w:cs="Arial"/>
        </w:rPr>
        <w:t xml:space="preserve">. Participants were enrolled </w:t>
      </w:r>
      <w:r w:rsidRPr="00C50A39">
        <w:rPr>
          <w:rFonts w:ascii="Arial" w:eastAsia="Times New Roman" w:hAnsi="Arial" w:cs="Arial"/>
          <w:shd w:val="clear" w:color="auto" w:fill="FFFFFF"/>
        </w:rPr>
        <w:t xml:space="preserve">in a </w:t>
      </w:r>
      <w:r w:rsidRPr="00C50A39">
        <w:rPr>
          <w:rFonts w:ascii="Arial" w:hAnsi="Arial" w:cs="Arial"/>
          <w:color w:val="2D2D2D"/>
          <w:shd w:val="clear" w:color="auto" w:fill="FFFFFF"/>
        </w:rPr>
        <w:t xml:space="preserve">double-blind, balanced (1:1), parallel group, </w:t>
      </w:r>
      <w:r w:rsidR="00797EE1" w:rsidRPr="00C50A39">
        <w:rPr>
          <w:rFonts w:ascii="Arial" w:hAnsi="Arial" w:cs="Arial"/>
          <w:color w:val="2D2D2D"/>
          <w:shd w:val="clear" w:color="auto" w:fill="FFFFFF"/>
        </w:rPr>
        <w:t>RCT</w:t>
      </w:r>
      <w:r w:rsidRPr="00C50A39">
        <w:rPr>
          <w:rFonts w:ascii="Arial" w:eastAsia="Times New Roman" w:hAnsi="Arial" w:cs="Arial"/>
          <w:shd w:val="clear" w:color="auto" w:fill="FFFFFF"/>
        </w:rPr>
        <w:t xml:space="preserve"> (ClinicalTrials.gov: NCT02327377) evaluating the efficacy of </w:t>
      </w:r>
      <w:r w:rsidR="004E51DF" w:rsidRPr="00C50A39">
        <w:rPr>
          <w:rFonts w:ascii="Arial" w:eastAsia="Times New Roman" w:hAnsi="Arial" w:cs="Arial"/>
          <w:shd w:val="clear" w:color="auto" w:fill="FFFFFF"/>
        </w:rPr>
        <w:t xml:space="preserve">an </w:t>
      </w:r>
      <w:r w:rsidRPr="00C50A39">
        <w:rPr>
          <w:rFonts w:ascii="Arial" w:eastAsia="Times New Roman" w:hAnsi="Arial" w:cs="Arial"/>
          <w:shd w:val="clear" w:color="auto" w:fill="FFFFFF"/>
        </w:rPr>
        <w:t xml:space="preserve">8-week </w:t>
      </w:r>
      <w:r w:rsidR="001C1BC0" w:rsidRPr="00C50A39">
        <w:rPr>
          <w:rFonts w:ascii="Arial" w:eastAsia="Times New Roman" w:hAnsi="Arial" w:cs="Arial"/>
          <w:shd w:val="clear" w:color="auto" w:fill="FFFFFF"/>
        </w:rPr>
        <w:t>internet-delivered</w:t>
      </w:r>
      <w:r w:rsidRPr="00C50A39">
        <w:rPr>
          <w:rFonts w:ascii="Arial" w:eastAsia="Times New Roman" w:hAnsi="Arial" w:cs="Arial"/>
          <w:shd w:val="clear" w:color="auto" w:fill="FFFFFF"/>
        </w:rPr>
        <w:t xml:space="preserve"> CBT intervention (Web-based Management of Adolescent Pain </w:t>
      </w:r>
      <w:r w:rsidRPr="00C50A39">
        <w:rPr>
          <w:rFonts w:ascii="Arial" w:eastAsia="Times New Roman" w:hAnsi="Arial" w:cs="Arial"/>
          <w:shd w:val="clear" w:color="auto" w:fill="FFFFFF"/>
        </w:rPr>
        <w:lastRenderedPageBreak/>
        <w:t>[</w:t>
      </w:r>
      <w:proofErr w:type="spellStart"/>
      <w:r w:rsidRPr="00C50A39">
        <w:rPr>
          <w:rFonts w:ascii="Arial" w:eastAsia="Times New Roman" w:hAnsi="Arial" w:cs="Arial"/>
          <w:shd w:val="clear" w:color="auto" w:fill="FFFFFF"/>
        </w:rPr>
        <w:t>WebMAP</w:t>
      </w:r>
      <w:proofErr w:type="spellEnd"/>
      <w:r w:rsidRPr="00C50A39">
        <w:rPr>
          <w:rFonts w:ascii="Arial" w:eastAsia="Times New Roman" w:hAnsi="Arial" w:cs="Arial"/>
          <w:shd w:val="clear" w:color="auto" w:fill="FFFFFF"/>
        </w:rPr>
        <w:t>]</w:t>
      </w:r>
      <w:r w:rsidR="006F51B3">
        <w:rPr>
          <w:rFonts w:ascii="Arial" w:eastAsia="Times New Roman" w:hAnsi="Arial" w:cs="Arial"/>
          <w:shd w:val="clear" w:color="auto" w:fill="FFFFFF"/>
        </w:rPr>
        <w:t>,</w:t>
      </w:r>
      <w:r w:rsidR="001B38E6" w:rsidRPr="00C50A39">
        <w:rPr>
          <w:rFonts w:ascii="Arial" w:eastAsia="Times New Roman" w:hAnsi="Arial" w:cs="Arial"/>
          <w:shd w:val="clear" w:color="auto" w:fill="FFFFFF"/>
        </w:rPr>
        <w:fldChar w:fldCharType="begin"/>
      </w:r>
      <w:r w:rsidR="00F30351">
        <w:rPr>
          <w:rFonts w:ascii="Arial" w:eastAsia="Times New Roman" w:hAnsi="Arial" w:cs="Arial"/>
          <w:shd w:val="clear" w:color="auto" w:fill="FFFFFF"/>
        </w:rPr>
        <w:instrText xml:space="preserve"> ADDIN ZOTERO_ITEM CSL_CITATION {"citationID":"aejtf2qmup","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1B38E6" w:rsidRPr="00C50A39">
        <w:rPr>
          <w:rFonts w:ascii="Arial" w:eastAsia="Times New Roman" w:hAnsi="Arial" w:cs="Arial"/>
          <w:shd w:val="clear" w:color="auto" w:fill="FFFFFF"/>
        </w:rPr>
        <w:fldChar w:fldCharType="separate"/>
      </w:r>
      <w:r w:rsidR="00F30351" w:rsidRPr="00F30351">
        <w:rPr>
          <w:rFonts w:ascii="Arial" w:hAnsi="Arial" w:cs="Arial"/>
        </w:rPr>
        <w:t>[24]</w:t>
      </w:r>
      <w:r w:rsidR="001B38E6" w:rsidRPr="00C50A39">
        <w:rPr>
          <w:rFonts w:ascii="Arial" w:eastAsia="Times New Roman" w:hAnsi="Arial" w:cs="Arial"/>
          <w:shd w:val="clear" w:color="auto" w:fill="FFFFFF"/>
        </w:rPr>
        <w:fldChar w:fldCharType="end"/>
      </w:r>
      <w:r w:rsidRPr="00C50A39">
        <w:rPr>
          <w:rFonts w:ascii="Arial" w:eastAsia="Times New Roman" w:hAnsi="Arial" w:cs="Arial"/>
          <w:shd w:val="clear" w:color="auto" w:fill="FFFFFF"/>
        </w:rPr>
        <w:t xml:space="preserve">) </w:t>
      </w:r>
      <w:r w:rsidR="0037150A" w:rsidRPr="00C50A39">
        <w:rPr>
          <w:rFonts w:ascii="Arial" w:eastAsia="Times New Roman" w:hAnsi="Arial" w:cs="Arial"/>
          <w:shd w:val="clear" w:color="auto" w:fill="FFFFFF"/>
        </w:rPr>
        <w:t xml:space="preserve">adapted </w:t>
      </w:r>
      <w:r w:rsidRPr="00C50A39">
        <w:rPr>
          <w:rFonts w:ascii="Arial" w:eastAsia="Times New Roman" w:hAnsi="Arial" w:cs="Arial"/>
          <w:shd w:val="clear" w:color="auto" w:fill="FFFFFF"/>
        </w:rPr>
        <w:t xml:space="preserve">for </w:t>
      </w:r>
      <w:r w:rsidR="0037150A" w:rsidRPr="00C50A39">
        <w:rPr>
          <w:rFonts w:ascii="Arial" w:eastAsia="Times New Roman" w:hAnsi="Arial" w:cs="Arial"/>
          <w:shd w:val="clear" w:color="auto" w:fill="FFFFFF"/>
        </w:rPr>
        <w:t>FAP</w:t>
      </w:r>
      <w:r w:rsidRPr="00C50A39">
        <w:rPr>
          <w:rFonts w:ascii="Arial" w:eastAsia="Times New Roman" w:hAnsi="Arial" w:cs="Arial"/>
          <w:shd w:val="clear" w:color="auto" w:fill="FFFFFF"/>
        </w:rPr>
        <w:t xml:space="preserve"> </w:t>
      </w:r>
      <w:r w:rsidR="00944629">
        <w:rPr>
          <w:rFonts w:ascii="Arial" w:eastAsia="Times New Roman" w:hAnsi="Arial" w:cs="Arial"/>
          <w:shd w:val="clear" w:color="auto" w:fill="FFFFFF"/>
        </w:rPr>
        <w:t xml:space="preserve">patients in this study </w:t>
      </w:r>
      <w:r w:rsidRPr="00C50A39">
        <w:rPr>
          <w:rFonts w:ascii="Arial" w:eastAsia="Times New Roman" w:hAnsi="Arial" w:cs="Arial"/>
          <w:shd w:val="clear" w:color="auto" w:fill="FFFFFF"/>
        </w:rPr>
        <w:t xml:space="preserve">compared to an </w:t>
      </w:r>
      <w:r w:rsidR="00C37E4F" w:rsidRPr="00C50A39">
        <w:rPr>
          <w:rFonts w:ascii="Arial" w:eastAsia="Times New Roman" w:hAnsi="Arial" w:cs="Arial"/>
          <w:shd w:val="clear" w:color="auto" w:fill="FFFFFF"/>
        </w:rPr>
        <w:t xml:space="preserve">8-week </w:t>
      </w:r>
      <w:r w:rsidR="001C1BC0" w:rsidRPr="00C50A39">
        <w:rPr>
          <w:rFonts w:ascii="Arial" w:eastAsia="Times New Roman" w:hAnsi="Arial" w:cs="Arial"/>
          <w:shd w:val="clear" w:color="auto" w:fill="FFFFFF"/>
        </w:rPr>
        <w:t xml:space="preserve">internet-delivered </w:t>
      </w:r>
      <w:r w:rsidR="00D6319D">
        <w:rPr>
          <w:rFonts w:ascii="Arial" w:eastAsia="Times New Roman" w:hAnsi="Arial" w:cs="Arial"/>
          <w:shd w:val="clear" w:color="auto" w:fill="FFFFFF"/>
        </w:rPr>
        <w:t xml:space="preserve">pain </w:t>
      </w:r>
      <w:r w:rsidRPr="00C50A39">
        <w:rPr>
          <w:rFonts w:ascii="Arial" w:eastAsia="Times New Roman" w:hAnsi="Arial" w:cs="Arial"/>
          <w:shd w:val="clear" w:color="auto" w:fill="FFFFFF"/>
        </w:rPr>
        <w:t>education control condition (EDU)</w:t>
      </w:r>
      <w:r w:rsidRPr="00C50A39">
        <w:rPr>
          <w:rFonts w:ascii="Arial" w:hAnsi="Arial" w:cs="Arial"/>
        </w:rPr>
        <w:t>. El</w:t>
      </w:r>
      <w:r w:rsidR="00CB31A5" w:rsidRPr="00C50A39">
        <w:rPr>
          <w:rFonts w:ascii="Arial" w:hAnsi="Arial" w:cs="Arial"/>
        </w:rPr>
        <w:t>i</w:t>
      </w:r>
      <w:r w:rsidRPr="00C50A39">
        <w:rPr>
          <w:rFonts w:ascii="Arial" w:hAnsi="Arial" w:cs="Arial"/>
        </w:rPr>
        <w:t xml:space="preserve">gibility criteria included abdominal pain </w:t>
      </w:r>
      <w:r w:rsidR="000863A6" w:rsidRPr="00C50A39">
        <w:rPr>
          <w:rFonts w:ascii="Arial" w:hAnsi="Arial" w:cs="Arial"/>
        </w:rPr>
        <w:t xml:space="preserve">of at least </w:t>
      </w:r>
      <w:r w:rsidRPr="00C50A39">
        <w:rPr>
          <w:rFonts w:ascii="Arial" w:hAnsi="Arial" w:cs="Arial"/>
        </w:rPr>
        <w:t>2 months</w:t>
      </w:r>
      <w:r w:rsidR="0045509D" w:rsidRPr="00C50A39">
        <w:rPr>
          <w:rFonts w:ascii="Arial" w:hAnsi="Arial" w:cs="Arial"/>
        </w:rPr>
        <w:t>’</w:t>
      </w:r>
      <w:r w:rsidRPr="00C50A39">
        <w:rPr>
          <w:rFonts w:ascii="Arial" w:hAnsi="Arial" w:cs="Arial"/>
        </w:rPr>
        <w:t xml:space="preserve"> duration</w:t>
      </w:r>
      <w:r w:rsidR="00F92E12" w:rsidRPr="00C50A39">
        <w:rPr>
          <w:rFonts w:ascii="Arial" w:hAnsi="Arial" w:cs="Arial"/>
        </w:rPr>
        <w:t xml:space="preserve"> </w:t>
      </w:r>
      <w:r w:rsidR="000863A6" w:rsidRPr="00C50A39">
        <w:rPr>
          <w:rFonts w:ascii="Arial" w:hAnsi="Arial" w:cs="Arial"/>
        </w:rPr>
        <w:t>(</w:t>
      </w:r>
      <w:r w:rsidR="00F92E12" w:rsidRPr="00C50A39">
        <w:rPr>
          <w:rFonts w:ascii="Arial" w:hAnsi="Arial" w:cs="Arial"/>
        </w:rPr>
        <w:t xml:space="preserve">consistent with </w:t>
      </w:r>
      <w:r w:rsidR="000863A6" w:rsidRPr="00C50A39">
        <w:rPr>
          <w:rFonts w:ascii="Arial" w:hAnsi="Arial" w:cs="Arial"/>
        </w:rPr>
        <w:t xml:space="preserve">Rome criteria for </w:t>
      </w:r>
      <w:r w:rsidR="0045509D" w:rsidRPr="00C50A39">
        <w:rPr>
          <w:rFonts w:ascii="Arial" w:hAnsi="Arial" w:cs="Arial"/>
        </w:rPr>
        <w:t xml:space="preserve">duration of </w:t>
      </w:r>
      <w:proofErr w:type="spellStart"/>
      <w:r w:rsidR="000863A6" w:rsidRPr="00C50A39">
        <w:rPr>
          <w:rFonts w:ascii="Arial" w:hAnsi="Arial" w:cs="Arial"/>
        </w:rPr>
        <w:t>pediatric</w:t>
      </w:r>
      <w:proofErr w:type="spellEnd"/>
      <w:r w:rsidR="000863A6" w:rsidRPr="00C50A39">
        <w:rPr>
          <w:rFonts w:ascii="Arial" w:hAnsi="Arial" w:cs="Arial"/>
        </w:rPr>
        <w:t xml:space="preserve"> </w:t>
      </w:r>
      <w:r w:rsidR="00D41E92" w:rsidRPr="00C50A39">
        <w:rPr>
          <w:rFonts w:ascii="Arial" w:hAnsi="Arial" w:cs="Arial"/>
        </w:rPr>
        <w:t xml:space="preserve">FAP </w:t>
      </w:r>
      <w:r w:rsidR="000863A6" w:rsidRPr="00C50A39">
        <w:rPr>
          <w:rFonts w:ascii="Arial" w:hAnsi="Arial" w:cs="Arial"/>
        </w:rPr>
        <w:t>disorder</w:t>
      </w:r>
      <w:r w:rsidR="005C5F5C" w:rsidRPr="00C50A39">
        <w:rPr>
          <w:rFonts w:ascii="Arial" w:hAnsi="Arial" w:cs="Arial"/>
        </w:rPr>
        <w:t>s</w:t>
      </w:r>
      <w:r w:rsidR="006F51B3">
        <w:rPr>
          <w:rFonts w:ascii="Arial" w:hAnsi="Arial" w:cs="Arial"/>
        </w:rPr>
        <w:t xml:space="preserve"> </w:t>
      </w:r>
      <w:r w:rsidR="00173D9D" w:rsidRPr="00C50A39">
        <w:rPr>
          <w:rFonts w:ascii="Arial" w:hAnsi="Arial" w:cs="Arial"/>
        </w:rPr>
        <w:fldChar w:fldCharType="begin"/>
      </w:r>
      <w:r w:rsidR="00F30351">
        <w:rPr>
          <w:rFonts w:ascii="Arial" w:hAnsi="Arial" w:cs="Arial"/>
        </w:rPr>
        <w:instrText xml:space="preserve"> ADDIN ZOTERO_ITEM CSL_CITATION {"citationID":"a2qdj9fd5n5","properties":{"formattedCitation":"[8]","plainCitation":"[8]","noteIndex":0},"citationItems":[{"id":147,"uris":["http://zotero.org/users/7139165/items/ZXKIDWH5"],"uri":["http://zotero.org/users/7139165/items/ZXKIDWH5"],"itemData":{"id":147,"type":"article-journal","abstract":"Characterization of childhood and adolescent functional gastrointestinal disorders (FGIDs) has evolved during the 2−decade long Rome process now culminating in Rome IV. The era of diagnosing an FGID only when organic disease has been excluded is waning, as we now have evidence to support symptom-based diagnosis. In child/adolescent Rome IV, we extend this concept by removing the dictum that there was “no evidence for organic disease” in all definitions and replacing it with “after appropriate medical evaluation the symptoms cannot be attributed to another medical condition.” This change allows the clinician to perform selective or no testing to support a positive diagnosis of an FGID. We also point out that FGIDs can coexist with other medical conditions that themselves result in GI symptoms (eg, inflammatory bowel disease). In Rome IV, functional nausea and functional vomiting are now described. Rome III’s “abdominal pain related functional gastrointestinal disorders” has been changed to “functional abdominal pain disorders” and we have derived a new term, functional abdominal pain—not otherwise specified, to describe children who do not fit a specific disorder, such as irritable bowel, functional dyspepsia, or abdominal migraine. Rome IV FGID definitions should enhance clarity for both clinicians and researchers.","container-title":"Gastroenterology","DOI":"https://doi.org/10.1053/j.gastro.2016.02.015","ISSN":"0016-5085","issue":"6","journalAbbreviation":"Gastroenterology","note":"PMID: 16678566\nPMCID: PMC7104693","page":"1456-1468.E2","source":"PubMed Central","title":"Childhood functional gastrointestinal disorders: Child/adolescent","title-short":"Childhood Functional Gastrointestinal Disorders","volume":"150","author":[{"family":"Hyams","given":"Jeffrey S."},{"family":"Di Lorenzo","given":"Carlo"},{"family":"Saps","given":"Miguel"},{"family":"Shulman","given":"Robert J."},{"family":"Staiano","given":"Annamaria"},{"family":"Tilburg","given":"Miranda","non-dropping-particle":"van"}],"issued":{"date-parts":[["2016"]]}}}],"schema":"https://github.com/citation-style-language/schema/raw/master/csl-citation.json"} </w:instrText>
      </w:r>
      <w:r w:rsidR="00173D9D" w:rsidRPr="00C50A39">
        <w:rPr>
          <w:rFonts w:ascii="Arial" w:hAnsi="Arial" w:cs="Arial"/>
        </w:rPr>
        <w:fldChar w:fldCharType="separate"/>
      </w:r>
      <w:r w:rsidR="007346C0" w:rsidRPr="007346C0">
        <w:rPr>
          <w:rFonts w:ascii="Arial" w:hAnsi="Arial" w:cs="Arial"/>
          <w:szCs w:val="24"/>
        </w:rPr>
        <w:t>[8]</w:t>
      </w:r>
      <w:r w:rsidR="00173D9D" w:rsidRPr="00C50A39">
        <w:rPr>
          <w:rFonts w:ascii="Arial" w:hAnsi="Arial" w:cs="Arial"/>
        </w:rPr>
        <w:fldChar w:fldCharType="end"/>
      </w:r>
      <w:r w:rsidR="005C5F5C" w:rsidRPr="00C50A39">
        <w:rPr>
          <w:rFonts w:ascii="Arial" w:hAnsi="Arial" w:cs="Arial"/>
        </w:rPr>
        <w:t>),</w:t>
      </w:r>
      <w:r w:rsidR="003A7B8F" w:rsidRPr="00C50A39">
        <w:rPr>
          <w:rFonts w:ascii="Arial" w:hAnsi="Arial" w:cs="Arial"/>
        </w:rPr>
        <w:t xml:space="preserve"> </w:t>
      </w:r>
      <w:r w:rsidR="00D41E92" w:rsidRPr="00C50A39">
        <w:rPr>
          <w:rFonts w:ascii="Arial" w:hAnsi="Arial" w:cs="Arial"/>
        </w:rPr>
        <w:t>no</w:t>
      </w:r>
      <w:r w:rsidRPr="00C50A39">
        <w:rPr>
          <w:rFonts w:ascii="Arial" w:hAnsi="Arial" w:cs="Arial"/>
        </w:rPr>
        <w:t xml:space="preserve"> </w:t>
      </w:r>
      <w:r w:rsidR="00956D68" w:rsidRPr="00C50A39">
        <w:rPr>
          <w:rFonts w:ascii="Arial" w:hAnsi="Arial" w:cs="Arial"/>
        </w:rPr>
        <w:t xml:space="preserve">comorbid </w:t>
      </w:r>
      <w:r w:rsidRPr="00C50A39">
        <w:rPr>
          <w:rFonts w:ascii="Arial" w:hAnsi="Arial" w:cs="Arial"/>
        </w:rPr>
        <w:t xml:space="preserve">chronic disease (e.g., inflammatory bowel disease, diabetes), no </w:t>
      </w:r>
      <w:r w:rsidR="00D41E92" w:rsidRPr="00C50A39">
        <w:rPr>
          <w:rFonts w:ascii="Arial" w:hAnsi="Arial" w:cs="Arial"/>
        </w:rPr>
        <w:t xml:space="preserve">recent </w:t>
      </w:r>
      <w:r w:rsidRPr="00C50A39">
        <w:rPr>
          <w:rFonts w:ascii="Arial" w:hAnsi="Arial" w:cs="Arial"/>
        </w:rPr>
        <w:t>hospitalization</w:t>
      </w:r>
      <w:r w:rsidR="000E28B4" w:rsidRPr="00C50A39">
        <w:rPr>
          <w:rFonts w:ascii="Arial" w:hAnsi="Arial" w:cs="Arial"/>
        </w:rPr>
        <w:t>s</w:t>
      </w:r>
      <w:r w:rsidR="00A001E0" w:rsidRPr="00C50A39">
        <w:rPr>
          <w:rFonts w:ascii="Arial" w:hAnsi="Arial" w:cs="Arial"/>
        </w:rPr>
        <w:t xml:space="preserve">, </w:t>
      </w:r>
      <w:r w:rsidR="003A7B8F" w:rsidRPr="00C50A39">
        <w:rPr>
          <w:rFonts w:ascii="Arial" w:hAnsi="Arial" w:cs="Arial"/>
        </w:rPr>
        <w:t xml:space="preserve">English-speaking, and internet </w:t>
      </w:r>
      <w:r w:rsidR="003C0A77" w:rsidRPr="00C50A39">
        <w:rPr>
          <w:rFonts w:ascii="Arial" w:hAnsi="Arial" w:cs="Arial"/>
        </w:rPr>
        <w:t>access</w:t>
      </w:r>
      <w:r w:rsidR="003A7B8F" w:rsidRPr="00C50A39">
        <w:rPr>
          <w:rFonts w:ascii="Arial" w:hAnsi="Arial" w:cs="Arial"/>
        </w:rPr>
        <w:t>.</w:t>
      </w:r>
    </w:p>
    <w:p w14:paraId="46251ABE" w14:textId="213ABEED" w:rsidR="002B15DC" w:rsidRPr="00C50A39" w:rsidRDefault="007752ED" w:rsidP="00C50A39">
      <w:pPr>
        <w:shd w:val="clear" w:color="auto" w:fill="FFFFFF"/>
        <w:spacing w:after="0" w:line="480" w:lineRule="auto"/>
        <w:ind w:firstLine="720"/>
        <w:rPr>
          <w:rFonts w:ascii="Arial" w:hAnsi="Arial" w:cs="Arial"/>
          <w:lang w:val="en-US"/>
        </w:rPr>
      </w:pPr>
      <w:r w:rsidRPr="00C50A39">
        <w:rPr>
          <w:rFonts w:ascii="Arial" w:hAnsi="Arial" w:cs="Arial"/>
        </w:rPr>
        <w:t>T</w:t>
      </w:r>
      <w:r w:rsidRPr="00C50A39">
        <w:rPr>
          <w:rFonts w:ascii="Arial" w:hAnsi="Arial" w:cs="Arial"/>
          <w:lang w:val="en-US"/>
        </w:rPr>
        <w:t>he final sample</w:t>
      </w:r>
      <w:r w:rsidR="00625696" w:rsidRPr="00C50A39">
        <w:rPr>
          <w:rFonts w:ascii="Arial" w:hAnsi="Arial" w:cs="Arial"/>
          <w:lang w:val="en-US"/>
        </w:rPr>
        <w:t xml:space="preserve"> </w:t>
      </w:r>
      <w:r w:rsidRPr="00C50A39">
        <w:rPr>
          <w:rFonts w:ascii="Arial" w:hAnsi="Arial" w:cs="Arial"/>
          <w:lang w:val="en-US"/>
        </w:rPr>
        <w:t>comprised</w:t>
      </w:r>
      <w:r w:rsidR="009B692A" w:rsidRPr="00C50A39">
        <w:rPr>
          <w:rFonts w:ascii="Arial" w:hAnsi="Arial" w:cs="Arial"/>
          <w:lang w:val="en-US"/>
        </w:rPr>
        <w:t xml:space="preserve"> </w:t>
      </w:r>
      <w:r w:rsidRPr="00C50A39">
        <w:rPr>
          <w:rFonts w:ascii="Arial" w:hAnsi="Arial" w:cs="Arial"/>
          <w:lang w:val="en-US"/>
        </w:rPr>
        <w:t xml:space="preserve">278 </w:t>
      </w:r>
      <w:r w:rsidR="003112B1" w:rsidRPr="00C50A39">
        <w:rPr>
          <w:rFonts w:ascii="Arial" w:hAnsi="Arial" w:cs="Arial"/>
          <w:lang w:val="en-US"/>
        </w:rPr>
        <w:t xml:space="preserve">parent-adolescent </w:t>
      </w:r>
      <w:r w:rsidRPr="00C50A39">
        <w:rPr>
          <w:rFonts w:ascii="Arial" w:hAnsi="Arial" w:cs="Arial"/>
          <w:lang w:val="en-US"/>
        </w:rPr>
        <w:t xml:space="preserve">dyads. Youth were predominately female (66.2%, n = 184) and Caucasian (86.0%, n = 239) with mean age 14.62 years (SD = 1.88). </w:t>
      </w:r>
      <w:r w:rsidR="003A7B8F" w:rsidRPr="00C50A39">
        <w:rPr>
          <w:rFonts w:ascii="Arial" w:hAnsi="Arial" w:cs="Arial"/>
          <w:lang w:val="en-US"/>
        </w:rPr>
        <w:t>Most p</w:t>
      </w:r>
      <w:r w:rsidRPr="00C50A39">
        <w:rPr>
          <w:rFonts w:ascii="Arial" w:hAnsi="Arial" w:cs="Arial"/>
          <w:lang w:val="en-US"/>
        </w:rPr>
        <w:t>arent participants were mothers (95.3%, n = 265).</w:t>
      </w:r>
      <w:r w:rsidR="002B15DC" w:rsidRPr="00C50A39">
        <w:rPr>
          <w:rFonts w:ascii="Arial" w:hAnsi="Arial" w:cs="Arial"/>
          <w:lang w:val="en-US"/>
        </w:rPr>
        <w:t xml:space="preserve"> </w:t>
      </w:r>
    </w:p>
    <w:p w14:paraId="12B105F9" w14:textId="77777777" w:rsidR="007752ED" w:rsidRPr="00C50A39" w:rsidRDefault="007752ED" w:rsidP="00C50A39">
      <w:pPr>
        <w:shd w:val="clear" w:color="auto" w:fill="FFFFFF"/>
        <w:spacing w:after="0" w:line="480" w:lineRule="auto"/>
        <w:rPr>
          <w:rFonts w:ascii="Arial" w:hAnsi="Arial" w:cs="Arial"/>
          <w:b/>
          <w:lang w:val="en-US"/>
        </w:rPr>
      </w:pPr>
      <w:r w:rsidRPr="00C50A39">
        <w:rPr>
          <w:rFonts w:ascii="Arial" w:hAnsi="Arial" w:cs="Arial"/>
          <w:b/>
          <w:lang w:val="en-US"/>
        </w:rPr>
        <w:t>Procedures</w:t>
      </w:r>
    </w:p>
    <w:p w14:paraId="05B01765" w14:textId="178CD8E7" w:rsidR="003A1F30" w:rsidRPr="00C50A39" w:rsidRDefault="007752ED" w:rsidP="00C50A39">
      <w:pPr>
        <w:shd w:val="clear" w:color="auto" w:fill="FFFFFF"/>
        <w:spacing w:after="0" w:line="480" w:lineRule="auto"/>
        <w:ind w:firstLine="720"/>
        <w:rPr>
          <w:rFonts w:ascii="Arial" w:hAnsi="Arial" w:cs="Arial"/>
        </w:rPr>
      </w:pPr>
      <w:r w:rsidRPr="00C50A39">
        <w:rPr>
          <w:rFonts w:ascii="Arial" w:hAnsi="Arial" w:cs="Arial"/>
        </w:rPr>
        <w:t xml:space="preserve">Vanderbilt University Medical </w:t>
      </w:r>
      <w:proofErr w:type="spellStart"/>
      <w:r w:rsidRPr="00C50A39">
        <w:rPr>
          <w:rFonts w:ascii="Arial" w:hAnsi="Arial" w:cs="Arial"/>
        </w:rPr>
        <w:t>Center</w:t>
      </w:r>
      <w:r w:rsidR="00853831" w:rsidRPr="00C50A39">
        <w:rPr>
          <w:rFonts w:ascii="Arial" w:hAnsi="Arial" w:cs="Arial"/>
        </w:rPr>
        <w:t>’s</w:t>
      </w:r>
      <w:proofErr w:type="spellEnd"/>
      <w:r w:rsidRPr="00C50A39">
        <w:rPr>
          <w:rFonts w:ascii="Arial" w:hAnsi="Arial" w:cs="Arial"/>
        </w:rPr>
        <w:t xml:space="preserve"> Institutional Review Board</w:t>
      </w:r>
      <w:r w:rsidR="00D41E92" w:rsidRPr="00C50A39">
        <w:rPr>
          <w:rFonts w:ascii="Arial" w:hAnsi="Arial" w:cs="Arial"/>
        </w:rPr>
        <w:t xml:space="preserve"> approved study procedures.</w:t>
      </w:r>
      <w:r w:rsidRPr="00C50A39">
        <w:rPr>
          <w:rFonts w:ascii="Arial" w:hAnsi="Arial" w:cs="Arial"/>
        </w:rPr>
        <w:t xml:space="preserve"> </w:t>
      </w:r>
      <w:r w:rsidR="00B710C4" w:rsidRPr="00C50A39">
        <w:rPr>
          <w:rFonts w:ascii="Arial" w:hAnsi="Arial" w:cs="Arial"/>
        </w:rPr>
        <w:t>R</w:t>
      </w:r>
      <w:r w:rsidR="00DE12CD" w:rsidRPr="00C50A39">
        <w:rPr>
          <w:rFonts w:ascii="Arial" w:hAnsi="Arial" w:cs="Arial"/>
        </w:rPr>
        <w:t xml:space="preserve">ecruitment </w:t>
      </w:r>
      <w:r w:rsidR="000454E5">
        <w:rPr>
          <w:rFonts w:ascii="Arial" w:hAnsi="Arial" w:cs="Arial"/>
        </w:rPr>
        <w:t>began in</w:t>
      </w:r>
      <w:r w:rsidR="000A378E" w:rsidRPr="00C50A39">
        <w:rPr>
          <w:rFonts w:ascii="Arial" w:hAnsi="Arial" w:cs="Arial"/>
        </w:rPr>
        <w:t xml:space="preserve"> November 2014 </w:t>
      </w:r>
      <w:r w:rsidR="000454E5">
        <w:rPr>
          <w:rFonts w:ascii="Arial" w:hAnsi="Arial" w:cs="Arial"/>
        </w:rPr>
        <w:t>and ended in</w:t>
      </w:r>
      <w:r w:rsidR="000A378E" w:rsidRPr="00C50A39">
        <w:rPr>
          <w:rFonts w:ascii="Arial" w:hAnsi="Arial" w:cs="Arial"/>
        </w:rPr>
        <w:t xml:space="preserve"> February 2018</w:t>
      </w:r>
      <w:r w:rsidR="000454E5">
        <w:rPr>
          <w:rFonts w:ascii="Arial" w:hAnsi="Arial" w:cs="Arial"/>
        </w:rPr>
        <w:t xml:space="preserve"> when 300 participants had been randomized</w:t>
      </w:r>
      <w:r w:rsidR="00B710C4" w:rsidRPr="00C50A39">
        <w:rPr>
          <w:rFonts w:ascii="Arial" w:hAnsi="Arial" w:cs="Arial"/>
        </w:rPr>
        <w:t>.</w:t>
      </w:r>
      <w:r w:rsidR="00DE12CD" w:rsidRPr="00C50A39">
        <w:rPr>
          <w:rFonts w:ascii="Arial" w:hAnsi="Arial" w:cs="Arial"/>
        </w:rPr>
        <w:t xml:space="preserve"> </w:t>
      </w:r>
      <w:r w:rsidR="007F2029" w:rsidRPr="0054482E">
        <w:rPr>
          <w:rFonts w:ascii="Arial" w:hAnsi="Arial" w:cs="Arial"/>
        </w:rPr>
        <w:t>To reduce selection bias in recruitment, consecutive new patients referred for evaluation of abdominal pain were identified prior to their clinic appointment at the Pediatric Gastroenterology Clinic at Monroe Carel</w:t>
      </w:r>
      <w:r w:rsidR="00AD0BB2">
        <w:rPr>
          <w:rFonts w:ascii="Arial" w:hAnsi="Arial" w:cs="Arial"/>
        </w:rPr>
        <w:t>l</w:t>
      </w:r>
      <w:r w:rsidR="007F2029" w:rsidRPr="0054482E">
        <w:rPr>
          <w:rFonts w:ascii="Arial" w:hAnsi="Arial" w:cs="Arial"/>
        </w:rPr>
        <w:t xml:space="preserve"> Jr. Children’s Hospital at Vanderbilt University. When clinic staff contacted parents of these patients by telephone to remind them of their upcoming appointment, they offered information about the study. </w:t>
      </w:r>
      <w:r w:rsidR="004F585B">
        <w:rPr>
          <w:rFonts w:ascii="Arial" w:hAnsi="Arial" w:cs="Arial"/>
        </w:rPr>
        <w:t>Parents</w:t>
      </w:r>
      <w:r w:rsidR="007F2029" w:rsidRPr="0054482E">
        <w:rPr>
          <w:rFonts w:ascii="Arial" w:hAnsi="Arial" w:cs="Arial"/>
        </w:rPr>
        <w:t xml:space="preserve"> who expressed interest in the study were </w:t>
      </w:r>
      <w:proofErr w:type="spellStart"/>
      <w:r w:rsidR="007F2029" w:rsidRPr="0054482E">
        <w:rPr>
          <w:rFonts w:ascii="Arial" w:hAnsi="Arial" w:cs="Arial"/>
        </w:rPr>
        <w:t>prescreened</w:t>
      </w:r>
      <w:proofErr w:type="spellEnd"/>
      <w:r w:rsidR="007F2029" w:rsidRPr="0054482E">
        <w:rPr>
          <w:rFonts w:ascii="Arial" w:hAnsi="Arial" w:cs="Arial"/>
        </w:rPr>
        <w:t xml:space="preserve"> regarding their child’s eligibility and asked to arrive early for their appointment to meet with the study recruiter. </w:t>
      </w:r>
      <w:r w:rsidR="00F829A3" w:rsidRPr="0054482E">
        <w:rPr>
          <w:rFonts w:ascii="Arial" w:hAnsi="Arial" w:cs="Arial"/>
        </w:rPr>
        <w:t>T</w:t>
      </w:r>
      <w:r w:rsidR="007F2029" w:rsidRPr="0054482E">
        <w:rPr>
          <w:rFonts w:ascii="Arial" w:hAnsi="Arial" w:cs="Arial"/>
        </w:rPr>
        <w:t xml:space="preserve">he recruiter confirmed eligibility and administered informed consent/assent procedures for parent and youth. In cases in which patient families could not be reached by telephone prior to their appointment, clinic staff offered families the opportunity to speak with the recruiter and learn about the study at </w:t>
      </w:r>
      <w:r w:rsidR="00997AC5" w:rsidRPr="0054482E">
        <w:rPr>
          <w:rFonts w:ascii="Arial" w:hAnsi="Arial" w:cs="Arial"/>
        </w:rPr>
        <w:t xml:space="preserve">clinic </w:t>
      </w:r>
      <w:r w:rsidR="007F2029" w:rsidRPr="0054482E">
        <w:rPr>
          <w:rFonts w:ascii="Arial" w:hAnsi="Arial" w:cs="Arial"/>
        </w:rPr>
        <w:t>check-in.</w:t>
      </w:r>
      <w:r w:rsidR="007F2029" w:rsidRPr="0054482E">
        <w:t xml:space="preserve"> </w:t>
      </w:r>
      <w:r w:rsidR="00B04CDD" w:rsidRPr="00C50A39">
        <w:rPr>
          <w:rFonts w:ascii="Arial" w:hAnsi="Arial" w:cs="Arial"/>
        </w:rPr>
        <w:t>B</w:t>
      </w:r>
      <w:r w:rsidRPr="00C50A39">
        <w:rPr>
          <w:rFonts w:ascii="Arial" w:hAnsi="Arial" w:cs="Arial"/>
        </w:rPr>
        <w:t xml:space="preserve">aseline </w:t>
      </w:r>
      <w:r w:rsidR="00FC6D8A" w:rsidRPr="00C50A39">
        <w:rPr>
          <w:rFonts w:ascii="Arial" w:hAnsi="Arial" w:cs="Arial"/>
        </w:rPr>
        <w:t>assessment</w:t>
      </w:r>
      <w:r w:rsidR="00D23838" w:rsidRPr="00C50A39">
        <w:rPr>
          <w:rFonts w:ascii="Arial" w:hAnsi="Arial" w:cs="Arial"/>
        </w:rPr>
        <w:t xml:space="preserve"> </w:t>
      </w:r>
      <w:r w:rsidR="00831849" w:rsidRPr="00C50A39">
        <w:rPr>
          <w:rFonts w:ascii="Arial" w:hAnsi="Arial" w:cs="Arial"/>
        </w:rPr>
        <w:t>was</w:t>
      </w:r>
      <w:r w:rsidR="00D23838" w:rsidRPr="00C50A39">
        <w:rPr>
          <w:rFonts w:ascii="Arial" w:hAnsi="Arial" w:cs="Arial"/>
        </w:rPr>
        <w:t xml:space="preserve"> completed </w:t>
      </w:r>
      <w:r w:rsidR="00F829A3">
        <w:rPr>
          <w:rFonts w:ascii="Arial" w:hAnsi="Arial" w:cs="Arial"/>
        </w:rPr>
        <w:t xml:space="preserve">in the clinic </w:t>
      </w:r>
      <w:r w:rsidR="00D23838" w:rsidRPr="00C50A39">
        <w:rPr>
          <w:rFonts w:ascii="Arial" w:hAnsi="Arial" w:cs="Arial"/>
        </w:rPr>
        <w:t xml:space="preserve">prior to the medical evaluation </w:t>
      </w:r>
      <w:r w:rsidR="00956D68" w:rsidRPr="00C50A39">
        <w:rPr>
          <w:rFonts w:ascii="Arial" w:hAnsi="Arial" w:cs="Arial"/>
        </w:rPr>
        <w:t>and prior to randomization</w:t>
      </w:r>
      <w:r w:rsidR="00F63BD0">
        <w:rPr>
          <w:rFonts w:ascii="Arial" w:hAnsi="Arial" w:cs="Arial"/>
        </w:rPr>
        <w:t>;</w:t>
      </w:r>
      <w:r w:rsidR="00956D68" w:rsidRPr="00C50A39">
        <w:rPr>
          <w:rFonts w:ascii="Arial" w:hAnsi="Arial" w:cs="Arial"/>
        </w:rPr>
        <w:t xml:space="preserve"> </w:t>
      </w:r>
      <w:r w:rsidR="00D23838" w:rsidRPr="00C50A39">
        <w:rPr>
          <w:rFonts w:ascii="Arial" w:hAnsi="Arial" w:cs="Arial"/>
        </w:rPr>
        <w:t>a</w:t>
      </w:r>
      <w:r w:rsidR="00F63BD0">
        <w:rPr>
          <w:rFonts w:ascii="Arial" w:hAnsi="Arial" w:cs="Arial"/>
        </w:rPr>
        <w:t>ssessment</w:t>
      </w:r>
      <w:r w:rsidR="00FC6D8A" w:rsidRPr="00C50A39">
        <w:rPr>
          <w:rFonts w:ascii="Arial" w:hAnsi="Arial" w:cs="Arial"/>
        </w:rPr>
        <w:t xml:space="preserve"> </w:t>
      </w:r>
      <w:r w:rsidR="00276F0D" w:rsidRPr="00C50A39">
        <w:rPr>
          <w:rFonts w:ascii="Arial" w:hAnsi="Arial" w:cs="Arial"/>
        </w:rPr>
        <w:t>includ</w:t>
      </w:r>
      <w:r w:rsidR="00B04CDD" w:rsidRPr="00C50A39">
        <w:rPr>
          <w:rFonts w:ascii="Arial" w:hAnsi="Arial" w:cs="Arial"/>
        </w:rPr>
        <w:t>ed</w:t>
      </w:r>
      <w:r w:rsidR="00276F0D" w:rsidRPr="00C50A39">
        <w:rPr>
          <w:rFonts w:ascii="Arial" w:hAnsi="Arial" w:cs="Arial"/>
        </w:rPr>
        <w:t xml:space="preserve"> </w:t>
      </w:r>
      <w:r w:rsidRPr="00C50A39">
        <w:rPr>
          <w:rFonts w:ascii="Arial" w:hAnsi="Arial" w:cs="Arial"/>
        </w:rPr>
        <w:t>questionnaires</w:t>
      </w:r>
      <w:r w:rsidR="00C10319" w:rsidRPr="00C50A39">
        <w:rPr>
          <w:rFonts w:ascii="Arial" w:hAnsi="Arial" w:cs="Arial"/>
        </w:rPr>
        <w:t xml:space="preserve"> </w:t>
      </w:r>
      <w:r w:rsidR="00E27B54" w:rsidRPr="00C50A39">
        <w:rPr>
          <w:rFonts w:ascii="Arial" w:hAnsi="Arial" w:cs="Arial"/>
        </w:rPr>
        <w:t>administer</w:t>
      </w:r>
      <w:r w:rsidR="00B04CDD" w:rsidRPr="00C50A39">
        <w:rPr>
          <w:rFonts w:ascii="Arial" w:hAnsi="Arial" w:cs="Arial"/>
        </w:rPr>
        <w:t xml:space="preserve">ed </w:t>
      </w:r>
      <w:r w:rsidR="00276F0D" w:rsidRPr="00C50A39">
        <w:rPr>
          <w:rFonts w:ascii="Arial" w:hAnsi="Arial" w:cs="Arial"/>
        </w:rPr>
        <w:t xml:space="preserve">on </w:t>
      </w:r>
      <w:r w:rsidR="00647D1E" w:rsidRPr="00C50A39">
        <w:rPr>
          <w:rFonts w:ascii="Arial" w:hAnsi="Arial" w:cs="Arial"/>
        </w:rPr>
        <w:t>REDCap, a secure online survey</w:t>
      </w:r>
      <w:r w:rsidR="00B04CDD" w:rsidRPr="00C50A39">
        <w:rPr>
          <w:rFonts w:ascii="Arial" w:hAnsi="Arial" w:cs="Arial"/>
        </w:rPr>
        <w:t xml:space="preserve"> site</w:t>
      </w:r>
      <w:r w:rsidR="006F51B3">
        <w:rPr>
          <w:rFonts w:ascii="Arial" w:hAnsi="Arial" w:cs="Arial"/>
        </w:rPr>
        <w:t xml:space="preserve"> </w:t>
      </w:r>
      <w:r w:rsidR="00F55678" w:rsidRPr="00C50A39">
        <w:rPr>
          <w:rFonts w:ascii="Arial" w:hAnsi="Arial" w:cs="Arial"/>
        </w:rPr>
        <w:fldChar w:fldCharType="begin"/>
      </w:r>
      <w:r w:rsidR="00F30351">
        <w:rPr>
          <w:rFonts w:ascii="Arial" w:hAnsi="Arial" w:cs="Arial"/>
        </w:rPr>
        <w:instrText xml:space="preserve"> ADDIN ZOTERO_ITEM CSL_CITATION {"citationID":"a2mbp9gmgbd","properties":{"formattedCitation":"[5,6]","plainCitation":"[5,6]","noteIndex":0},"citationItems":[{"id":97,"uris":["http://zotero.org/users/7139165/items/MZ4NXPYP"],"uri":["http://zotero.org/users/7139165/items/MZ4NXPYP"],"itemData":{"id":97,"type":"article-journal","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N."}],"issued":{"date-parts":[["2019",7]]}}},{"id":99,"uris":["http://zotero.org/users/7139165/items/J8G5APRY"],"uri":["http://zotero.org/users/7139165/items/J8G5APRY"],"itemData":{"id":99,"type":"article-journal","abstract":"Research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Informatics","DOI":"10.1016/j.jbi.2008.08.010","ISSN":"1532-0464","issue":"2","journalAbbreviation":"Journal of Biomedical Informatics","page":"377-381","title":"Research electronic data capture (REDCap)—A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G."}],"issued":{"date-parts":[["2009",4,1]]}}}],"schema":"https://github.com/citation-style-language/schema/raw/master/csl-citation.json"} </w:instrText>
      </w:r>
      <w:r w:rsidR="00F55678" w:rsidRPr="00C50A39">
        <w:rPr>
          <w:rFonts w:ascii="Arial" w:hAnsi="Arial" w:cs="Arial"/>
        </w:rPr>
        <w:fldChar w:fldCharType="separate"/>
      </w:r>
      <w:r w:rsidR="00283C5F" w:rsidRPr="00283C5F">
        <w:rPr>
          <w:rFonts w:ascii="Arial" w:hAnsi="Arial" w:cs="Arial"/>
        </w:rPr>
        <w:t>[5,6]</w:t>
      </w:r>
      <w:r w:rsidR="00F55678" w:rsidRPr="00C50A39">
        <w:rPr>
          <w:rFonts w:ascii="Arial" w:hAnsi="Arial" w:cs="Arial"/>
        </w:rPr>
        <w:fldChar w:fldCharType="end"/>
      </w:r>
      <w:r w:rsidR="006F51B3">
        <w:rPr>
          <w:rFonts w:ascii="Arial" w:hAnsi="Arial" w:cs="Arial"/>
        </w:rPr>
        <w:t>.</w:t>
      </w:r>
      <w:r w:rsidR="00E27B54" w:rsidRPr="00C50A39">
        <w:rPr>
          <w:rFonts w:ascii="Arial" w:hAnsi="Arial" w:cs="Arial"/>
        </w:rPr>
        <w:t xml:space="preserve"> </w:t>
      </w:r>
      <w:r w:rsidR="00F829A3" w:rsidRPr="00C50A39">
        <w:rPr>
          <w:rFonts w:ascii="Arial" w:hAnsi="Arial" w:cs="Arial"/>
        </w:rPr>
        <w:t>See Figure 1 for participant flow</w:t>
      </w:r>
      <w:r w:rsidR="00F829A3">
        <w:rPr>
          <w:rFonts w:ascii="Arial" w:hAnsi="Arial" w:cs="Arial"/>
        </w:rPr>
        <w:t>.</w:t>
      </w:r>
    </w:p>
    <w:p w14:paraId="2C69CE4A" w14:textId="23F4AA45" w:rsidR="00A1497A" w:rsidRPr="0054482E" w:rsidRDefault="007F2029" w:rsidP="006E0138">
      <w:pPr>
        <w:shd w:val="clear" w:color="auto" w:fill="FFFFFF"/>
        <w:spacing w:after="0" w:line="480" w:lineRule="auto"/>
        <w:ind w:firstLine="720"/>
        <w:rPr>
          <w:rFonts w:ascii="Arial" w:hAnsi="Arial" w:cs="Arial"/>
        </w:rPr>
      </w:pPr>
      <w:r w:rsidRPr="0054482E">
        <w:rPr>
          <w:rFonts w:ascii="Arial" w:hAnsi="Arial" w:cs="Arial"/>
        </w:rPr>
        <w:t>Treatment allocation was concealed from participants and health care providers.</w:t>
      </w:r>
      <w:r w:rsidRPr="0054482E">
        <w:t xml:space="preserve"> </w:t>
      </w:r>
      <w:r w:rsidR="004F4202" w:rsidRPr="00C50A39">
        <w:rPr>
          <w:rFonts w:ascii="Arial" w:hAnsi="Arial" w:cs="Arial"/>
        </w:rPr>
        <w:t xml:space="preserve">Families were told </w:t>
      </w:r>
      <w:r w:rsidR="00BC7C1E" w:rsidRPr="00C50A39">
        <w:rPr>
          <w:rFonts w:ascii="Arial" w:hAnsi="Arial" w:cs="Arial"/>
        </w:rPr>
        <w:t xml:space="preserve">they </w:t>
      </w:r>
      <w:r w:rsidR="004F4202" w:rsidRPr="00C50A39">
        <w:rPr>
          <w:rFonts w:ascii="Arial" w:hAnsi="Arial" w:cs="Arial"/>
        </w:rPr>
        <w:t xml:space="preserve">would be randomly assigned to one of two pain management websites. </w:t>
      </w:r>
      <w:r w:rsidR="004F4202" w:rsidRPr="00C50A39">
        <w:rPr>
          <w:rFonts w:ascii="Arial" w:hAnsi="Arial" w:cs="Arial"/>
        </w:rPr>
        <w:lastRenderedPageBreak/>
        <w:t>Differences between the websites were not described</w:t>
      </w:r>
      <w:r w:rsidR="0045509D" w:rsidRPr="00C50A39">
        <w:rPr>
          <w:rFonts w:ascii="Arial" w:hAnsi="Arial" w:cs="Arial"/>
        </w:rPr>
        <w:t>.</w:t>
      </w:r>
      <w:r w:rsidR="002A734F" w:rsidRPr="00C50A39">
        <w:rPr>
          <w:rFonts w:ascii="Arial" w:hAnsi="Arial" w:cs="Arial"/>
        </w:rPr>
        <w:t xml:space="preserve"> </w:t>
      </w:r>
      <w:r w:rsidR="00290C18" w:rsidRPr="00C50A39">
        <w:rPr>
          <w:rFonts w:ascii="Arial" w:hAnsi="Arial" w:cs="Arial"/>
        </w:rPr>
        <w:t xml:space="preserve">Youth who completed baseline assessment </w:t>
      </w:r>
      <w:r w:rsidR="003B5C1B" w:rsidRPr="0054482E">
        <w:rPr>
          <w:rFonts w:ascii="Arial" w:hAnsi="Arial" w:cs="Arial"/>
        </w:rPr>
        <w:t xml:space="preserve">received emails from Seattle Children’s Research Institute with login information </w:t>
      </w:r>
      <w:r w:rsidR="00997AC5" w:rsidRPr="0054482E">
        <w:rPr>
          <w:rFonts w:ascii="Arial" w:hAnsi="Arial" w:cs="Arial"/>
        </w:rPr>
        <w:t>linking</w:t>
      </w:r>
      <w:r w:rsidR="003B5C1B" w:rsidRPr="0054482E">
        <w:rPr>
          <w:rFonts w:ascii="Arial" w:hAnsi="Arial" w:cs="Arial"/>
        </w:rPr>
        <w:t xml:space="preserve"> them to </w:t>
      </w:r>
      <w:r w:rsidR="00290C18" w:rsidRPr="0054482E">
        <w:rPr>
          <w:rFonts w:ascii="Arial" w:hAnsi="Arial" w:cs="Arial"/>
        </w:rPr>
        <w:t>CBT or EDU</w:t>
      </w:r>
      <w:r w:rsidR="003B5C1B" w:rsidRPr="0054482E">
        <w:rPr>
          <w:rFonts w:ascii="Arial" w:hAnsi="Arial" w:cs="Arial"/>
        </w:rPr>
        <w:t>.</w:t>
      </w:r>
      <w:r w:rsidR="00290C18" w:rsidRPr="0054482E">
        <w:rPr>
          <w:rFonts w:ascii="Arial" w:hAnsi="Arial" w:cs="Arial"/>
        </w:rPr>
        <w:t xml:space="preserve"> </w:t>
      </w:r>
      <w:r w:rsidR="003B5C1B" w:rsidRPr="0054482E">
        <w:rPr>
          <w:rFonts w:ascii="Arial" w:hAnsi="Arial" w:cs="Arial"/>
        </w:rPr>
        <w:t xml:space="preserve">Randomization was completed by research staff at Seattle Children’s Research Institute. The randomization assignment was generated four at a time using an online, free research randomizer (available at </w:t>
      </w:r>
      <w:hyperlink r:id="rId9" w:history="1">
        <w:r w:rsidR="003B5C1B" w:rsidRPr="0054482E">
          <w:rPr>
            <w:rStyle w:val="Hyperlink"/>
            <w:rFonts w:ascii="Arial" w:hAnsi="Arial" w:cs="Arial"/>
          </w:rPr>
          <w:t>www.randomizer.org</w:t>
        </w:r>
      </w:hyperlink>
      <w:r w:rsidR="003B5C1B" w:rsidRPr="0054482E">
        <w:rPr>
          <w:rFonts w:ascii="Arial" w:hAnsi="Arial" w:cs="Arial"/>
        </w:rPr>
        <w:t>) and blacked out until a participant was ready to be randomized. Randomization was stratified by patient subgroup (i.e., High Pain Dysfunctional, High Pain Adaptive, and Low Pain Adaptive). Patient subgroups were generated by computer from baseline measures and were unknown by patients. A separate randomization table was created for each patient subgroup. The randomization schedule, including patient subgroups, was stored in a password-protected document accessible only to study staff responsible for randomization. Staff implementing the study at Vanderbilt Children’s Hospital did not have knowledge of patient treatment allocation.</w:t>
      </w:r>
      <w:r w:rsidR="00D13DC4">
        <w:rPr>
          <w:rFonts w:ascii="Arial" w:hAnsi="Arial" w:cs="Arial"/>
        </w:rPr>
        <w:t xml:space="preserve"> </w:t>
      </w:r>
      <w:r w:rsidR="00850D71" w:rsidRPr="0054482E">
        <w:rPr>
          <w:rFonts w:ascii="Arial" w:hAnsi="Arial" w:cs="Arial"/>
        </w:rPr>
        <w:t xml:space="preserve">Standard care by each patient’s </w:t>
      </w:r>
      <w:r w:rsidR="005B473F" w:rsidRPr="0054482E">
        <w:rPr>
          <w:rFonts w:ascii="Arial" w:hAnsi="Arial" w:cs="Arial"/>
        </w:rPr>
        <w:t xml:space="preserve">physician </w:t>
      </w:r>
      <w:r w:rsidR="00850D71" w:rsidRPr="0054482E">
        <w:rPr>
          <w:rFonts w:ascii="Arial" w:hAnsi="Arial" w:cs="Arial"/>
        </w:rPr>
        <w:t>was not altered</w:t>
      </w:r>
      <w:r w:rsidR="004F585B">
        <w:rPr>
          <w:rFonts w:ascii="Arial" w:hAnsi="Arial" w:cs="Arial"/>
        </w:rPr>
        <w:t xml:space="preserve"> and physicians were not aware of patient treatment allocation or subtype</w:t>
      </w:r>
      <w:r w:rsidR="00850D71" w:rsidRPr="0054482E">
        <w:rPr>
          <w:rFonts w:ascii="Arial" w:hAnsi="Arial" w:cs="Arial"/>
        </w:rPr>
        <w:t xml:space="preserve">. </w:t>
      </w:r>
      <w:r w:rsidR="007752ED" w:rsidRPr="0054482E">
        <w:rPr>
          <w:rFonts w:ascii="Arial" w:hAnsi="Arial" w:cs="Arial"/>
        </w:rPr>
        <w:t xml:space="preserve">Youth </w:t>
      </w:r>
      <w:r w:rsidR="00C26D59" w:rsidRPr="0054482E">
        <w:rPr>
          <w:rFonts w:ascii="Arial" w:hAnsi="Arial" w:cs="Arial"/>
        </w:rPr>
        <w:t xml:space="preserve">and parents </w:t>
      </w:r>
      <w:r w:rsidR="007752ED" w:rsidRPr="0054482E">
        <w:rPr>
          <w:rFonts w:ascii="Arial" w:hAnsi="Arial" w:cs="Arial"/>
        </w:rPr>
        <w:t>completed</w:t>
      </w:r>
      <w:r w:rsidR="00956D68" w:rsidRPr="0054482E">
        <w:rPr>
          <w:rFonts w:ascii="Arial" w:hAnsi="Arial" w:cs="Arial"/>
        </w:rPr>
        <w:t xml:space="preserve"> </w:t>
      </w:r>
      <w:r w:rsidR="007752ED" w:rsidRPr="0054482E">
        <w:rPr>
          <w:rFonts w:ascii="Arial" w:hAnsi="Arial" w:cs="Arial"/>
        </w:rPr>
        <w:t>follow-up questionnaires through REDCap</w:t>
      </w:r>
      <w:r w:rsidR="00F55678" w:rsidRPr="0054482E">
        <w:rPr>
          <w:rFonts w:ascii="Arial" w:hAnsi="Arial" w:cs="Arial"/>
        </w:rPr>
        <w:t xml:space="preserve"> </w:t>
      </w:r>
      <w:r w:rsidR="007752ED" w:rsidRPr="0054482E">
        <w:rPr>
          <w:rFonts w:ascii="Arial" w:hAnsi="Arial" w:cs="Arial"/>
        </w:rPr>
        <w:t>at mid-treatment, post-treatment</w:t>
      </w:r>
      <w:r w:rsidR="005B473F" w:rsidRPr="0054482E">
        <w:rPr>
          <w:rFonts w:ascii="Arial" w:hAnsi="Arial" w:cs="Arial"/>
        </w:rPr>
        <w:t xml:space="preserve">, </w:t>
      </w:r>
      <w:r w:rsidR="007752ED" w:rsidRPr="0054482E">
        <w:rPr>
          <w:rFonts w:ascii="Arial" w:hAnsi="Arial" w:cs="Arial"/>
        </w:rPr>
        <w:t xml:space="preserve">6-month and 12-month follow-up. </w:t>
      </w:r>
    </w:p>
    <w:p w14:paraId="0076FDB9" w14:textId="75D33E1A" w:rsidR="00A1497A" w:rsidRPr="00C50A39" w:rsidRDefault="003B5C1B" w:rsidP="004B494F">
      <w:pPr>
        <w:spacing w:after="0" w:line="480" w:lineRule="auto"/>
        <w:rPr>
          <w:rFonts w:ascii="Arial" w:hAnsi="Arial" w:cs="Arial"/>
        </w:rPr>
      </w:pPr>
      <w:r w:rsidRPr="0054482E">
        <w:rPr>
          <w:rFonts w:ascii="Arial" w:hAnsi="Arial" w:cs="Arial"/>
          <w:b/>
          <w:bCs/>
        </w:rPr>
        <w:tab/>
      </w:r>
      <w:r w:rsidR="00A1497A" w:rsidRPr="0054482E">
        <w:rPr>
          <w:rFonts w:ascii="Arial" w:hAnsi="Arial" w:cs="Arial"/>
        </w:rPr>
        <w:t xml:space="preserve">Exclusions following study </w:t>
      </w:r>
      <w:proofErr w:type="spellStart"/>
      <w:r w:rsidR="00A1497A" w:rsidRPr="0054482E">
        <w:rPr>
          <w:rFonts w:ascii="Arial" w:hAnsi="Arial" w:cs="Arial"/>
        </w:rPr>
        <w:t>enrollment</w:t>
      </w:r>
      <w:proofErr w:type="spellEnd"/>
      <w:r w:rsidR="00A1497A" w:rsidRPr="0054482E">
        <w:rPr>
          <w:rFonts w:ascii="Arial" w:hAnsi="Arial" w:cs="Arial"/>
        </w:rPr>
        <w:t xml:space="preserve"> and randomization</w:t>
      </w:r>
      <w:r w:rsidRPr="0054482E">
        <w:rPr>
          <w:rFonts w:ascii="Arial" w:hAnsi="Arial" w:cs="Arial"/>
        </w:rPr>
        <w:t xml:space="preserve"> included t</w:t>
      </w:r>
      <w:r w:rsidR="00A1497A" w:rsidRPr="0054482E">
        <w:rPr>
          <w:rFonts w:ascii="Arial" w:hAnsi="Arial" w:cs="Arial"/>
        </w:rPr>
        <w:t xml:space="preserve">wo participants who enrolled in the study </w:t>
      </w:r>
      <w:r w:rsidRPr="0054482E">
        <w:rPr>
          <w:rFonts w:ascii="Arial" w:hAnsi="Arial" w:cs="Arial"/>
        </w:rPr>
        <w:t xml:space="preserve">and </w:t>
      </w:r>
      <w:r w:rsidR="00A1497A" w:rsidRPr="0054482E">
        <w:rPr>
          <w:rFonts w:ascii="Arial" w:hAnsi="Arial" w:cs="Arial"/>
        </w:rPr>
        <w:t xml:space="preserve">were later found to be ineligible due to intellectual disabilities; they are included in the total of 545 ineligible participants. </w:t>
      </w:r>
      <w:r w:rsidRPr="0054482E">
        <w:rPr>
          <w:rFonts w:ascii="Arial" w:hAnsi="Arial" w:cs="Arial"/>
        </w:rPr>
        <w:t>In addition, t</w:t>
      </w:r>
      <w:r w:rsidR="00A1497A" w:rsidRPr="0054482E">
        <w:rPr>
          <w:rFonts w:ascii="Arial" w:hAnsi="Arial" w:cs="Arial"/>
        </w:rPr>
        <w:t xml:space="preserve">en dyads decided not to continue in the study after being randomized (CBT: n = 8, EDU: n = 2). </w:t>
      </w:r>
      <w:r w:rsidR="00997AC5" w:rsidRPr="0054482E">
        <w:rPr>
          <w:rFonts w:ascii="Arial" w:hAnsi="Arial" w:cs="Arial"/>
        </w:rPr>
        <w:t>These d</w:t>
      </w:r>
      <w:r w:rsidR="00A1497A" w:rsidRPr="0054482E">
        <w:rPr>
          <w:rFonts w:ascii="Arial" w:hAnsi="Arial" w:cs="Arial"/>
        </w:rPr>
        <w:t xml:space="preserve">yads were marginally more likely to be assigned to CBT compared to EDU, </w:t>
      </w:r>
      <w:r w:rsidR="00A1497A" w:rsidRPr="0054482E">
        <w:rPr>
          <w:rFonts w:ascii="Arial" w:hAnsi="Arial" w:cs="Arial"/>
          <w:i/>
          <w:iCs/>
        </w:rPr>
        <w:t>X</w:t>
      </w:r>
      <w:r w:rsidR="00A1497A" w:rsidRPr="0054482E">
        <w:rPr>
          <w:rFonts w:ascii="Arial" w:hAnsi="Arial" w:cs="Arial"/>
          <w:i/>
          <w:iCs/>
          <w:vertAlign w:val="superscript"/>
        </w:rPr>
        <w:t>2</w:t>
      </w:r>
      <w:r w:rsidR="00A1497A" w:rsidRPr="0054482E">
        <w:rPr>
          <w:rFonts w:ascii="Arial" w:hAnsi="Arial" w:cs="Arial"/>
        </w:rPr>
        <w:t xml:space="preserve">(1) = 3.47, p = 0.06. </w:t>
      </w:r>
      <w:r w:rsidR="00997AC5" w:rsidRPr="0054482E">
        <w:rPr>
          <w:rFonts w:ascii="Arial" w:hAnsi="Arial" w:cs="Arial"/>
        </w:rPr>
        <w:t>Finally, d</w:t>
      </w:r>
      <w:r w:rsidR="00A1497A" w:rsidRPr="0054482E">
        <w:rPr>
          <w:rFonts w:ascii="Arial" w:hAnsi="Arial" w:cs="Arial"/>
        </w:rPr>
        <w:t xml:space="preserve">ata from twenty-two participants were excluded from analysis because review of medical records by a co-author (JA) revealed that the youth had been diagnosed with organic disease (e.g., Celiac disease, inflammatory bowel disease) during the course of medical evaluation subsequent to study </w:t>
      </w:r>
      <w:proofErr w:type="spellStart"/>
      <w:r w:rsidR="00A1497A" w:rsidRPr="0054482E">
        <w:rPr>
          <w:rFonts w:ascii="Arial" w:hAnsi="Arial" w:cs="Arial"/>
        </w:rPr>
        <w:t>enrollment</w:t>
      </w:r>
      <w:proofErr w:type="spellEnd"/>
      <w:r w:rsidR="00A1497A" w:rsidRPr="0054482E">
        <w:rPr>
          <w:rFonts w:ascii="Arial" w:hAnsi="Arial" w:cs="Arial"/>
        </w:rPr>
        <w:t>.</w:t>
      </w:r>
    </w:p>
    <w:p w14:paraId="47E0DA7E" w14:textId="3806753F" w:rsidR="007752ED" w:rsidRPr="00C50A39" w:rsidRDefault="00285589" w:rsidP="00C50A39">
      <w:pPr>
        <w:shd w:val="clear" w:color="auto" w:fill="FFFFFF"/>
        <w:spacing w:after="0" w:line="480" w:lineRule="auto"/>
        <w:rPr>
          <w:rFonts w:ascii="Arial" w:hAnsi="Arial" w:cs="Arial"/>
          <w:b/>
        </w:rPr>
      </w:pPr>
      <w:r w:rsidRPr="00C50A39">
        <w:rPr>
          <w:rFonts w:ascii="Arial" w:hAnsi="Arial" w:cs="Arial"/>
          <w:b/>
        </w:rPr>
        <w:t xml:space="preserve">Treatment </w:t>
      </w:r>
      <w:r w:rsidR="00E16FD4">
        <w:rPr>
          <w:rFonts w:ascii="Arial" w:hAnsi="Arial" w:cs="Arial"/>
          <w:b/>
        </w:rPr>
        <w:t>C</w:t>
      </w:r>
      <w:r w:rsidRPr="00C50A39">
        <w:rPr>
          <w:rFonts w:ascii="Arial" w:hAnsi="Arial" w:cs="Arial"/>
          <w:b/>
        </w:rPr>
        <w:t>onditions</w:t>
      </w:r>
    </w:p>
    <w:p w14:paraId="72DEAF41" w14:textId="117B2DA5" w:rsidR="006E6EB7" w:rsidRPr="00C50A39" w:rsidRDefault="009D48E2" w:rsidP="006F51B3">
      <w:pPr>
        <w:shd w:val="clear" w:color="auto" w:fill="FFFFFF"/>
        <w:spacing w:after="0" w:line="480" w:lineRule="auto"/>
        <w:ind w:firstLine="720"/>
        <w:rPr>
          <w:rFonts w:ascii="Arial" w:hAnsi="Arial" w:cs="Arial"/>
          <w:bCs/>
        </w:rPr>
      </w:pPr>
      <w:r w:rsidRPr="001D01B7">
        <w:rPr>
          <w:rFonts w:ascii="Arial" w:hAnsi="Arial" w:cs="Arial"/>
          <w:bCs/>
          <w:highlight w:val="yellow"/>
        </w:rPr>
        <w:lastRenderedPageBreak/>
        <w:t>In order to ensure treatment fidelity, both conditions used standardized materials delivered on line</w:t>
      </w:r>
      <w:r>
        <w:rPr>
          <w:rFonts w:ascii="Arial" w:hAnsi="Arial" w:cs="Arial"/>
          <w:bCs/>
        </w:rPr>
        <w:t xml:space="preserve">. </w:t>
      </w:r>
      <w:r w:rsidR="00956D68" w:rsidRPr="0054482E">
        <w:rPr>
          <w:rFonts w:ascii="Arial" w:hAnsi="Arial" w:cs="Arial"/>
          <w:bCs/>
        </w:rPr>
        <w:t>The CBT condition received an adapted version of</w:t>
      </w:r>
      <w:r w:rsidR="00CB07D5" w:rsidRPr="0054482E">
        <w:rPr>
          <w:rFonts w:ascii="Arial" w:hAnsi="Arial" w:cs="Arial"/>
          <w:bCs/>
        </w:rPr>
        <w:t xml:space="preserve"> </w:t>
      </w:r>
      <w:proofErr w:type="spellStart"/>
      <w:r w:rsidR="00CB07D5" w:rsidRPr="0054482E">
        <w:rPr>
          <w:rFonts w:ascii="Arial" w:hAnsi="Arial" w:cs="Arial"/>
          <w:bCs/>
        </w:rPr>
        <w:t>WebMAP</w:t>
      </w:r>
      <w:proofErr w:type="spellEnd"/>
      <w:r w:rsidR="006F51B3">
        <w:rPr>
          <w:rFonts w:ascii="Arial" w:hAnsi="Arial" w:cs="Arial"/>
          <w:bCs/>
        </w:rPr>
        <w:t xml:space="preserve"> </w:t>
      </w:r>
      <w:r w:rsidR="00F55678" w:rsidRPr="0054482E">
        <w:rPr>
          <w:rFonts w:ascii="Arial" w:hAnsi="Arial" w:cs="Arial"/>
          <w:bCs/>
        </w:rPr>
        <w:fldChar w:fldCharType="begin"/>
      </w:r>
      <w:r w:rsidR="00F30351">
        <w:rPr>
          <w:rFonts w:ascii="Arial" w:hAnsi="Arial" w:cs="Arial"/>
          <w:bCs/>
        </w:rPr>
        <w:instrText xml:space="preserve"> ADDIN ZOTERO_ITEM CSL_CITATION {"citationID":"a1j46okjmdb","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F55678" w:rsidRPr="0054482E">
        <w:rPr>
          <w:rFonts w:ascii="Arial" w:hAnsi="Arial" w:cs="Arial"/>
          <w:bCs/>
        </w:rPr>
        <w:fldChar w:fldCharType="separate"/>
      </w:r>
      <w:r w:rsidR="00F30351" w:rsidRPr="00F30351">
        <w:rPr>
          <w:rFonts w:ascii="Arial" w:hAnsi="Arial" w:cs="Arial"/>
        </w:rPr>
        <w:t>[24]</w:t>
      </w:r>
      <w:r w:rsidR="00F55678" w:rsidRPr="0054482E">
        <w:rPr>
          <w:rFonts w:ascii="Arial" w:hAnsi="Arial" w:cs="Arial"/>
          <w:bCs/>
        </w:rPr>
        <w:fldChar w:fldCharType="end"/>
      </w:r>
      <w:r w:rsidR="006F51B3">
        <w:rPr>
          <w:rFonts w:ascii="Arial" w:hAnsi="Arial" w:cs="Arial"/>
          <w:bCs/>
        </w:rPr>
        <w:t>,</w:t>
      </w:r>
      <w:r w:rsidR="00CB07D5" w:rsidRPr="0054482E">
        <w:rPr>
          <w:rFonts w:ascii="Arial" w:hAnsi="Arial" w:cs="Arial"/>
          <w:bCs/>
        </w:rPr>
        <w:t xml:space="preserve"> </w:t>
      </w:r>
      <w:r w:rsidR="00290C18" w:rsidRPr="0054482E">
        <w:rPr>
          <w:rFonts w:ascii="Arial" w:hAnsi="Arial" w:cs="Arial"/>
          <w:bCs/>
        </w:rPr>
        <w:t>a</w:t>
      </w:r>
      <w:r w:rsidR="005C7823" w:rsidRPr="0054482E">
        <w:rPr>
          <w:rFonts w:ascii="Arial" w:hAnsi="Arial" w:cs="Arial"/>
          <w:bCs/>
        </w:rPr>
        <w:t xml:space="preserve"> </w:t>
      </w:r>
      <w:r w:rsidR="00CB07D5" w:rsidRPr="0054482E">
        <w:rPr>
          <w:rFonts w:ascii="Arial" w:hAnsi="Arial" w:cs="Arial"/>
          <w:bCs/>
        </w:rPr>
        <w:t>pro</w:t>
      </w:r>
      <w:r w:rsidR="00956D68" w:rsidRPr="0054482E">
        <w:rPr>
          <w:rFonts w:ascii="Arial" w:hAnsi="Arial" w:cs="Arial"/>
          <w:bCs/>
        </w:rPr>
        <w:t>gram</w:t>
      </w:r>
      <w:r w:rsidR="00CB07D5" w:rsidRPr="0054482E">
        <w:rPr>
          <w:rFonts w:ascii="Arial" w:hAnsi="Arial" w:cs="Arial"/>
          <w:bCs/>
        </w:rPr>
        <w:t xml:space="preserve"> </w:t>
      </w:r>
      <w:r w:rsidR="005C7823" w:rsidRPr="0054482E">
        <w:rPr>
          <w:rFonts w:ascii="Arial" w:hAnsi="Arial" w:cs="Arial"/>
          <w:bCs/>
        </w:rPr>
        <w:t xml:space="preserve">originally developed </w:t>
      </w:r>
      <w:r w:rsidR="00CB07D5" w:rsidRPr="0054482E">
        <w:rPr>
          <w:rFonts w:ascii="Arial" w:hAnsi="Arial" w:cs="Arial"/>
          <w:bCs/>
        </w:rPr>
        <w:t xml:space="preserve">for adolescents </w:t>
      </w:r>
      <w:r w:rsidR="00B41CE7" w:rsidRPr="0054482E">
        <w:rPr>
          <w:rFonts w:ascii="Arial" w:hAnsi="Arial" w:cs="Arial"/>
          <w:bCs/>
        </w:rPr>
        <w:t>with mixed chronic pain conditions</w:t>
      </w:r>
      <w:r w:rsidR="00956D68" w:rsidRPr="0054482E">
        <w:rPr>
          <w:rFonts w:ascii="Arial" w:hAnsi="Arial" w:cs="Arial"/>
          <w:bCs/>
        </w:rPr>
        <w:t xml:space="preserve">, which was modified for </w:t>
      </w:r>
      <w:r w:rsidR="004F585B">
        <w:rPr>
          <w:rFonts w:ascii="Arial" w:hAnsi="Arial" w:cs="Arial"/>
          <w:bCs/>
        </w:rPr>
        <w:t xml:space="preserve">this study </w:t>
      </w:r>
      <w:r w:rsidR="00063DD9">
        <w:rPr>
          <w:rFonts w:ascii="Arial" w:hAnsi="Arial" w:cs="Arial"/>
          <w:bCs/>
        </w:rPr>
        <w:t xml:space="preserve">to be specific to </w:t>
      </w:r>
      <w:r w:rsidR="00956D68" w:rsidRPr="0054482E">
        <w:rPr>
          <w:rFonts w:ascii="Arial" w:hAnsi="Arial" w:cs="Arial"/>
          <w:bCs/>
        </w:rPr>
        <w:t>FAP</w:t>
      </w:r>
      <w:r w:rsidR="00CB07D5" w:rsidRPr="0054482E">
        <w:rPr>
          <w:rFonts w:ascii="Arial" w:hAnsi="Arial" w:cs="Arial"/>
          <w:bCs/>
        </w:rPr>
        <w:t xml:space="preserve">. </w:t>
      </w:r>
      <w:r w:rsidR="005231B4" w:rsidRPr="0054482E">
        <w:rPr>
          <w:rFonts w:ascii="Arial" w:hAnsi="Arial" w:cs="Arial"/>
          <w:bCs/>
        </w:rPr>
        <w:t xml:space="preserve">The program includes 8 modules </w:t>
      </w:r>
      <w:r w:rsidR="006E1F37" w:rsidRPr="0054482E">
        <w:rPr>
          <w:rFonts w:ascii="Arial" w:hAnsi="Arial" w:cs="Arial"/>
          <w:bCs/>
        </w:rPr>
        <w:t>for</w:t>
      </w:r>
      <w:r w:rsidR="005231B4" w:rsidRPr="0054482E">
        <w:rPr>
          <w:rFonts w:ascii="Arial" w:hAnsi="Arial" w:cs="Arial"/>
          <w:bCs/>
        </w:rPr>
        <w:t xml:space="preserve"> youth to learn pain coping skills and 8 modules for parents to learn adaptive </w:t>
      </w:r>
      <w:proofErr w:type="spellStart"/>
      <w:r w:rsidR="005231B4" w:rsidRPr="0054482E">
        <w:rPr>
          <w:rFonts w:ascii="Arial" w:hAnsi="Arial" w:cs="Arial"/>
          <w:bCs/>
        </w:rPr>
        <w:t>behavioral</w:t>
      </w:r>
      <w:proofErr w:type="spellEnd"/>
      <w:r w:rsidR="005231B4" w:rsidRPr="0054482E">
        <w:rPr>
          <w:rFonts w:ascii="Arial" w:hAnsi="Arial" w:cs="Arial"/>
          <w:bCs/>
        </w:rPr>
        <w:t xml:space="preserve"> responses to pain. </w:t>
      </w:r>
      <w:r w:rsidR="006E1F37" w:rsidRPr="0054482E">
        <w:rPr>
          <w:rFonts w:ascii="Arial" w:hAnsi="Arial" w:cs="Arial"/>
          <w:bCs/>
        </w:rPr>
        <w:t>The program is interactive</w:t>
      </w:r>
      <w:r w:rsidR="00C01F38" w:rsidRPr="0054482E">
        <w:rPr>
          <w:rFonts w:ascii="Arial" w:hAnsi="Arial" w:cs="Arial"/>
          <w:bCs/>
        </w:rPr>
        <w:t>:</w:t>
      </w:r>
      <w:r w:rsidR="006E1F37" w:rsidRPr="0054482E">
        <w:rPr>
          <w:rFonts w:ascii="Arial" w:hAnsi="Arial" w:cs="Arial"/>
          <w:bCs/>
        </w:rPr>
        <w:t xml:space="preserve"> participants</w:t>
      </w:r>
      <w:r w:rsidR="003C0A77" w:rsidRPr="0054482E">
        <w:rPr>
          <w:rFonts w:ascii="Arial" w:hAnsi="Arial" w:cs="Arial"/>
          <w:bCs/>
        </w:rPr>
        <w:t xml:space="preserve"> </w:t>
      </w:r>
      <w:r w:rsidR="008E0201" w:rsidRPr="0054482E">
        <w:rPr>
          <w:rFonts w:ascii="Arial" w:hAnsi="Arial" w:cs="Arial"/>
          <w:bCs/>
        </w:rPr>
        <w:t>complete</w:t>
      </w:r>
      <w:r w:rsidR="003C0A77" w:rsidRPr="0054482E">
        <w:rPr>
          <w:rFonts w:ascii="Arial" w:hAnsi="Arial" w:cs="Arial"/>
          <w:bCs/>
        </w:rPr>
        <w:t xml:space="preserve"> </w:t>
      </w:r>
      <w:proofErr w:type="spellStart"/>
      <w:r w:rsidR="005231B4" w:rsidRPr="0054482E">
        <w:rPr>
          <w:rFonts w:ascii="Arial" w:hAnsi="Arial" w:cs="Arial"/>
          <w:bCs/>
        </w:rPr>
        <w:t>behavioral</w:t>
      </w:r>
      <w:proofErr w:type="spellEnd"/>
      <w:r w:rsidR="005231B4" w:rsidRPr="0054482E">
        <w:rPr>
          <w:rFonts w:ascii="Arial" w:hAnsi="Arial" w:cs="Arial"/>
          <w:bCs/>
        </w:rPr>
        <w:t xml:space="preserve"> assignments</w:t>
      </w:r>
      <w:r w:rsidR="00C01F38" w:rsidRPr="0054482E">
        <w:rPr>
          <w:rFonts w:ascii="Arial" w:hAnsi="Arial" w:cs="Arial"/>
          <w:bCs/>
        </w:rPr>
        <w:t xml:space="preserve"> </w:t>
      </w:r>
      <w:r w:rsidR="005231B4" w:rsidRPr="0054482E">
        <w:rPr>
          <w:rFonts w:ascii="Arial" w:hAnsi="Arial" w:cs="Arial"/>
          <w:bCs/>
        </w:rPr>
        <w:t xml:space="preserve">which </w:t>
      </w:r>
      <w:r w:rsidR="006E1F37" w:rsidRPr="0054482E">
        <w:rPr>
          <w:rFonts w:ascii="Arial" w:hAnsi="Arial" w:cs="Arial"/>
          <w:bCs/>
        </w:rPr>
        <w:t>a</w:t>
      </w:r>
      <w:r w:rsidR="005231B4" w:rsidRPr="0054482E">
        <w:rPr>
          <w:rFonts w:ascii="Arial" w:hAnsi="Arial" w:cs="Arial"/>
          <w:bCs/>
        </w:rPr>
        <w:t xml:space="preserve">re reviewed by </w:t>
      </w:r>
      <w:r w:rsidR="008E0201" w:rsidRPr="0054482E">
        <w:rPr>
          <w:rFonts w:ascii="Arial" w:hAnsi="Arial" w:cs="Arial"/>
          <w:bCs/>
        </w:rPr>
        <w:t>a</w:t>
      </w:r>
      <w:r w:rsidR="003C0A77" w:rsidRPr="0054482E">
        <w:rPr>
          <w:rFonts w:ascii="Arial" w:hAnsi="Arial" w:cs="Arial"/>
          <w:bCs/>
        </w:rPr>
        <w:t xml:space="preserve"> </w:t>
      </w:r>
      <w:r w:rsidR="00CF4B0A" w:rsidRPr="0054482E">
        <w:rPr>
          <w:rFonts w:ascii="Arial" w:hAnsi="Arial" w:cs="Arial"/>
          <w:bCs/>
        </w:rPr>
        <w:t>Health</w:t>
      </w:r>
      <w:r w:rsidR="008E0201" w:rsidRPr="0054482E">
        <w:rPr>
          <w:rFonts w:ascii="Arial" w:hAnsi="Arial" w:cs="Arial"/>
          <w:bCs/>
        </w:rPr>
        <w:t xml:space="preserve"> </w:t>
      </w:r>
      <w:r w:rsidR="006D0A45" w:rsidRPr="0054482E">
        <w:rPr>
          <w:rFonts w:ascii="Arial" w:hAnsi="Arial" w:cs="Arial"/>
          <w:bCs/>
        </w:rPr>
        <w:t xml:space="preserve">Coach </w:t>
      </w:r>
      <w:r w:rsidR="005231B4" w:rsidRPr="0054482E">
        <w:rPr>
          <w:rFonts w:ascii="Arial" w:hAnsi="Arial" w:cs="Arial"/>
          <w:bCs/>
        </w:rPr>
        <w:t>provid</w:t>
      </w:r>
      <w:r w:rsidR="006E1F37" w:rsidRPr="0054482E">
        <w:rPr>
          <w:rFonts w:ascii="Arial" w:hAnsi="Arial" w:cs="Arial"/>
          <w:bCs/>
        </w:rPr>
        <w:t>ing</w:t>
      </w:r>
      <w:r w:rsidR="005231B4" w:rsidRPr="0054482E">
        <w:rPr>
          <w:rFonts w:ascii="Arial" w:hAnsi="Arial" w:cs="Arial"/>
          <w:bCs/>
        </w:rPr>
        <w:t xml:space="preserve"> standardized</w:t>
      </w:r>
      <w:r w:rsidR="008E0201" w:rsidRPr="0054482E">
        <w:rPr>
          <w:rFonts w:ascii="Arial" w:hAnsi="Arial" w:cs="Arial"/>
          <w:bCs/>
        </w:rPr>
        <w:t xml:space="preserve"> feedback</w:t>
      </w:r>
      <w:r w:rsidR="00C340EB" w:rsidRPr="0054482E">
        <w:rPr>
          <w:rFonts w:ascii="Arial" w:hAnsi="Arial" w:cs="Arial"/>
          <w:bCs/>
        </w:rPr>
        <w:t xml:space="preserve">. </w:t>
      </w:r>
      <w:r w:rsidR="002271F6" w:rsidRPr="0054482E">
        <w:rPr>
          <w:rFonts w:ascii="Arial" w:hAnsi="Arial" w:cs="Arial"/>
        </w:rPr>
        <w:t xml:space="preserve">Health coaches were master’s degree psychology graduate students. </w:t>
      </w:r>
      <w:r w:rsidRPr="001D01B7">
        <w:rPr>
          <w:rFonts w:ascii="Arial" w:hAnsi="Arial" w:cs="Arial"/>
          <w:highlight w:val="yellow"/>
        </w:rPr>
        <w:t xml:space="preserve">To ensure treatment fidelity </w:t>
      </w:r>
      <w:r w:rsidR="001D01B7" w:rsidRPr="001D01B7">
        <w:rPr>
          <w:rFonts w:ascii="Arial" w:hAnsi="Arial" w:cs="Arial"/>
          <w:highlight w:val="yellow"/>
        </w:rPr>
        <w:t>for</w:t>
      </w:r>
      <w:r w:rsidRPr="001D01B7">
        <w:rPr>
          <w:rFonts w:ascii="Arial" w:hAnsi="Arial" w:cs="Arial"/>
          <w:highlight w:val="yellow"/>
        </w:rPr>
        <w:t xml:space="preserve"> the feedback </w:t>
      </w:r>
      <w:r w:rsidR="0017166E">
        <w:rPr>
          <w:rFonts w:ascii="Arial" w:hAnsi="Arial" w:cs="Arial"/>
          <w:highlight w:val="yellow"/>
        </w:rPr>
        <w:t xml:space="preserve">that </w:t>
      </w:r>
      <w:r w:rsidRPr="001D01B7">
        <w:rPr>
          <w:rFonts w:ascii="Arial" w:hAnsi="Arial" w:cs="Arial"/>
          <w:highlight w:val="yellow"/>
        </w:rPr>
        <w:t>coaches provided</w:t>
      </w:r>
      <w:r>
        <w:rPr>
          <w:rFonts w:ascii="Arial" w:hAnsi="Arial" w:cs="Arial"/>
        </w:rPr>
        <w:t>, coaches</w:t>
      </w:r>
      <w:r w:rsidR="002271F6" w:rsidRPr="0054482E">
        <w:rPr>
          <w:rFonts w:ascii="Arial" w:hAnsi="Arial" w:cs="Arial"/>
        </w:rPr>
        <w:t xml:space="preserve"> completed a standard series of training tasks (readings, role play, and supervision) and used an online coaches’ manual </w:t>
      </w:r>
      <w:r w:rsidR="006F51B3">
        <w:rPr>
          <w:rFonts w:ascii="Arial" w:hAnsi="Arial" w:cs="Arial"/>
        </w:rPr>
        <w:t xml:space="preserve">[21] </w:t>
      </w:r>
      <w:r w:rsidR="002271F6" w:rsidRPr="0054482E">
        <w:rPr>
          <w:rFonts w:ascii="Arial" w:hAnsi="Arial" w:cs="Arial"/>
        </w:rPr>
        <w:t xml:space="preserve">to standardize their responses to study participants. Coaches were supervised by co-author TP in their online responses to assignments and messages submitted by youth and parents. Coaches responded to each message sent by participants. The coaches’ manual included examples of standard responses to praise skills practice (e.g., “Nice job practicing guided imagery!”), strategies to overcome obstacles to skills practice (e.g., “Try practicing at the same time every day”), and content to build rapport (e.g., “Did you do anything fun over the weekend?”). </w:t>
      </w:r>
      <w:r w:rsidR="002271F6" w:rsidRPr="0054482E">
        <w:rPr>
          <w:rFonts w:ascii="Arial" w:hAnsi="Arial" w:cs="Arial"/>
          <w:bCs/>
        </w:rPr>
        <w:t xml:space="preserve">Components of the </w:t>
      </w:r>
      <w:proofErr w:type="spellStart"/>
      <w:r w:rsidR="002271F6" w:rsidRPr="0054482E">
        <w:rPr>
          <w:rFonts w:ascii="Arial" w:hAnsi="Arial" w:cs="Arial"/>
          <w:bCs/>
        </w:rPr>
        <w:t>WebMAP</w:t>
      </w:r>
      <w:proofErr w:type="spellEnd"/>
      <w:r w:rsidR="002271F6" w:rsidRPr="0054482E">
        <w:rPr>
          <w:rFonts w:ascii="Arial" w:hAnsi="Arial" w:cs="Arial"/>
          <w:bCs/>
        </w:rPr>
        <w:t xml:space="preserve"> program are listed in Figure </w:t>
      </w:r>
      <w:r w:rsidR="006E0138">
        <w:rPr>
          <w:rFonts w:ascii="Arial" w:hAnsi="Arial" w:cs="Arial"/>
          <w:bCs/>
        </w:rPr>
        <w:t>2</w:t>
      </w:r>
      <w:r w:rsidR="002271F6" w:rsidRPr="0054482E">
        <w:rPr>
          <w:rFonts w:ascii="Arial" w:hAnsi="Arial" w:cs="Arial"/>
          <w:bCs/>
        </w:rPr>
        <w:t xml:space="preserve">. </w:t>
      </w:r>
    </w:p>
    <w:p w14:paraId="15ED37B5" w14:textId="70438639" w:rsidR="005B5DBA" w:rsidRPr="005B5DBA" w:rsidRDefault="00CB07D5" w:rsidP="004B494F">
      <w:pPr>
        <w:shd w:val="clear" w:color="auto" w:fill="FFFFFF"/>
        <w:spacing w:after="0" w:line="480" w:lineRule="auto"/>
        <w:rPr>
          <w:rFonts w:ascii="Arial" w:hAnsi="Arial" w:cs="Arial"/>
          <w:bCs/>
        </w:rPr>
      </w:pPr>
      <w:r w:rsidRPr="00C50A39">
        <w:rPr>
          <w:rFonts w:ascii="Arial" w:hAnsi="Arial" w:cs="Arial"/>
          <w:bCs/>
        </w:rPr>
        <w:tab/>
      </w:r>
      <w:r w:rsidR="00956D68" w:rsidRPr="00C50A39">
        <w:rPr>
          <w:rFonts w:ascii="Arial" w:hAnsi="Arial" w:cs="Arial"/>
          <w:bCs/>
        </w:rPr>
        <w:t xml:space="preserve">The </w:t>
      </w:r>
      <w:r w:rsidRPr="00C50A39">
        <w:rPr>
          <w:rFonts w:ascii="Arial" w:hAnsi="Arial" w:cs="Arial"/>
          <w:bCs/>
        </w:rPr>
        <w:t>EDU</w:t>
      </w:r>
      <w:r w:rsidR="00C01F38" w:rsidRPr="00C50A39">
        <w:rPr>
          <w:rFonts w:ascii="Arial" w:hAnsi="Arial" w:cs="Arial"/>
          <w:bCs/>
        </w:rPr>
        <w:t xml:space="preserve"> </w:t>
      </w:r>
      <w:r w:rsidR="00956D68" w:rsidRPr="00C50A39">
        <w:rPr>
          <w:rFonts w:ascii="Arial" w:hAnsi="Arial" w:cs="Arial"/>
          <w:bCs/>
        </w:rPr>
        <w:t>condition</w:t>
      </w:r>
      <w:r w:rsidR="00C044CC" w:rsidRPr="00C50A39">
        <w:rPr>
          <w:rFonts w:ascii="Arial" w:hAnsi="Arial" w:cs="Arial"/>
          <w:bCs/>
        </w:rPr>
        <w:t xml:space="preserve"> served as a time and </w:t>
      </w:r>
      <w:r w:rsidR="006D0A45" w:rsidRPr="00C50A39">
        <w:rPr>
          <w:rFonts w:ascii="Arial" w:hAnsi="Arial" w:cs="Arial"/>
          <w:bCs/>
        </w:rPr>
        <w:t>attention control</w:t>
      </w:r>
      <w:r w:rsidRPr="00C50A39">
        <w:rPr>
          <w:rFonts w:ascii="Arial" w:hAnsi="Arial" w:cs="Arial"/>
          <w:bCs/>
        </w:rPr>
        <w:t xml:space="preserve"> treatment</w:t>
      </w:r>
      <w:r w:rsidR="0045509D" w:rsidRPr="00C50A39">
        <w:rPr>
          <w:rFonts w:ascii="Arial" w:hAnsi="Arial" w:cs="Arial"/>
          <w:bCs/>
        </w:rPr>
        <w:t xml:space="preserve"> condition</w:t>
      </w:r>
      <w:r w:rsidR="00C01F38" w:rsidRPr="00C50A39">
        <w:rPr>
          <w:rFonts w:ascii="Arial" w:hAnsi="Arial" w:cs="Arial"/>
          <w:bCs/>
        </w:rPr>
        <w:t xml:space="preserve">. It </w:t>
      </w:r>
      <w:r w:rsidR="0045509D" w:rsidRPr="00C50A39">
        <w:rPr>
          <w:rFonts w:ascii="Arial" w:hAnsi="Arial" w:cs="Arial"/>
          <w:bCs/>
        </w:rPr>
        <w:t xml:space="preserve">comprised eight modules of </w:t>
      </w:r>
      <w:r w:rsidR="004F585B">
        <w:rPr>
          <w:rFonts w:ascii="Arial" w:hAnsi="Arial" w:cs="Arial"/>
          <w:bCs/>
        </w:rPr>
        <w:t xml:space="preserve">pain-related </w:t>
      </w:r>
      <w:r w:rsidR="0045509D" w:rsidRPr="00C50A39">
        <w:rPr>
          <w:rFonts w:ascii="Arial" w:hAnsi="Arial" w:cs="Arial"/>
          <w:bCs/>
        </w:rPr>
        <w:t xml:space="preserve">information </w:t>
      </w:r>
      <w:r w:rsidR="00C00916" w:rsidRPr="00C00916">
        <w:rPr>
          <w:rFonts w:ascii="Arial" w:hAnsi="Arial" w:cs="Arial"/>
          <w:bCs/>
          <w:highlight w:val="yellow"/>
        </w:rPr>
        <w:t>(e.g., pain physiology, types of abdominal pain, assessment of chronic pain)</w:t>
      </w:r>
      <w:r w:rsidR="00C00916">
        <w:rPr>
          <w:rFonts w:ascii="Arial" w:hAnsi="Arial" w:cs="Arial"/>
          <w:bCs/>
        </w:rPr>
        <w:t xml:space="preserve"> </w:t>
      </w:r>
      <w:r w:rsidR="0045509D" w:rsidRPr="00C50A39">
        <w:rPr>
          <w:rFonts w:ascii="Arial" w:hAnsi="Arial" w:cs="Arial"/>
          <w:bCs/>
        </w:rPr>
        <w:t xml:space="preserve">from publicly available </w:t>
      </w:r>
      <w:r w:rsidR="00C00916" w:rsidRPr="00C00916">
        <w:rPr>
          <w:rFonts w:ascii="Arial" w:hAnsi="Arial" w:cs="Arial"/>
          <w:bCs/>
          <w:highlight w:val="yellow"/>
        </w:rPr>
        <w:t>health</w:t>
      </w:r>
      <w:r w:rsidR="00C00916">
        <w:rPr>
          <w:rFonts w:ascii="Arial" w:hAnsi="Arial" w:cs="Arial"/>
          <w:bCs/>
        </w:rPr>
        <w:t xml:space="preserve"> </w:t>
      </w:r>
      <w:r w:rsidR="0045509D" w:rsidRPr="00C50A39">
        <w:rPr>
          <w:rFonts w:ascii="Arial" w:hAnsi="Arial" w:cs="Arial"/>
          <w:bCs/>
        </w:rPr>
        <w:t>websites</w:t>
      </w:r>
      <w:r w:rsidR="00C01F38" w:rsidRPr="00C50A39">
        <w:rPr>
          <w:rFonts w:ascii="Arial" w:hAnsi="Arial" w:cs="Arial"/>
          <w:bCs/>
        </w:rPr>
        <w:t xml:space="preserve">, </w:t>
      </w:r>
      <w:r w:rsidR="00C044CC" w:rsidRPr="00C50A39">
        <w:rPr>
          <w:rFonts w:ascii="Arial" w:hAnsi="Arial" w:cs="Arial"/>
          <w:bCs/>
        </w:rPr>
        <w:t xml:space="preserve">delivered </w:t>
      </w:r>
      <w:r w:rsidR="007633A7" w:rsidRPr="007633A7">
        <w:rPr>
          <w:rFonts w:ascii="Arial" w:hAnsi="Arial" w:cs="Arial"/>
          <w:bCs/>
          <w:highlight w:val="yellow"/>
        </w:rPr>
        <w:t>to youth and parents</w:t>
      </w:r>
      <w:r w:rsidR="007633A7">
        <w:rPr>
          <w:rFonts w:ascii="Arial" w:hAnsi="Arial" w:cs="Arial"/>
          <w:bCs/>
        </w:rPr>
        <w:t xml:space="preserve"> </w:t>
      </w:r>
      <w:r w:rsidR="00C044CC" w:rsidRPr="00C50A39">
        <w:rPr>
          <w:rFonts w:ascii="Arial" w:hAnsi="Arial" w:cs="Arial"/>
          <w:bCs/>
        </w:rPr>
        <w:t xml:space="preserve">as static content without skills training, assignments, or access to a health coach. </w:t>
      </w:r>
      <w:r w:rsidR="00253D40" w:rsidRPr="00C50A39">
        <w:rPr>
          <w:rFonts w:ascii="Arial" w:hAnsi="Arial" w:cs="Arial"/>
          <w:bCs/>
        </w:rPr>
        <w:t>EDU</w:t>
      </w:r>
      <w:r w:rsidR="00066E8C" w:rsidRPr="00C50A39">
        <w:rPr>
          <w:rFonts w:ascii="Arial" w:hAnsi="Arial" w:cs="Arial"/>
          <w:bCs/>
        </w:rPr>
        <w:t xml:space="preserve"> </w:t>
      </w:r>
      <w:r w:rsidR="00D6226E">
        <w:rPr>
          <w:rFonts w:ascii="Arial" w:hAnsi="Arial" w:cs="Arial"/>
          <w:bCs/>
        </w:rPr>
        <w:t xml:space="preserve">content </w:t>
      </w:r>
      <w:r w:rsidRPr="00C50A39">
        <w:rPr>
          <w:rFonts w:ascii="Arial" w:hAnsi="Arial" w:cs="Arial"/>
          <w:bCs/>
        </w:rPr>
        <w:t xml:space="preserve">was adapted from </w:t>
      </w:r>
      <w:r w:rsidR="00FC6D8A" w:rsidRPr="00C50A39">
        <w:rPr>
          <w:rFonts w:ascii="Arial" w:hAnsi="Arial" w:cs="Arial"/>
          <w:bCs/>
        </w:rPr>
        <w:t>Palermo</w:t>
      </w:r>
      <w:r w:rsidR="006F51B3">
        <w:rPr>
          <w:rFonts w:ascii="Arial" w:hAnsi="Arial" w:cs="Arial"/>
          <w:bCs/>
        </w:rPr>
        <w:t xml:space="preserve"> et al. </w:t>
      </w:r>
      <w:r w:rsidR="00F55678" w:rsidRPr="00C50A39">
        <w:rPr>
          <w:rFonts w:ascii="Arial" w:hAnsi="Arial" w:cs="Arial"/>
          <w:bCs/>
        </w:rPr>
        <w:fldChar w:fldCharType="begin"/>
      </w:r>
      <w:r w:rsidR="00F30351">
        <w:rPr>
          <w:rFonts w:ascii="Arial" w:hAnsi="Arial" w:cs="Arial"/>
          <w:bCs/>
        </w:rPr>
        <w:instrText xml:space="preserve"> ADDIN ZOTERO_ITEM CSL_CITATION {"citationID":"a2e6ut00vp2","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F55678" w:rsidRPr="00C50A39">
        <w:rPr>
          <w:rFonts w:ascii="Arial" w:hAnsi="Arial" w:cs="Arial"/>
          <w:bCs/>
        </w:rPr>
        <w:fldChar w:fldCharType="separate"/>
      </w:r>
      <w:r w:rsidR="00F30351" w:rsidRPr="00F30351">
        <w:rPr>
          <w:rFonts w:ascii="Arial" w:hAnsi="Arial" w:cs="Arial"/>
        </w:rPr>
        <w:t>[24]</w:t>
      </w:r>
      <w:r w:rsidR="00F55678" w:rsidRPr="00C50A39">
        <w:rPr>
          <w:rFonts w:ascii="Arial" w:hAnsi="Arial" w:cs="Arial"/>
          <w:bCs/>
        </w:rPr>
        <w:fldChar w:fldCharType="end"/>
      </w:r>
      <w:r w:rsidR="00F55678" w:rsidRPr="00C50A39">
        <w:rPr>
          <w:rFonts w:ascii="Arial" w:hAnsi="Arial" w:cs="Arial"/>
          <w:bCs/>
        </w:rPr>
        <w:t xml:space="preserve"> </w:t>
      </w:r>
      <w:r w:rsidRPr="00C50A39">
        <w:rPr>
          <w:rFonts w:ascii="Arial" w:hAnsi="Arial" w:cs="Arial"/>
          <w:bCs/>
        </w:rPr>
        <w:t>to include information specific to FAP</w:t>
      </w:r>
      <w:r w:rsidR="003C2AB1" w:rsidRPr="00C50A39">
        <w:rPr>
          <w:rFonts w:ascii="Arial" w:hAnsi="Arial" w:cs="Arial"/>
          <w:bCs/>
        </w:rPr>
        <w:t>.</w:t>
      </w:r>
      <w:r w:rsidR="00D13180" w:rsidRPr="00C50A39">
        <w:rPr>
          <w:rFonts w:ascii="Arial" w:hAnsi="Arial" w:cs="Arial"/>
          <w:bCs/>
        </w:rPr>
        <w:t xml:space="preserve"> </w:t>
      </w:r>
    </w:p>
    <w:p w14:paraId="182AF4A9" w14:textId="77777777" w:rsidR="007752ED" w:rsidRPr="00C50A39" w:rsidRDefault="007752ED" w:rsidP="004B494F">
      <w:pPr>
        <w:shd w:val="clear" w:color="auto" w:fill="FFFFFF"/>
        <w:spacing w:after="0" w:line="480" w:lineRule="auto"/>
        <w:rPr>
          <w:rFonts w:ascii="Arial" w:hAnsi="Arial" w:cs="Arial"/>
        </w:rPr>
      </w:pPr>
      <w:r w:rsidRPr="00C50A39">
        <w:rPr>
          <w:rFonts w:ascii="Arial" w:hAnsi="Arial" w:cs="Arial"/>
          <w:b/>
        </w:rPr>
        <w:t>Measures</w:t>
      </w:r>
    </w:p>
    <w:p w14:paraId="6C677ED7" w14:textId="266898C4" w:rsidR="00C50A39" w:rsidRDefault="00057603" w:rsidP="004B494F">
      <w:pPr>
        <w:shd w:val="clear" w:color="auto" w:fill="FFFFFF"/>
        <w:spacing w:after="0" w:line="480" w:lineRule="auto"/>
        <w:rPr>
          <w:rFonts w:ascii="Arial" w:hAnsi="Arial" w:cs="Arial"/>
        </w:rPr>
      </w:pPr>
      <w:r w:rsidRPr="00C50A39">
        <w:rPr>
          <w:rFonts w:ascii="Arial" w:hAnsi="Arial" w:cs="Arial"/>
          <w:b/>
          <w:bCs/>
          <w:i/>
          <w:iCs/>
        </w:rPr>
        <w:t xml:space="preserve">Subtype </w:t>
      </w:r>
      <w:r w:rsidR="00C50A39">
        <w:rPr>
          <w:rFonts w:ascii="Arial" w:hAnsi="Arial" w:cs="Arial"/>
          <w:b/>
          <w:bCs/>
          <w:i/>
          <w:iCs/>
        </w:rPr>
        <w:t>C</w:t>
      </w:r>
      <w:r w:rsidRPr="00C50A39">
        <w:rPr>
          <w:rFonts w:ascii="Arial" w:hAnsi="Arial" w:cs="Arial"/>
          <w:b/>
          <w:bCs/>
          <w:i/>
          <w:iCs/>
        </w:rPr>
        <w:t>lassification</w:t>
      </w:r>
      <w:r w:rsidRPr="00C50A39">
        <w:rPr>
          <w:rFonts w:ascii="Arial" w:hAnsi="Arial" w:cs="Arial"/>
        </w:rPr>
        <w:t xml:space="preserve"> </w:t>
      </w:r>
    </w:p>
    <w:p w14:paraId="5854B7A0" w14:textId="7CA0EE74" w:rsidR="00057603" w:rsidRPr="0054482E" w:rsidRDefault="000B7226" w:rsidP="0054482E">
      <w:pPr>
        <w:shd w:val="clear" w:color="auto" w:fill="FFFFFF"/>
        <w:spacing w:after="0" w:line="480" w:lineRule="auto"/>
        <w:ind w:firstLine="720"/>
        <w:rPr>
          <w:rFonts w:ascii="Arial" w:hAnsi="Arial" w:cs="Arial"/>
        </w:rPr>
      </w:pPr>
      <w:r w:rsidRPr="0054482E">
        <w:rPr>
          <w:rFonts w:ascii="Arial" w:hAnsi="Arial" w:cs="Arial"/>
        </w:rPr>
        <w:t>Using a previously validated classification algorithm</w:t>
      </w:r>
      <w:r w:rsidR="006F51B3">
        <w:rPr>
          <w:rFonts w:ascii="Arial" w:hAnsi="Arial" w:cs="Arial"/>
        </w:rPr>
        <w:t xml:space="preserve"> </w:t>
      </w:r>
      <w:r w:rsidRPr="0054482E">
        <w:rPr>
          <w:rFonts w:ascii="Arial" w:hAnsi="Arial" w:cs="Arial"/>
        </w:rPr>
        <w:fldChar w:fldCharType="begin"/>
      </w:r>
      <w:r w:rsidR="00F30351">
        <w:rPr>
          <w:rFonts w:ascii="Arial" w:hAnsi="Arial" w:cs="Arial"/>
        </w:rPr>
        <w:instrText xml:space="preserve"> ADDIN ZOTERO_ITEM CSL_CITATION {"citationID":"a2jaf3rv9h6","properties":{"formattedCitation":"[35,48]","plainCitation":"[35,48]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Pr="0054482E">
        <w:rPr>
          <w:rFonts w:ascii="Arial" w:hAnsi="Arial" w:cs="Arial"/>
        </w:rPr>
        <w:fldChar w:fldCharType="separate"/>
      </w:r>
      <w:r w:rsidR="00F30351" w:rsidRPr="00F30351">
        <w:rPr>
          <w:rFonts w:ascii="Arial" w:hAnsi="Arial" w:cs="Arial"/>
        </w:rPr>
        <w:t>[35,48]</w:t>
      </w:r>
      <w:r w:rsidRPr="0054482E">
        <w:rPr>
          <w:rFonts w:ascii="Arial" w:hAnsi="Arial" w:cs="Arial"/>
        </w:rPr>
        <w:fldChar w:fldCharType="end"/>
      </w:r>
      <w:r w:rsidRPr="0054482E">
        <w:rPr>
          <w:rFonts w:ascii="Arial" w:hAnsi="Arial" w:cs="Arial"/>
        </w:rPr>
        <w:t>, y</w:t>
      </w:r>
      <w:r w:rsidR="00057603" w:rsidRPr="0054482E">
        <w:rPr>
          <w:rFonts w:ascii="Arial" w:hAnsi="Arial" w:cs="Arial"/>
        </w:rPr>
        <w:t>outh were classified into three pa</w:t>
      </w:r>
      <w:r w:rsidR="003D6800" w:rsidRPr="0054482E">
        <w:rPr>
          <w:rFonts w:ascii="Arial" w:hAnsi="Arial" w:cs="Arial"/>
        </w:rPr>
        <w:t>tient</w:t>
      </w:r>
      <w:r w:rsidR="00057603" w:rsidRPr="0054482E">
        <w:rPr>
          <w:rFonts w:ascii="Arial" w:hAnsi="Arial" w:cs="Arial"/>
        </w:rPr>
        <w:t xml:space="preserve"> su</w:t>
      </w:r>
      <w:r w:rsidR="00C01F38" w:rsidRPr="0054482E">
        <w:rPr>
          <w:rFonts w:ascii="Arial" w:hAnsi="Arial" w:cs="Arial"/>
        </w:rPr>
        <w:t>bgroups</w:t>
      </w:r>
      <w:r w:rsidR="00057603" w:rsidRPr="0054482E">
        <w:rPr>
          <w:rFonts w:ascii="Arial" w:hAnsi="Arial" w:cs="Arial"/>
        </w:rPr>
        <w:t xml:space="preserve"> (HPD, HPA, LPA) comprised of youth-reported measures of pain-related psychological characteri</w:t>
      </w:r>
      <w:r w:rsidR="002F6EC3" w:rsidRPr="0054482E">
        <w:rPr>
          <w:rFonts w:ascii="Arial" w:hAnsi="Arial" w:cs="Arial"/>
        </w:rPr>
        <w:t>s</w:t>
      </w:r>
      <w:r w:rsidR="00057603" w:rsidRPr="0054482E">
        <w:rPr>
          <w:rFonts w:ascii="Arial" w:hAnsi="Arial" w:cs="Arial"/>
        </w:rPr>
        <w:t>tics</w:t>
      </w:r>
      <w:r w:rsidR="002F6EC3" w:rsidRPr="0054482E">
        <w:rPr>
          <w:rFonts w:ascii="Arial" w:hAnsi="Arial" w:cs="Arial"/>
        </w:rPr>
        <w:t xml:space="preserve"> obtained at baseline assessment prior to randomization. </w:t>
      </w:r>
      <w:r w:rsidR="002F6EC3" w:rsidRPr="0054482E">
        <w:rPr>
          <w:rFonts w:ascii="Arial" w:hAnsi="Arial" w:cs="Arial"/>
        </w:rPr>
        <w:lastRenderedPageBreak/>
        <w:t>Measures used in the classification algorithm include the Abdominal Pain Index (API</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g1gAPNUL","properties":{"formattedCitation":"[15]","plainCitation":"[15]","noteIndex":0},"citationItems":[{"id":158,"uris":["http://zotero.org/users/7139165/items/2WTX7L9L"],"uri":["http://zotero.org/users/7139165/items/2WTX7L9L"],"itemData":{"id":158,"type":"article-journal","abstract":"OBJECTIVE: Evaluate the psychometric properties of child- and parent-report versions of the four-item Abdominal Pain Index (API) in children with functional abdominal pain (FAP) and healthy controls, using a revised scoring method that facilitates comparisons of scores across samples and time.\nMETHODS: Pediatric patients aged 8-18 years with FAP and controls completed the API at baseline (N = 1,967); a subset of their parents (N = 290) completed the API regarding the child's pain. Subsets of patients completed follow-up assessments at 2 weeks (N = 231), 3 months (N = 330), and 6 months (N = 107). Subsets of both patients (N = 389) and healthy controls (N = 172) completed a long-term follow-up assessment (mean age at follow-up = 20.21 years, SD = 3.75).\nRESULTS: The API demonstrated good concurrent, discriminant, and construct validity, as well as good internal consistency.\nCONCLUSION: We conclude that the API, using the revised scoring method, is a useful, reliable, and valid measure of abdominal pain severity.","container-title":"Journal of Pediatric Psychology","DOI":"10.1093/jpepsy/jsu118","ISSN":"1465-735X","issue":"5","journalAbbreviation":"J Pediatr Psychol","language":"eng","note":"PMID: 25617048\nPMCID: PMC4502391","page":"517-525","source":"PubMed","title":"Validation of the Abdominal Pain Index using a revised scoring method","volume":"40","author":[{"family":"Laird","given":"Kelsey T."},{"family":"Sherman","given":"Amanda L."},{"family":"Smith","given":"Craig A."},{"family":"Walker","given":"Lynn S."}],"issued":{"date-parts":[["2015",6]]}}}],"schema":"https://github.com/citation-style-language/schema/raw/master/csl-citation.json"} </w:instrText>
      </w:r>
      <w:r w:rsidR="002F6EC3" w:rsidRPr="0054482E">
        <w:rPr>
          <w:rFonts w:ascii="Arial" w:hAnsi="Arial" w:cs="Arial"/>
        </w:rPr>
        <w:fldChar w:fldCharType="separate"/>
      </w:r>
      <w:r w:rsidR="007346C0" w:rsidRPr="007346C0">
        <w:rPr>
          <w:rFonts w:ascii="Arial" w:hAnsi="Arial" w:cs="Arial"/>
        </w:rPr>
        <w:t>[15]</w:t>
      </w:r>
      <w:r w:rsidR="002F6EC3" w:rsidRPr="0054482E">
        <w:rPr>
          <w:rFonts w:ascii="Arial" w:hAnsi="Arial" w:cs="Arial"/>
        </w:rPr>
        <w:fldChar w:fldCharType="end"/>
      </w:r>
      <w:r w:rsidR="006F51B3">
        <w:rPr>
          <w:rFonts w:ascii="Arial" w:hAnsi="Arial" w:cs="Arial"/>
        </w:rPr>
        <w:t>)</w:t>
      </w:r>
      <w:r w:rsidR="002F6EC3" w:rsidRPr="0054482E">
        <w:rPr>
          <w:rFonts w:ascii="Arial" w:hAnsi="Arial" w:cs="Arial"/>
        </w:rPr>
        <w:t>; GI and non-GI symptom subscales of the Children’s Somatic Symptoms Inventory – 24 (CSSI-24</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lgpXEcDt","properties":{"formattedCitation":"[36,45,46]","plainCitation":"[36,45,46]","noteIndex":0},"citationItems":[{"id":229,"uris":["http://zotero.org/users/7139165/items/UKN7LRNT"],"uri":["http://zotero.org/users/7139165/items/UKN7LRNT"],"itemData":{"id":229,"type":"article-journal","container-title":"The Journal of Pain","DOI":"10.1016/j.jpain.2019.02.005","ISSN":"15265900","issue":"8","journalAbbreviation":"The Journal of Pain","language":"en","page":"932-940","source":"DOI.org (Crossref)","title":"Somatic symptoms in pediatric patients with chronic pain: Proposed clinical reference points for the Children's Somatic Symptoms Inventory (formerly the Children's Somatization Inventory)","title-short":"Somatic Symptoms in Pediatric Patients With Chronic Pain","volume":"20","author":[{"family":"Stone","given":"Amanda L."},{"family":"Walker","given":"Lynn S."},{"family":"Heathcote","given":"Lauren C."},{"family":"Hernandez","given":"J. Maya"},{"family":"Basch","given":"Molly C."},{"family":"Wilson","given":"Anna C."},{"family":"Simons","given":"Laura E."}],"issued":{"date-parts":[["2019",8]]}}},{"id":234,"uris":["http://zotero.org/users/7139165/items/MTEUGMSI"],"uri":["http://zotero.org/users/7139165/items/MTEUGMSI"],"itemData":{"id":234,"type":"article","publisher":"Department of Pediatrics, Monroe Carell Jr. Children's Hospital at Vanderbilt","title":"Manual for the Children's Somatic Symptoms Inventory","author":[{"family":"Walker","given":"Lynn S."},{"family":"Garber","given":"Judy"}],"issued":{"date-parts":[["2018"]]}}},{"id":228,"uris":["http://zotero.org/users/7139165/items/Z3GM4N7Z"],"uri":["http://zotero.org/users/7139165/items/Z3GM4N7Z"],"itemData":{"id":228,"type":"article-journal","abstract":"Objective: To conduct a multi method psychometric evaluation to refine the Children’s Somatization Inventory (CSI) and to investigate its dimensionality. Method: The CSI was administered to 876 pediatric patients with chronic abdominal pain at their initial visit to a pediatric gastroenterology clinic. Tools from three psychometric models identified items that most effectively measured the construct of somatization and examined its dimensionality. Results: Eleven statistically weak items were identified and removed, creating a 24-item CSI (CSI-24). The CSI-24 showed good psychometrics according to the three measurement models and correlated .99 with the original CSI. The CSI-24 has one dominant general factor but is not strictly unidimensional. Conclusions: The CSI-24 is a reliable and psychometrically sound refinement of the original CSI. Findings are consistent with the view that somatization has a strong general factor that represents a continuum of symptom reporting, as well as minor components that represent specific symptom clusters in youth with chronic abdominal pain. (PsycINFO Database Record (c) 2016 APA, all rights reserved)","container-title":"Journal of Pediatric Psychology","DOI":"10.1093/jpepsy/jsn093","ISSN":"1465-735X(Electronic),0146-8693(Print)","issue":"4","note":"publisher-place: United Kingdom\npublisher: Oxford University Press","page":"430-440","source":"APA PsycNET","title":"Children’s Somatization Inventory: Psychometric properties of the revised form (CSI-24)","title-short":"Children’s Somatization Inventory","volume":"34","author":[{"family":"Walker","given":"Lynn S."},{"family":"Beck","given":"Joy E."},{"family":"Garber","given":"Judy"},{"family":"Lambert","given":"Warren"}],"issued":{"date-parts":[["2009"]]}}}],"schema":"https://github.com/citation-style-language/schema/raw/master/csl-citation.json"} </w:instrText>
      </w:r>
      <w:r w:rsidR="002F6EC3" w:rsidRPr="0054482E">
        <w:rPr>
          <w:rFonts w:ascii="Arial" w:hAnsi="Arial" w:cs="Arial"/>
        </w:rPr>
        <w:fldChar w:fldCharType="separate"/>
      </w:r>
      <w:r w:rsidR="00F30351" w:rsidRPr="00F30351">
        <w:rPr>
          <w:rFonts w:ascii="Arial" w:hAnsi="Arial" w:cs="Arial"/>
        </w:rPr>
        <w:t>[36,45,46]</w:t>
      </w:r>
      <w:r w:rsidR="002F6EC3" w:rsidRPr="0054482E">
        <w:rPr>
          <w:rFonts w:ascii="Arial" w:hAnsi="Arial" w:cs="Arial"/>
        </w:rPr>
        <w:fldChar w:fldCharType="end"/>
      </w:r>
      <w:r w:rsidR="006F51B3">
        <w:rPr>
          <w:rFonts w:ascii="Arial" w:hAnsi="Arial" w:cs="Arial"/>
        </w:rPr>
        <w:t>)</w:t>
      </w:r>
      <w:r w:rsidR="002F6EC3" w:rsidRPr="0054482E">
        <w:rPr>
          <w:rFonts w:ascii="Arial" w:hAnsi="Arial" w:cs="Arial"/>
        </w:rPr>
        <w:t>; the Catastrophizing subscale of the Pain Response Inventory (PRI</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EYr7IDmM","properties":{"formattedCitation":"[44]","plainCitation":"[44]","noteIndex":0},"citationItems":[{"id":23,"uris":["http://zotero.org/users/7139165/items/UEHH2YX3"],"uri":["http://zotero.org/users/7139165/items/UEHH2YX3"],"itemData":{"id":23,"type":"article-journal","abstract":"This study aimed to identify clinically meaningful profiles of pain coping strategies used by youth with chronic abdominal pain (CAP). Participants (n = 699) were pediatric patients (ages 8-18 years) and their parents. Patients completed the Pain Response Inventory (PRI) and measures of somatic and depressive symptoms, disability, pain severity and pain efficacy, and perceived competence. Parents rated their children's pain severity and coping efficacy. Hierarchical cluster analysis based on the 13 PRI subscales identified pain coping profiles in Sample 1 (n = 311) that replicated in Sample 2 (n = 388). Evidence was found of external validity and distinctiveness of the profiles. The findings support a typology of pain coping that reflects the quality of patients' pain mastery efforts and interpersonal relationships associated with pain coping. Results are discussed in relation to developmental processes, attachment styles, and treatment implications. © 2007 International Association for the Study of Pain.","container-title":"Pain","DOI":"10.1016/j.pain.2007.08.038","ISSN":"03043959","title":"A typology of pain coping strategies in pediatric patients with chronic abdominal pain","author":[{"family":"Walker","given":"Lynn S."},{"family":"Baber","given":"Kari Freeman"},{"family":"Garber","given":"Judy"},{"family":"Smith","given":"Craig A."}],"issued":{"date-parts":[["2008"]]}}}],"schema":"https://github.com/citation-style-language/schema/raw/master/csl-citation.json"} </w:instrText>
      </w:r>
      <w:r w:rsidR="002F6EC3" w:rsidRPr="0054482E">
        <w:rPr>
          <w:rFonts w:ascii="Arial" w:hAnsi="Arial" w:cs="Arial"/>
        </w:rPr>
        <w:fldChar w:fldCharType="separate"/>
      </w:r>
      <w:r w:rsidR="00F30351" w:rsidRPr="00F30351">
        <w:rPr>
          <w:rFonts w:ascii="Arial" w:hAnsi="Arial" w:cs="Arial"/>
        </w:rPr>
        <w:t>[44]</w:t>
      </w:r>
      <w:r w:rsidR="002F6EC3" w:rsidRPr="0054482E">
        <w:rPr>
          <w:rFonts w:ascii="Arial" w:hAnsi="Arial" w:cs="Arial"/>
        </w:rPr>
        <w:fldChar w:fldCharType="end"/>
      </w:r>
      <w:r w:rsidR="006F51B3">
        <w:rPr>
          <w:rFonts w:ascii="Arial" w:hAnsi="Arial" w:cs="Arial"/>
        </w:rPr>
        <w:t>)</w:t>
      </w:r>
      <w:r w:rsidR="002F6EC3" w:rsidRPr="0054482E">
        <w:rPr>
          <w:rFonts w:ascii="Arial" w:hAnsi="Arial" w:cs="Arial"/>
        </w:rPr>
        <w:t>;  the 26-item version of the Children’s Depression Inventory (CDI</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YrCDNZyV","properties":{"formattedCitation":"[12]","plainCitation":"[12]","noteIndex":0},"citationItems":[{"id":242,"uris":["http://zotero.org/users/7139165/items/NJGN6493"],"uri":["http://zotero.org/users/7139165/items/NJGN6493"],"itemData":{"id":242,"type":"book","publisher":"Multi-Health System Toronto","title":"Children's depression inventory (CDI)","author":[{"family":"Kovacs","given":"Maria"}],"issued":{"date-parts":[["2003"]]}}}],"schema":"https://github.com/citation-style-language/schema/raw/master/csl-citation.json"} </w:instrText>
      </w:r>
      <w:r w:rsidR="002F6EC3" w:rsidRPr="0054482E">
        <w:rPr>
          <w:rFonts w:ascii="Arial" w:hAnsi="Arial" w:cs="Arial"/>
        </w:rPr>
        <w:fldChar w:fldCharType="separate"/>
      </w:r>
      <w:r w:rsidR="007346C0" w:rsidRPr="007346C0">
        <w:rPr>
          <w:rFonts w:ascii="Arial" w:hAnsi="Arial" w:cs="Arial"/>
        </w:rPr>
        <w:t>[12]</w:t>
      </w:r>
      <w:r w:rsidR="002F6EC3" w:rsidRPr="0054482E">
        <w:rPr>
          <w:rFonts w:ascii="Arial" w:hAnsi="Arial" w:cs="Arial"/>
        </w:rPr>
        <w:fldChar w:fldCharType="end"/>
      </w:r>
      <w:r w:rsidR="006F51B3">
        <w:rPr>
          <w:rFonts w:ascii="Arial" w:hAnsi="Arial" w:cs="Arial"/>
        </w:rPr>
        <w:t>)</w:t>
      </w:r>
      <w:r w:rsidR="002F6EC3" w:rsidRPr="0054482E">
        <w:rPr>
          <w:rFonts w:ascii="Arial" w:hAnsi="Arial" w:cs="Arial"/>
        </w:rPr>
        <w:t>; the Functional Disability Inventory (FDI, 10-item version</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c4YRZtcx","properties":{"formattedCitation":"[47]","plainCitation":"[47]","noteIndex":0},"citationItems":[{"id":243,"uris":["http://zotero.org/users/7139165/items/BHRV7U8J"],"uri":["http://zotero.org/users/7139165/items/BHRV7U8J"],"itemData":{"id":243,"type":"article-journal","abstract":"Described the development and validation of the Functional Disability Inventory (FDI) for school-age children and adolescents. Results provide support for construct, concurrent, and predictive validity. FDI scores also demonstrated stability over a 3-month period in patients with a chronic condition, and the instrument was sensitive to changes in patient status subsequent to medical treatment. There was some evidence that gender played a role in disability, particularly in adolescence. The instrument may be used (a) in studying individual differences in pediatric disability, (b) in examining the relation of disability to psychosocial functioning in the child and other family members, or (c) as an outcome measure in assessing the impact of interventions on patient functioning.","container-title":"Journal of Pediatric Psychology","DOI":"10.1093/jpepsy/16.1.39","ISSN":"0146-8693","issue":"1","journalAbbreviation":"J Pediatr Psychol","language":"eng","note":"PMID: 1826329","page":"39-58","source":"PubMed","title":"The functional disability inventory: measuring a neglected dimension of child health status","title-short":"The functional disability inventory","volume":"16","author":[{"family":"Walker","given":"L. S."},{"family":"Greene","given":"J. W."}],"issued":{"date-parts":[["1991",2]]}}}],"schema":"https://github.com/citation-style-language/schema/raw/master/csl-citation.json"} </w:instrText>
      </w:r>
      <w:r w:rsidR="002F6EC3" w:rsidRPr="0054482E">
        <w:rPr>
          <w:rFonts w:ascii="Arial" w:hAnsi="Arial" w:cs="Arial"/>
        </w:rPr>
        <w:fldChar w:fldCharType="separate"/>
      </w:r>
      <w:r w:rsidR="00F30351" w:rsidRPr="00F30351">
        <w:rPr>
          <w:rFonts w:ascii="Arial" w:hAnsi="Arial" w:cs="Arial"/>
        </w:rPr>
        <w:t>[47]</w:t>
      </w:r>
      <w:r w:rsidR="002F6EC3" w:rsidRPr="0054482E">
        <w:rPr>
          <w:rFonts w:ascii="Arial" w:hAnsi="Arial" w:cs="Arial"/>
        </w:rPr>
        <w:fldChar w:fldCharType="end"/>
      </w:r>
      <w:r w:rsidR="006F51B3">
        <w:rPr>
          <w:rFonts w:ascii="Arial" w:hAnsi="Arial" w:cs="Arial"/>
        </w:rPr>
        <w:t>)</w:t>
      </w:r>
      <w:r w:rsidR="002F6EC3" w:rsidRPr="0054482E">
        <w:rPr>
          <w:rFonts w:ascii="Arial" w:hAnsi="Arial" w:cs="Arial"/>
        </w:rPr>
        <w:t>; and subscales of the Pain Beliefs Questionnaire-Short Form (PBQ-SF</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ycFjyAND","properties":{"formattedCitation":"[37]","plainCitation":"[37]","noteIndex":0},"citationItems":[{"id":245,"uris":["http://zotero.org/users/7139165/items/CZAFS8GX"],"uri":["http://zotero.org/users/7139165/items/CZAFS8GX"],"itemData":{"id":245,"type":"article-journal","abstract":"Cognitive appraisals inform and shape individuals’ pain experiences. As researchers examine mechanisms of cognitive behavioral interventions for chronic pain, psychometrically sound measures based in cognitive theory are needed to directly assess pain beliefs. The Pain Beliefs Questionnaire (PBQ), a 32 item self-report measure informed by coping and appraisal theory, was designed to assess children's pain threat appraisals, problem-focused pain coping efficacy, and emotion-focused pain coping efficacy. The present study aimed to 1) create a short form of the PBQ and 2) evaluate the psychometric properties of the reduced measure in a large database of pediatric patients with functional abdominal pain (FAP; n = 871). Item reduction analyses identified an 18-item short form of the PBQ (PBQ-SF) that exhibited similar psychometric properties to the original measure. All three subscales of the PBQ-SF exhibited strong internal consistency (α's ranged from 0.79-0.80) and adequate test-retest reliability at two weeks. Evidence for construct validity was provided by examining patterns of partial correlations for each subscale. The PBQ-SF represents a valid and reliable measure for evaluating children's pain beliefs. Future studies should investigate the treatment sensitivity of the PBQ-SF in order to evaluate its appropriateness for use in clinical trials.","container-title":"The Journal of Pain","DOI":"10.1016/j.jpain.2016.06.006","ISSN":"1526-5900","issue":"9","journalAbbreviation":"J Pain","note":"PMID: 27363626\nPMCID: PMC5032835","page":"1036-1044","source":"PubMed Central","title":"Pediatric Pain Beliefs Questionnaire: Psychometric properties of the short form","title-short":"Pediatric Pain Beliefs Questionnaire","volume":"17","author":[{"family":"Stone","given":"Amanda L."},{"family":"Walker","given":"Lynn S."},{"family":"Laird","given":"Kelsey T."},{"family":"Shirkey","given":"Kezia C."},{"family":"Smith","given":"Craig A."}],"issued":{"date-parts":[["2016",9]]}}}],"schema":"https://github.com/citation-style-language/schema/raw/master/csl-citation.json"} </w:instrText>
      </w:r>
      <w:r w:rsidR="002F6EC3" w:rsidRPr="0054482E">
        <w:rPr>
          <w:rFonts w:ascii="Arial" w:hAnsi="Arial" w:cs="Arial"/>
        </w:rPr>
        <w:fldChar w:fldCharType="separate"/>
      </w:r>
      <w:r w:rsidR="00F30351" w:rsidRPr="00F30351">
        <w:rPr>
          <w:rFonts w:ascii="Arial" w:hAnsi="Arial" w:cs="Arial"/>
        </w:rPr>
        <w:t>[37]</w:t>
      </w:r>
      <w:r w:rsidR="002F6EC3" w:rsidRPr="0054482E">
        <w:rPr>
          <w:rFonts w:ascii="Arial" w:hAnsi="Arial" w:cs="Arial"/>
        </w:rPr>
        <w:fldChar w:fldCharType="end"/>
      </w:r>
      <w:r w:rsidR="006F51B3">
        <w:rPr>
          <w:rFonts w:ascii="Arial" w:hAnsi="Arial" w:cs="Arial"/>
        </w:rPr>
        <w:t>),</w:t>
      </w:r>
      <w:r w:rsidR="002F6EC3" w:rsidRPr="0054482E">
        <w:rPr>
          <w:rFonts w:ascii="Arial" w:hAnsi="Arial" w:cs="Arial"/>
        </w:rPr>
        <w:t xml:space="preserve"> including Pain Threat, Problem-Focused Coping Efficacy (PFCE), and Emotion-Focused Coping Efficacy (EFCE). The API, CSSI-24, PRI, PBQ-SF, and FDI are scored on a 0-4 scale. CDI total scores were converted to a 0-4 scale to match the scaling of the other measures by summing the items, dividing by 52, and then multiplying by 4. All measures exhibited adequate internal consistency (α’s ranged from 0.73-0.90). Additional information regarding these measures</w:t>
      </w:r>
      <w:r w:rsidR="00063DD9">
        <w:rPr>
          <w:rFonts w:ascii="Arial" w:hAnsi="Arial" w:cs="Arial"/>
        </w:rPr>
        <w:t xml:space="preserve"> and </w:t>
      </w:r>
      <w:r w:rsidRPr="0054482E">
        <w:rPr>
          <w:rFonts w:ascii="Arial" w:hAnsi="Arial" w:cs="Arial"/>
        </w:rPr>
        <w:t xml:space="preserve">application of </w:t>
      </w:r>
      <w:r w:rsidR="002F6EC3" w:rsidRPr="0054482E">
        <w:rPr>
          <w:rFonts w:ascii="Arial" w:hAnsi="Arial" w:cs="Arial"/>
        </w:rPr>
        <w:t xml:space="preserve">the classification </w:t>
      </w:r>
      <w:r w:rsidRPr="0054482E">
        <w:rPr>
          <w:rFonts w:ascii="Arial" w:hAnsi="Arial" w:cs="Arial"/>
        </w:rPr>
        <w:t xml:space="preserve">algorithm to the current sample </w:t>
      </w:r>
      <w:r w:rsidR="002F6EC3" w:rsidRPr="0054482E">
        <w:rPr>
          <w:rFonts w:ascii="Arial" w:hAnsi="Arial" w:cs="Arial"/>
        </w:rPr>
        <w:t>has been presented elsewhere</w:t>
      </w:r>
      <w:r w:rsidR="006F51B3">
        <w:rPr>
          <w:rFonts w:ascii="Arial" w:hAnsi="Arial" w:cs="Arial"/>
        </w:rPr>
        <w:t xml:space="preserve"> </w:t>
      </w:r>
      <w:r w:rsidR="002F6EC3" w:rsidRPr="0054482E">
        <w:rPr>
          <w:rFonts w:ascii="Arial" w:hAnsi="Arial" w:cs="Arial"/>
        </w:rPr>
        <w:fldChar w:fldCharType="begin"/>
      </w:r>
      <w:r w:rsidR="00F30351">
        <w:rPr>
          <w:rFonts w:ascii="Arial" w:hAnsi="Arial" w:cs="Arial"/>
        </w:rPr>
        <w:instrText xml:space="preserve"> ADDIN ZOTERO_ITEM CSL_CITATION {"citationID":"xt5gNn0G","properties":{"formattedCitation":"[35,48]","plainCitation":"[35,48]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2F6EC3" w:rsidRPr="0054482E">
        <w:rPr>
          <w:rFonts w:ascii="Arial" w:hAnsi="Arial" w:cs="Arial"/>
        </w:rPr>
        <w:fldChar w:fldCharType="separate"/>
      </w:r>
      <w:r w:rsidR="00F30351" w:rsidRPr="00F30351">
        <w:rPr>
          <w:rFonts w:ascii="Arial" w:hAnsi="Arial" w:cs="Arial"/>
        </w:rPr>
        <w:t>[35,48]</w:t>
      </w:r>
      <w:r w:rsidR="002F6EC3" w:rsidRPr="0054482E">
        <w:rPr>
          <w:rFonts w:ascii="Arial" w:hAnsi="Arial" w:cs="Arial"/>
        </w:rPr>
        <w:fldChar w:fldCharType="end"/>
      </w:r>
      <w:r w:rsidR="00057603" w:rsidRPr="0054482E">
        <w:rPr>
          <w:rFonts w:ascii="Arial" w:hAnsi="Arial" w:cs="Arial"/>
        </w:rPr>
        <w:t xml:space="preserve">. </w:t>
      </w:r>
    </w:p>
    <w:p w14:paraId="02ED80B9" w14:textId="0A5A450D" w:rsidR="00A1497A" w:rsidRPr="00C50A39" w:rsidRDefault="00EB53A6" w:rsidP="004B494F">
      <w:pPr>
        <w:spacing w:after="0" w:line="480" w:lineRule="auto"/>
        <w:ind w:firstLine="720"/>
        <w:rPr>
          <w:rFonts w:ascii="Arial" w:hAnsi="Arial" w:cs="Arial"/>
        </w:rPr>
      </w:pPr>
      <w:r w:rsidRPr="0054482E">
        <w:rPr>
          <w:rFonts w:ascii="Arial" w:hAnsi="Arial" w:cs="Arial"/>
        </w:rPr>
        <w:t>Briefly, t</w:t>
      </w:r>
      <w:r w:rsidR="00A1497A" w:rsidRPr="0054482E">
        <w:rPr>
          <w:rFonts w:ascii="Arial" w:hAnsi="Arial" w:cs="Arial"/>
        </w:rPr>
        <w:t xml:space="preserve">he HPD subgroup </w:t>
      </w:r>
      <w:r w:rsidR="00997AC5" w:rsidRPr="0054482E">
        <w:rPr>
          <w:rFonts w:ascii="Arial" w:hAnsi="Arial" w:cs="Arial"/>
        </w:rPr>
        <w:t>wa</w:t>
      </w:r>
      <w:r w:rsidR="00A1497A" w:rsidRPr="0054482E">
        <w:rPr>
          <w:rFonts w:ascii="Arial" w:hAnsi="Arial" w:cs="Arial"/>
        </w:rPr>
        <w:t xml:space="preserve">s characterized by high levels of abdominal pain severity, GI and non-GI symptom severity, pain catastrophizing, negative affect, functional disability, and pain threat appraisal, as well as low levels of emotion focused and problem focused pain coping efficacy. The HPA subgroup, compared to the HPD subgroup, </w:t>
      </w:r>
      <w:r w:rsidR="00997AC5" w:rsidRPr="0054482E">
        <w:rPr>
          <w:rFonts w:ascii="Arial" w:hAnsi="Arial" w:cs="Arial"/>
        </w:rPr>
        <w:t>wa</w:t>
      </w:r>
      <w:r w:rsidR="00A1497A" w:rsidRPr="0054482E">
        <w:rPr>
          <w:rFonts w:ascii="Arial" w:hAnsi="Arial" w:cs="Arial"/>
        </w:rPr>
        <w:t xml:space="preserve">s characterized by similarly high pain frequency with slightly lower severity than the HPD subgroup and more adaptive psychosocial characteristics compared to the HPD subgroup (i.e., lower GI and </w:t>
      </w:r>
      <w:proofErr w:type="gramStart"/>
      <w:r w:rsidR="00A1497A" w:rsidRPr="0054482E">
        <w:rPr>
          <w:rFonts w:ascii="Arial" w:hAnsi="Arial" w:cs="Arial"/>
        </w:rPr>
        <w:t>non GI</w:t>
      </w:r>
      <w:proofErr w:type="gramEnd"/>
      <w:r w:rsidR="00A1497A" w:rsidRPr="0054482E">
        <w:rPr>
          <w:rFonts w:ascii="Arial" w:hAnsi="Arial" w:cs="Arial"/>
        </w:rPr>
        <w:t xml:space="preserve"> somatic symptom severity, pain catastrophizing, negative affect, functional disability, pain threat appraisals, and higher problem-focused and emotion-focused pain coping efficacy).</w:t>
      </w:r>
      <w:r w:rsidRPr="0054482E">
        <w:rPr>
          <w:rFonts w:ascii="Arial" w:hAnsi="Arial" w:cs="Arial"/>
        </w:rPr>
        <w:t xml:space="preserve"> </w:t>
      </w:r>
      <w:r w:rsidR="00A1497A" w:rsidRPr="0054482E">
        <w:rPr>
          <w:rFonts w:ascii="Arial" w:hAnsi="Arial" w:cs="Arial"/>
        </w:rPr>
        <w:t xml:space="preserve">The LPA subgroup, compared to both the HPD and HPA subgroups </w:t>
      </w:r>
      <w:r w:rsidR="00997AC5" w:rsidRPr="0054482E">
        <w:rPr>
          <w:rFonts w:ascii="Arial" w:hAnsi="Arial" w:cs="Arial"/>
        </w:rPr>
        <w:t>wa</w:t>
      </w:r>
      <w:r w:rsidR="00A1497A" w:rsidRPr="0054482E">
        <w:rPr>
          <w:rFonts w:ascii="Arial" w:hAnsi="Arial" w:cs="Arial"/>
        </w:rPr>
        <w:t>s characterized by the lowest levels of physical symptoms (e.g., abdominal pain, GI and non-GI symptom severity) and ha</w:t>
      </w:r>
      <w:r w:rsidR="00997AC5" w:rsidRPr="0054482E">
        <w:rPr>
          <w:rFonts w:ascii="Arial" w:hAnsi="Arial" w:cs="Arial"/>
        </w:rPr>
        <w:t>d</w:t>
      </w:r>
      <w:r w:rsidR="00A1497A" w:rsidRPr="0054482E">
        <w:rPr>
          <w:rFonts w:ascii="Arial" w:hAnsi="Arial" w:cs="Arial"/>
        </w:rPr>
        <w:t xml:space="preserve"> adaptive psychosocial features including low levels of negative affect, pain catastrophizing, and pain threat appraisal. The LPA subgroup </w:t>
      </w:r>
      <w:r w:rsidR="004F585B">
        <w:rPr>
          <w:rFonts w:ascii="Arial" w:hAnsi="Arial" w:cs="Arial"/>
        </w:rPr>
        <w:t xml:space="preserve">also </w:t>
      </w:r>
      <w:r w:rsidR="00A1497A" w:rsidRPr="0054482E">
        <w:rPr>
          <w:rFonts w:ascii="Arial" w:hAnsi="Arial" w:cs="Arial"/>
        </w:rPr>
        <w:t>exhibited the lowest levels of functional impairment and the highest emotion-focused and problem-focused pain coping efficacy.</w:t>
      </w:r>
      <w:r w:rsidRPr="0054482E">
        <w:rPr>
          <w:rFonts w:ascii="Arial" w:hAnsi="Arial" w:cs="Arial"/>
        </w:rPr>
        <w:t xml:space="preserve"> See </w:t>
      </w:r>
      <w:r w:rsidRPr="0054482E">
        <w:rPr>
          <w:rFonts w:ascii="Arial" w:hAnsi="Arial" w:cs="Arial"/>
        </w:rPr>
        <w:lastRenderedPageBreak/>
        <w:t>Stone et al.</w:t>
      </w:r>
      <w:r w:rsidR="006F51B3">
        <w:rPr>
          <w:rFonts w:ascii="Arial" w:hAnsi="Arial" w:cs="Arial"/>
        </w:rPr>
        <w:t xml:space="preserve"> </w:t>
      </w:r>
      <w:r w:rsidR="0054482E">
        <w:rPr>
          <w:rFonts w:ascii="Arial" w:hAnsi="Arial" w:cs="Arial"/>
        </w:rPr>
        <w:fldChar w:fldCharType="begin"/>
      </w:r>
      <w:r w:rsidR="00F30351">
        <w:rPr>
          <w:rFonts w:ascii="Arial" w:hAnsi="Arial" w:cs="Arial"/>
        </w:rPr>
        <w:instrText xml:space="preserve"> ADDIN ZOTERO_ITEM CSL_CITATION {"citationID":"a24gkral6ee","properties":{"formattedCitation":"[35]","plainCitation":"[35]","noteIndex":0},"citationItems":[{"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54482E">
        <w:rPr>
          <w:rFonts w:ascii="Arial" w:hAnsi="Arial" w:cs="Arial"/>
        </w:rPr>
        <w:fldChar w:fldCharType="separate"/>
      </w:r>
      <w:r w:rsidR="00F30351" w:rsidRPr="00F30351">
        <w:rPr>
          <w:rFonts w:ascii="Arial" w:hAnsi="Arial" w:cs="Arial"/>
        </w:rPr>
        <w:t>[35]</w:t>
      </w:r>
      <w:r w:rsidR="0054482E">
        <w:rPr>
          <w:rFonts w:ascii="Arial" w:hAnsi="Arial" w:cs="Arial"/>
        </w:rPr>
        <w:fldChar w:fldCharType="end"/>
      </w:r>
      <w:r w:rsidR="0054482E">
        <w:rPr>
          <w:rFonts w:ascii="Arial" w:hAnsi="Arial" w:cs="Arial"/>
        </w:rPr>
        <w:t xml:space="preserve"> </w:t>
      </w:r>
      <w:r w:rsidRPr="0054482E">
        <w:rPr>
          <w:rFonts w:ascii="Arial" w:hAnsi="Arial" w:cs="Arial"/>
        </w:rPr>
        <w:t xml:space="preserve">for further details regarding characteristics of youth and their parents in each subgroup.  </w:t>
      </w:r>
    </w:p>
    <w:p w14:paraId="1681C65D" w14:textId="054C8F05" w:rsidR="00C50A39" w:rsidRDefault="00675D16" w:rsidP="00C50A39">
      <w:pPr>
        <w:shd w:val="clear" w:color="auto" w:fill="FFFFFF"/>
        <w:spacing w:after="0" w:line="480" w:lineRule="auto"/>
        <w:rPr>
          <w:rFonts w:ascii="Arial" w:hAnsi="Arial" w:cs="Arial"/>
        </w:rPr>
      </w:pPr>
      <w:r w:rsidRPr="00C50A39">
        <w:rPr>
          <w:rFonts w:ascii="Arial" w:hAnsi="Arial" w:cs="Arial"/>
          <w:b/>
          <w:bCs/>
          <w:i/>
          <w:iCs/>
        </w:rPr>
        <w:t>O</w:t>
      </w:r>
      <w:r w:rsidR="00434D0B" w:rsidRPr="00C50A39">
        <w:rPr>
          <w:rFonts w:ascii="Arial" w:hAnsi="Arial" w:cs="Arial"/>
          <w:b/>
          <w:bCs/>
          <w:i/>
          <w:iCs/>
        </w:rPr>
        <w:t xml:space="preserve">utcome </w:t>
      </w:r>
      <w:r w:rsidR="00C50A39">
        <w:rPr>
          <w:rFonts w:ascii="Arial" w:hAnsi="Arial" w:cs="Arial"/>
          <w:b/>
          <w:bCs/>
          <w:i/>
          <w:iCs/>
        </w:rPr>
        <w:t>M</w:t>
      </w:r>
      <w:r w:rsidR="00434D0B" w:rsidRPr="00C50A39">
        <w:rPr>
          <w:rFonts w:ascii="Arial" w:hAnsi="Arial" w:cs="Arial"/>
          <w:b/>
          <w:bCs/>
          <w:i/>
          <w:iCs/>
        </w:rPr>
        <w:t>easure</w:t>
      </w:r>
      <w:r w:rsidRPr="00C50A39">
        <w:rPr>
          <w:rFonts w:ascii="Arial" w:hAnsi="Arial" w:cs="Arial"/>
          <w:b/>
          <w:bCs/>
          <w:i/>
          <w:iCs/>
        </w:rPr>
        <w:t>s</w:t>
      </w:r>
    </w:p>
    <w:p w14:paraId="2DEFC42F" w14:textId="5D9ABFE4" w:rsidR="002F6EC3" w:rsidRPr="0054482E" w:rsidRDefault="006E173B" w:rsidP="0054482E">
      <w:pPr>
        <w:spacing w:after="0" w:line="480" w:lineRule="auto"/>
        <w:ind w:firstLine="720"/>
        <w:rPr>
          <w:rFonts w:ascii="Arial" w:hAnsi="Arial" w:cs="Arial"/>
        </w:rPr>
      </w:pPr>
      <w:r w:rsidRPr="0054482E">
        <w:rPr>
          <w:rFonts w:ascii="Arial" w:hAnsi="Arial" w:cs="Arial"/>
        </w:rPr>
        <w:t xml:space="preserve">The primary outcome measure was </w:t>
      </w:r>
      <w:r w:rsidR="00A001E0" w:rsidRPr="0054482E">
        <w:rPr>
          <w:rFonts w:ascii="Arial" w:hAnsi="Arial" w:cs="Arial"/>
        </w:rPr>
        <w:t xml:space="preserve">youth report of </w:t>
      </w:r>
      <w:r w:rsidRPr="0054482E">
        <w:rPr>
          <w:rFonts w:ascii="Arial" w:hAnsi="Arial" w:cs="Arial"/>
        </w:rPr>
        <w:t>GI symptom</w:t>
      </w:r>
      <w:r w:rsidR="002F6EC3" w:rsidRPr="0054482E">
        <w:rPr>
          <w:rFonts w:ascii="Arial" w:hAnsi="Arial" w:cs="Arial"/>
        </w:rPr>
        <w:t xml:space="preserve"> severity</w:t>
      </w:r>
      <w:r w:rsidRPr="0054482E">
        <w:rPr>
          <w:rFonts w:ascii="Arial" w:hAnsi="Arial" w:cs="Arial"/>
        </w:rPr>
        <w:t xml:space="preserve"> </w:t>
      </w:r>
      <w:r w:rsidR="002F6EC3" w:rsidRPr="0054482E">
        <w:rPr>
          <w:rFonts w:ascii="Arial" w:hAnsi="Arial" w:cs="Arial"/>
        </w:rPr>
        <w:t>assessed by</w:t>
      </w:r>
      <w:r w:rsidRPr="0054482E">
        <w:rPr>
          <w:rFonts w:ascii="Arial" w:hAnsi="Arial" w:cs="Arial"/>
        </w:rPr>
        <w:t xml:space="preserve"> t</w:t>
      </w:r>
      <w:r w:rsidR="00434D0B" w:rsidRPr="0054482E">
        <w:rPr>
          <w:rFonts w:ascii="Arial" w:hAnsi="Arial" w:cs="Arial"/>
        </w:rPr>
        <w:t xml:space="preserve">he </w:t>
      </w:r>
      <w:r w:rsidR="008234B6" w:rsidRPr="0054482E">
        <w:rPr>
          <w:rFonts w:ascii="Arial" w:hAnsi="Arial" w:cs="Arial"/>
        </w:rPr>
        <w:t xml:space="preserve">GI Symptom Subscale of the </w:t>
      </w:r>
      <w:r w:rsidR="00434D0B" w:rsidRPr="0054482E">
        <w:rPr>
          <w:rFonts w:ascii="Arial" w:hAnsi="Arial" w:cs="Arial"/>
        </w:rPr>
        <w:t>Children’s Somatic Symptoms Inventory</w:t>
      </w:r>
      <w:r w:rsidR="004A0D81" w:rsidRPr="0054482E">
        <w:rPr>
          <w:rFonts w:ascii="Arial" w:hAnsi="Arial" w:cs="Arial"/>
        </w:rPr>
        <w:t xml:space="preserve"> (CSSI-24</w:t>
      </w:r>
      <w:r w:rsidR="006F51B3">
        <w:rPr>
          <w:rFonts w:ascii="Arial" w:hAnsi="Arial" w:cs="Arial"/>
        </w:rPr>
        <w:t xml:space="preserve">, </w:t>
      </w:r>
      <w:r w:rsidR="00BA68E8" w:rsidRPr="0054482E">
        <w:rPr>
          <w:rFonts w:ascii="Arial" w:hAnsi="Arial" w:cs="Arial"/>
        </w:rPr>
        <w:fldChar w:fldCharType="begin"/>
      </w:r>
      <w:r w:rsidR="00F30351">
        <w:rPr>
          <w:rFonts w:ascii="Arial" w:hAnsi="Arial" w:cs="Arial"/>
        </w:rPr>
        <w:instrText xml:space="preserve"> ADDIN ZOTERO_ITEM CSL_CITATION {"citationID":"ai77j6i3ad","properties":{"formattedCitation":"[36,45,46]","plainCitation":"[36,45,46]","noteIndex":0},"citationItems":[{"id":229,"uris":["http://zotero.org/users/7139165/items/UKN7LRNT"],"uri":["http://zotero.org/users/7139165/items/UKN7LRNT"],"itemData":{"id":229,"type":"article-journal","container-title":"The Journal of Pain","DOI":"10.1016/j.jpain.2019.02.005","ISSN":"15265900","issue":"8","journalAbbreviation":"The Journal of Pain","language":"en","page":"932-940","source":"DOI.org (Crossref)","title":"Somatic symptoms in pediatric patients with chronic pain: Proposed clinical reference points for the Children's Somatic Symptoms Inventory (formerly the Children's Somatization Inventory)","title-short":"Somatic Symptoms in Pediatric Patients With Chronic Pain","volume":"20","author":[{"family":"Stone","given":"Amanda L."},{"family":"Walker","given":"Lynn S."},{"family":"Heathcote","given":"Lauren C."},{"family":"Hernandez","given":"J. Maya"},{"family":"Basch","given":"Molly C."},{"family":"Wilson","given":"Anna C."},{"family":"Simons","given":"Laura E."}],"issued":{"date-parts":[["2019",8]]}}},{"id":228,"uris":["http://zotero.org/users/7139165/items/Z3GM4N7Z"],"uri":["http://zotero.org/users/7139165/items/Z3GM4N7Z"],"itemData":{"id":228,"type":"article-journal","abstract":"Objective: To conduct a multi method psychometric evaluation to refine the Children’s Somatization Inventory (CSI) and to investigate its dimensionality. Method: The CSI was administered to 876 pediatric patients with chronic abdominal pain at their initial visit to a pediatric gastroenterology clinic. Tools from three psychometric models identified items that most effectively measured the construct of somatization and examined its dimensionality. Results: Eleven statistically weak items were identified and removed, creating a 24-item CSI (CSI-24). The CSI-24 showed good psychometrics according to the three measurement models and correlated .99 with the original CSI. The CSI-24 has one dominant general factor but is not strictly unidimensional. Conclusions: The CSI-24 is a reliable and psychometrically sound refinement of the original CSI. Findings are consistent with the view that somatization has a strong general factor that represents a continuum of symptom reporting, as well as minor components that represent specific symptom clusters in youth with chronic abdominal pain. (PsycINFO Database Record (c) 2016 APA, all rights reserved)","container-title":"Journal of Pediatric Psychology","DOI":"10.1093/jpepsy/jsn093","ISSN":"1465-735X(Electronic),0146-8693(Print)","issue":"4","note":"publisher-place: United Kingdom\npublisher: Oxford University Press","page":"430-440","source":"APA PsycNET","title":"Children’s Somatization Inventory: Psychometric properties of the revised form (CSI-24)","title-short":"Children’s Somatization Inventory","volume":"34","author":[{"family":"Walker","given":"Lynn S."},{"family":"Beck","given":"Joy E."},{"family":"Garber","given":"Judy"},{"family":"Lambert","given":"Warren"}],"issued":{"date-parts":[["2009"]]}}},{"id":234,"uris":["http://zotero.org/users/7139165/items/MTEUGMSI"],"uri":["http://zotero.org/users/7139165/items/MTEUGMSI"],"itemData":{"id":234,"type":"article","publisher":"Department of Pediatrics, Monroe Carell Jr. Children's Hospital at Vanderbilt","title":"Manual for the Children's Somatic Symptoms Inventory","author":[{"family":"Walker","given":"Lynn S."},{"family":"Garber","given":"Judy"}],"issued":{"date-parts":[["2018"]]}}}],"schema":"https://github.com/citation-style-language/schema/raw/master/csl-citation.json"} </w:instrText>
      </w:r>
      <w:r w:rsidR="00BA68E8" w:rsidRPr="0054482E">
        <w:rPr>
          <w:rFonts w:ascii="Arial" w:hAnsi="Arial" w:cs="Arial"/>
        </w:rPr>
        <w:fldChar w:fldCharType="separate"/>
      </w:r>
      <w:r w:rsidR="00F30351" w:rsidRPr="00F30351">
        <w:rPr>
          <w:rFonts w:ascii="Arial" w:hAnsi="Arial" w:cs="Arial"/>
        </w:rPr>
        <w:t>[36,45,46]</w:t>
      </w:r>
      <w:r w:rsidR="00BA68E8" w:rsidRPr="0054482E">
        <w:rPr>
          <w:rFonts w:ascii="Arial" w:hAnsi="Arial" w:cs="Arial"/>
        </w:rPr>
        <w:fldChar w:fldCharType="end"/>
      </w:r>
      <w:r w:rsidR="006F51B3">
        <w:rPr>
          <w:rFonts w:ascii="Arial" w:hAnsi="Arial" w:cs="Arial"/>
        </w:rPr>
        <w:t>).</w:t>
      </w:r>
      <w:r w:rsidRPr="0054482E">
        <w:rPr>
          <w:rFonts w:ascii="Arial" w:hAnsi="Arial" w:cs="Arial"/>
        </w:rPr>
        <w:t xml:space="preserve"> </w:t>
      </w:r>
      <w:r w:rsidR="002F6EC3" w:rsidRPr="0054482E">
        <w:rPr>
          <w:rFonts w:ascii="Arial" w:hAnsi="Arial" w:cs="Arial"/>
        </w:rPr>
        <w:t xml:space="preserve">Participants rated how much they were bothered by each symptom on a 5-point Likert scale ranging from (0) not at all to (4) a whole lot. The GI subscale comprises 7 items which assess nausea, constipation, </w:t>
      </w:r>
      <w:proofErr w:type="spellStart"/>
      <w:r w:rsidR="002F6EC3" w:rsidRPr="0054482E">
        <w:rPr>
          <w:rFonts w:ascii="Arial" w:hAnsi="Arial" w:cs="Arial"/>
        </w:rPr>
        <w:t>diarrhea</w:t>
      </w:r>
      <w:proofErr w:type="spellEnd"/>
      <w:r w:rsidR="002F6EC3" w:rsidRPr="0054482E">
        <w:rPr>
          <w:rFonts w:ascii="Arial" w:hAnsi="Arial" w:cs="Arial"/>
        </w:rPr>
        <w:t>, stomach aches, vomiting, feeling bloated or gassy, and food making you sick. Items are averaged to yield a mean score (range 0 – 4) with higher scores indicating greater GI symptom severity. Alpha reliability for the GI symptoms subscale was adequate across the 5 timepoints (baseline: 0.72, mid-treatment: 0.80, post-treatment: 0.80, 6 months: 0.84, 12 months: 0.85).</w:t>
      </w:r>
    </w:p>
    <w:p w14:paraId="6479213B" w14:textId="3BB37837" w:rsidR="002F6EC3" w:rsidRPr="0054482E" w:rsidRDefault="00434D0B" w:rsidP="0054482E">
      <w:pPr>
        <w:spacing w:after="0" w:line="480" w:lineRule="auto"/>
        <w:ind w:firstLine="720"/>
        <w:rPr>
          <w:rFonts w:ascii="Arial" w:hAnsi="Arial" w:cs="Arial"/>
        </w:rPr>
      </w:pPr>
      <w:r w:rsidRPr="0054482E">
        <w:rPr>
          <w:rFonts w:ascii="Arial" w:hAnsi="Arial" w:cs="Arial"/>
        </w:rPr>
        <w:t>Secondary outcome measures</w:t>
      </w:r>
      <w:r w:rsidR="00675D16" w:rsidRPr="0054482E">
        <w:rPr>
          <w:rFonts w:ascii="Arial" w:hAnsi="Arial" w:cs="Arial"/>
        </w:rPr>
        <w:t xml:space="preserve"> </w:t>
      </w:r>
      <w:r w:rsidR="006156E6" w:rsidRPr="0054482E">
        <w:rPr>
          <w:rFonts w:ascii="Arial" w:hAnsi="Arial" w:cs="Arial"/>
        </w:rPr>
        <w:t xml:space="preserve">were </w:t>
      </w:r>
      <w:r w:rsidR="00CA265A" w:rsidRPr="0054482E">
        <w:rPr>
          <w:rFonts w:ascii="Arial" w:hAnsi="Arial" w:cs="Arial"/>
        </w:rPr>
        <w:t xml:space="preserve">youth report of abdominal pain severity on the </w:t>
      </w:r>
      <w:r w:rsidR="006E173B" w:rsidRPr="0054482E">
        <w:rPr>
          <w:rFonts w:ascii="Arial" w:hAnsi="Arial" w:cs="Arial"/>
        </w:rPr>
        <w:t>Abdominal Pain Index (API</w:t>
      </w:r>
      <w:r w:rsidR="00283C5F">
        <w:rPr>
          <w:rFonts w:ascii="Arial" w:hAnsi="Arial" w:cs="Arial"/>
        </w:rPr>
        <w:t xml:space="preserve">, </w:t>
      </w:r>
      <w:r w:rsidR="00BA68E8" w:rsidRPr="0054482E">
        <w:rPr>
          <w:rFonts w:ascii="Arial" w:hAnsi="Arial" w:cs="Arial"/>
        </w:rPr>
        <w:fldChar w:fldCharType="begin"/>
      </w:r>
      <w:r w:rsidR="00F30351">
        <w:rPr>
          <w:rFonts w:ascii="Arial" w:hAnsi="Arial" w:cs="Arial"/>
        </w:rPr>
        <w:instrText xml:space="preserve"> ADDIN ZOTERO_ITEM CSL_CITATION {"citationID":"a173hadji1v","properties":{"formattedCitation":"[15]","plainCitation":"[15]","noteIndex":0},"citationItems":[{"id":158,"uris":["http://zotero.org/users/7139165/items/2WTX7L9L"],"uri":["http://zotero.org/users/7139165/items/2WTX7L9L"],"itemData":{"id":158,"type":"article-journal","abstract":"OBJECTIVE: Evaluate the psychometric properties of child- and parent-report versions of the four-item Abdominal Pain Index (API) in children with functional abdominal pain (FAP) and healthy controls, using a revised scoring method that facilitates comparisons of scores across samples and time.\nMETHODS: Pediatric patients aged 8-18 years with FAP and controls completed the API at baseline (N = 1,967); a subset of their parents (N = 290) completed the API regarding the child's pain. Subsets of patients completed follow-up assessments at 2 weeks (N = 231), 3 months (N = 330), and 6 months (N = 107). Subsets of both patients (N = 389) and healthy controls (N = 172) completed a long-term follow-up assessment (mean age at follow-up = 20.21 years, SD = 3.75).\nRESULTS: The API demonstrated good concurrent, discriminant, and construct validity, as well as good internal consistency.\nCONCLUSION: We conclude that the API, using the revised scoring method, is a useful, reliable, and valid measure of abdominal pain severity.","container-title":"Journal of Pediatric Psychology","DOI":"10.1093/jpepsy/jsu118","ISSN":"1465-735X","issue":"5","journalAbbreviation":"J Pediatr Psychol","language":"eng","note":"PMID: 25617048\nPMCID: PMC4502391","page":"517-525","source":"PubMed","title":"Validation of the Abdominal Pain Index using a revised scoring method","volume":"40","author":[{"family":"Laird","given":"Kelsey T."},{"family":"Sherman","given":"Amanda L."},{"family":"Smith","given":"Craig A."},{"family":"Walker","given":"Lynn S."}],"issued":{"date-parts":[["2015",6]]}}}],"schema":"https://github.com/citation-style-language/schema/raw/master/csl-citation.json"} </w:instrText>
      </w:r>
      <w:r w:rsidR="00BA68E8" w:rsidRPr="0054482E">
        <w:rPr>
          <w:rFonts w:ascii="Arial" w:hAnsi="Arial" w:cs="Arial"/>
        </w:rPr>
        <w:fldChar w:fldCharType="separate"/>
      </w:r>
      <w:r w:rsidR="007346C0" w:rsidRPr="007346C0">
        <w:rPr>
          <w:rFonts w:ascii="Arial" w:hAnsi="Arial" w:cs="Arial"/>
        </w:rPr>
        <w:t>[15]</w:t>
      </w:r>
      <w:r w:rsidR="00BA68E8" w:rsidRPr="0054482E">
        <w:rPr>
          <w:rFonts w:ascii="Arial" w:hAnsi="Arial" w:cs="Arial"/>
        </w:rPr>
        <w:fldChar w:fldCharType="end"/>
      </w:r>
      <w:r w:rsidR="00283C5F">
        <w:rPr>
          <w:rFonts w:ascii="Arial" w:hAnsi="Arial" w:cs="Arial"/>
        </w:rPr>
        <w:t>)</w:t>
      </w:r>
      <w:r w:rsidR="00DB5B25" w:rsidRPr="0054482E">
        <w:rPr>
          <w:rFonts w:ascii="Arial" w:hAnsi="Arial" w:cs="Arial"/>
        </w:rPr>
        <w:t xml:space="preserve"> </w:t>
      </w:r>
      <w:r w:rsidR="00CA265A" w:rsidRPr="0054482E">
        <w:rPr>
          <w:rFonts w:ascii="Arial" w:hAnsi="Arial" w:cs="Arial"/>
        </w:rPr>
        <w:t>and</w:t>
      </w:r>
      <w:r w:rsidR="00C01F38" w:rsidRPr="0054482E">
        <w:rPr>
          <w:rFonts w:ascii="Arial" w:hAnsi="Arial" w:cs="Arial"/>
        </w:rPr>
        <w:t xml:space="preserve"> </w:t>
      </w:r>
      <w:r w:rsidR="00CA265A" w:rsidRPr="0054482E">
        <w:rPr>
          <w:rFonts w:ascii="Arial" w:hAnsi="Arial" w:cs="Arial"/>
        </w:rPr>
        <w:t xml:space="preserve">youth report of </w:t>
      </w:r>
      <w:r w:rsidR="00C35680" w:rsidRPr="0054482E">
        <w:rPr>
          <w:rFonts w:ascii="Arial" w:hAnsi="Arial" w:cs="Arial"/>
        </w:rPr>
        <w:t>pain interference</w:t>
      </w:r>
      <w:r w:rsidR="00CA265A" w:rsidRPr="0054482E">
        <w:rPr>
          <w:rFonts w:ascii="Arial" w:hAnsi="Arial" w:cs="Arial"/>
        </w:rPr>
        <w:t xml:space="preserve"> on the </w:t>
      </w:r>
      <w:r w:rsidRPr="0054482E">
        <w:rPr>
          <w:rFonts w:ascii="Arial" w:hAnsi="Arial" w:cs="Arial"/>
        </w:rPr>
        <w:t>PROMIS Pain Interference</w:t>
      </w:r>
      <w:r w:rsidR="000D39C3" w:rsidRPr="0054482E">
        <w:rPr>
          <w:rFonts w:ascii="Arial" w:hAnsi="Arial" w:cs="Arial"/>
        </w:rPr>
        <w:t xml:space="preserve"> scal</w:t>
      </w:r>
      <w:r w:rsidR="00BA68E8" w:rsidRPr="0054482E">
        <w:rPr>
          <w:rFonts w:ascii="Arial" w:hAnsi="Arial" w:cs="Arial"/>
        </w:rPr>
        <w:t>e</w:t>
      </w:r>
      <w:r w:rsidR="00283C5F">
        <w:rPr>
          <w:rFonts w:ascii="Arial" w:hAnsi="Arial" w:cs="Arial"/>
        </w:rPr>
        <w:t xml:space="preserve"> </w:t>
      </w:r>
      <w:r w:rsidR="00BA68E8" w:rsidRPr="0054482E">
        <w:rPr>
          <w:rFonts w:ascii="Arial" w:hAnsi="Arial" w:cs="Arial"/>
        </w:rPr>
        <w:fldChar w:fldCharType="begin"/>
      </w:r>
      <w:r w:rsidR="00F30351">
        <w:rPr>
          <w:rFonts w:ascii="Arial" w:hAnsi="Arial" w:cs="Arial"/>
        </w:rPr>
        <w:instrText xml:space="preserve"> ADDIN ZOTERO_ITEM CSL_CITATION {"citationID":"a28mq5prfdu","properties":{"formattedCitation":"[42]","plainCitation":"[42]","noteIndex":0},"citationItems":[{"id":222,"uris":["http://zotero.org/users/7139165/items/H28KNMY3"],"uri":["http://zotero.org/users/7139165/items/H28KNMY3"],"itemData":{"id":222,"type":"article-journal","abstract":"An aim of the National Institutes of Health (NIH) Patient Reported Outcomes Measurement Information System (PROMIS) initiative is to develop item banks and computerized adaptive tests (CAT) that are applicable across a wide variety of chronic disorders. The PROMIS Pediatric Cooperative Group has concentrated on the development of pediatric self-report item banks for ages 8 through 17 years. The objective of the present study is to describe the Item Response Theory (IRT) analysis of the NIH PROMIS pediatric pain item bank and the measurement properties of the new unidimensional PROMIS Pediatric Pain Interference Scale. Test forms containing pediatric pain items were completed by a total of 3048 respondents. IRT analyses regarding scale dimensionality, item local dependence, and differential item functioning were conducted. A pain item pool was developed to yield scores on a T-score scale with a mean of 50 and standard deviation of 10. The recommended 8-item unidimensional short form for the PROMIS Pediatric Pain Interference Scale contains the item set which provides the maximum test information at the mean (50) on the T-score metric. A simulated CAT was computed that provides the most information at 5 possible score locations (30, 40, 50, 60, and 70 on the T-score metric).\nPerspective\nThe present study provides initial calibrations of the NIH PROMIS pediatric pain item bank and the creation of the PROMIS Pediatric Pain Interference Scale. It is anticipated that this new scale will have application in pediatric chronic and recurrent pain.","container-title":"The Journal of Pain","DOI":"10.1016/j.jpain.2010.02.005","ISSN":"1526-5900","issue":"11","journalAbbreviation":"The Journal of Pain","language":"en","page":"1109-1119","source":"ScienceDirect","title":"PROMIS Pediatric Pain Interference Scale: An item response theory analysis of the pediatric pain item bank","title-short":"PROMIS Pediatric Pain Interference Scale","volume":"11","author":[{"family":"Varni","given":"James W."},{"family":"Stucky","given":"Brian D."},{"family":"Thissen","given":"David"},{"family":"DeWitt","given":"Esi Morgan"},{"family":"Irwin","given":"Debra E."},{"family":"Lai","given":"Jin-Shei"},{"family":"Yeatts","given":"Karin"},{"family":"DeWalt","given":"Darren A."}],"issued":{"date-parts":[["2010",11,1]]}}}],"schema":"https://github.com/citation-style-language/schema/raw/master/csl-citation.json"} </w:instrText>
      </w:r>
      <w:r w:rsidR="00BA68E8" w:rsidRPr="0054482E">
        <w:rPr>
          <w:rFonts w:ascii="Arial" w:hAnsi="Arial" w:cs="Arial"/>
        </w:rPr>
        <w:fldChar w:fldCharType="separate"/>
      </w:r>
      <w:r w:rsidR="00F30351" w:rsidRPr="00F30351">
        <w:rPr>
          <w:rFonts w:ascii="Arial" w:hAnsi="Arial" w:cs="Arial"/>
        </w:rPr>
        <w:t>[42]</w:t>
      </w:r>
      <w:r w:rsidR="00BA68E8" w:rsidRPr="0054482E">
        <w:rPr>
          <w:rFonts w:ascii="Arial" w:hAnsi="Arial" w:cs="Arial"/>
        </w:rPr>
        <w:fldChar w:fldCharType="end"/>
      </w:r>
      <w:r w:rsidR="00283C5F">
        <w:rPr>
          <w:rFonts w:ascii="Arial" w:hAnsi="Arial" w:cs="Arial"/>
        </w:rPr>
        <w:t>.</w:t>
      </w:r>
      <w:r w:rsidR="00365A1B" w:rsidRPr="0054482E">
        <w:rPr>
          <w:rFonts w:ascii="Arial" w:hAnsi="Arial" w:cs="Arial"/>
        </w:rPr>
        <w:t xml:space="preserve"> </w:t>
      </w:r>
      <w:r w:rsidR="002F6EC3" w:rsidRPr="0054482E">
        <w:rPr>
          <w:rFonts w:ascii="Arial" w:hAnsi="Arial" w:cs="Arial"/>
        </w:rPr>
        <w:t xml:space="preserve">The Abdominal Pain Index (API) represents a composite of </w:t>
      </w:r>
      <w:r w:rsidR="004F585B">
        <w:rPr>
          <w:rFonts w:ascii="Arial" w:hAnsi="Arial" w:cs="Arial"/>
        </w:rPr>
        <w:t xml:space="preserve">abdominal </w:t>
      </w:r>
      <w:r w:rsidR="002F6EC3" w:rsidRPr="0054482E">
        <w:rPr>
          <w:rFonts w:ascii="Arial" w:hAnsi="Arial" w:cs="Arial"/>
        </w:rPr>
        <w:t>pain frequency, duration, and intensity</w:t>
      </w:r>
      <w:r w:rsidR="00283C5F">
        <w:rPr>
          <w:rFonts w:ascii="Arial" w:hAnsi="Arial" w:cs="Arial"/>
        </w:rPr>
        <w:t xml:space="preserve"> </w:t>
      </w:r>
      <w:r w:rsidR="00283C5F">
        <w:rPr>
          <w:rFonts w:ascii="Arial" w:hAnsi="Arial" w:cs="Arial"/>
        </w:rPr>
        <w:fldChar w:fldCharType="begin"/>
      </w:r>
      <w:r w:rsidR="00F30351">
        <w:rPr>
          <w:rFonts w:ascii="Arial" w:hAnsi="Arial" w:cs="Arial"/>
        </w:rPr>
        <w:instrText xml:space="preserve"> ADDIN ZOTERO_ITEM CSL_CITATION {"citationID":"a26aa3bkg8h","properties":{"formattedCitation":"[15]","plainCitation":"[15]","noteIndex":0},"citationItems":[{"id":158,"uris":["http://zotero.org/users/7139165/items/2WTX7L9L"],"uri":["http://zotero.org/users/7139165/items/2WTX7L9L"],"itemData":{"id":158,"type":"article-journal","abstract":"OBJECTIVE: Evaluate the psychometric properties of child- and parent-report versions of the four-item Abdominal Pain Index (API) in children with functional abdominal pain (FAP) and healthy controls, using a revised scoring method that facilitates comparisons of scores across samples and time.\nMETHODS: Pediatric patients aged 8-18 years with FAP and controls completed the API at baseline (N = 1,967); a subset of their parents (N = 290) completed the API regarding the child's pain. Subsets of patients completed follow-up assessments at 2 weeks (N = 231), 3 months (N = 330), and 6 months (N = 107). Subsets of both patients (N = 389) and healthy controls (N = 172) completed a long-term follow-up assessment (mean age at follow-up = 20.21 years, SD = 3.75).\nRESULTS: The API demonstrated good concurrent, discriminant, and construct validity, as well as good internal consistency.\nCONCLUSION: We conclude that the API, using the revised scoring method, is a useful, reliable, and valid measure of abdominal pain severity.","container-title":"Journal of Pediatric Psychology","DOI":"10.1093/jpepsy/jsu118","ISSN":"1465-735X","issue":"5","journalAbbreviation":"J Pediatr Psychol","language":"eng","note":"PMID: 25617048\nPMCID: PMC4502391","page":"517-525","source":"PubMed","title":"Validation of the Abdominal Pain Index using a revised scoring method","volume":"40","author":[{"family":"Laird","given":"Kelsey T."},{"family":"Sherman","given":"Amanda L."},{"family":"Smith","given":"Craig A."},{"family":"Walker","given":"Lynn S."}],"issued":{"date-parts":[["2015",6]]}}}],"schema":"https://github.com/citation-style-language/schema/raw/master/csl-citation.json"} </w:instrText>
      </w:r>
      <w:r w:rsidR="00283C5F">
        <w:rPr>
          <w:rFonts w:ascii="Arial" w:hAnsi="Arial" w:cs="Arial"/>
        </w:rPr>
        <w:fldChar w:fldCharType="separate"/>
      </w:r>
      <w:r w:rsidR="007346C0" w:rsidRPr="007346C0">
        <w:rPr>
          <w:rFonts w:ascii="Arial" w:hAnsi="Arial" w:cs="Arial"/>
        </w:rPr>
        <w:t>[15]</w:t>
      </w:r>
      <w:r w:rsidR="00283C5F">
        <w:rPr>
          <w:rFonts w:ascii="Arial" w:hAnsi="Arial" w:cs="Arial"/>
        </w:rPr>
        <w:fldChar w:fldCharType="end"/>
      </w:r>
      <w:r w:rsidR="002F6EC3" w:rsidRPr="0054482E">
        <w:rPr>
          <w:rFonts w:ascii="Arial" w:hAnsi="Arial" w:cs="Arial"/>
        </w:rPr>
        <w:t xml:space="preserve">. </w:t>
      </w:r>
      <w:r w:rsidR="002F6EC3" w:rsidRPr="0054482E">
        <w:rPr>
          <w:rFonts w:ascii="Arial" w:hAnsi="Arial" w:cs="Arial"/>
          <w:color w:val="2A2A2A"/>
          <w:shd w:val="clear" w:color="auto" w:fill="FFFFFF"/>
        </w:rPr>
        <w:t>The frequency of abdominal pain episodes during the previous 2 weeks is rated on a 6-point scale ranging from </w:t>
      </w:r>
      <w:r w:rsidR="002F6EC3" w:rsidRPr="0054482E">
        <w:rPr>
          <w:rStyle w:val="Emphasis"/>
          <w:rFonts w:ascii="Arial" w:hAnsi="Arial" w:cs="Arial"/>
          <w:color w:val="2A2A2A"/>
          <w:bdr w:val="none" w:sz="0" w:space="0" w:color="auto" w:frame="1"/>
          <w:shd w:val="clear" w:color="auto" w:fill="FFFFFF"/>
        </w:rPr>
        <w:t>not at all</w:t>
      </w:r>
      <w:r w:rsidR="002F6EC3" w:rsidRPr="0054482E">
        <w:rPr>
          <w:rFonts w:ascii="Arial" w:hAnsi="Arial" w:cs="Arial"/>
          <w:color w:val="2A2A2A"/>
          <w:shd w:val="clear" w:color="auto" w:fill="FFFFFF"/>
        </w:rPr>
        <w:t> (0) to </w:t>
      </w:r>
      <w:r w:rsidR="002F6EC3" w:rsidRPr="0054482E">
        <w:rPr>
          <w:rStyle w:val="Emphasis"/>
          <w:rFonts w:ascii="Arial" w:hAnsi="Arial" w:cs="Arial"/>
          <w:color w:val="2A2A2A"/>
          <w:bdr w:val="none" w:sz="0" w:space="0" w:color="auto" w:frame="1"/>
          <w:shd w:val="clear" w:color="auto" w:fill="FFFFFF"/>
        </w:rPr>
        <w:t>every day</w:t>
      </w:r>
      <w:r w:rsidR="002F6EC3" w:rsidRPr="0054482E">
        <w:rPr>
          <w:rFonts w:ascii="Arial" w:hAnsi="Arial" w:cs="Arial"/>
          <w:color w:val="2A2A2A"/>
          <w:shd w:val="clear" w:color="auto" w:fill="FFFFFF"/>
        </w:rPr>
        <w:t> (5). The typical daily frequency of abdominal pain episodes is assessed on a 6-point scale ranging from </w:t>
      </w:r>
      <w:r w:rsidR="002F6EC3" w:rsidRPr="0054482E">
        <w:rPr>
          <w:rStyle w:val="Emphasis"/>
          <w:rFonts w:ascii="Arial" w:hAnsi="Arial" w:cs="Arial"/>
          <w:color w:val="2A2A2A"/>
          <w:bdr w:val="none" w:sz="0" w:space="0" w:color="auto" w:frame="1"/>
          <w:shd w:val="clear" w:color="auto" w:fill="FFFFFF"/>
        </w:rPr>
        <w:t>none</w:t>
      </w:r>
      <w:r w:rsidR="002F6EC3" w:rsidRPr="0054482E">
        <w:rPr>
          <w:rFonts w:ascii="Arial" w:hAnsi="Arial" w:cs="Arial"/>
          <w:color w:val="2A2A2A"/>
          <w:shd w:val="clear" w:color="auto" w:fill="FFFFFF"/>
        </w:rPr>
        <w:t> (0) to </w:t>
      </w:r>
      <w:r w:rsidR="002F6EC3" w:rsidRPr="0054482E">
        <w:rPr>
          <w:rStyle w:val="Emphasis"/>
          <w:rFonts w:ascii="Arial" w:hAnsi="Arial" w:cs="Arial"/>
          <w:color w:val="2A2A2A"/>
          <w:bdr w:val="none" w:sz="0" w:space="0" w:color="auto" w:frame="1"/>
          <w:shd w:val="clear" w:color="auto" w:fill="FFFFFF"/>
        </w:rPr>
        <w:t>constant during the day</w:t>
      </w:r>
      <w:r w:rsidR="002F6EC3" w:rsidRPr="0054482E">
        <w:rPr>
          <w:rFonts w:ascii="Arial" w:hAnsi="Arial" w:cs="Arial"/>
          <w:color w:val="2A2A2A"/>
          <w:shd w:val="clear" w:color="auto" w:fill="FFFFFF"/>
        </w:rPr>
        <w:t> (5). The typical duration of pain episodes is rated on a 9-point scale ranging from </w:t>
      </w:r>
      <w:r w:rsidR="002F6EC3" w:rsidRPr="0054482E">
        <w:rPr>
          <w:rStyle w:val="Emphasis"/>
          <w:rFonts w:ascii="Arial" w:hAnsi="Arial" w:cs="Arial"/>
          <w:color w:val="2A2A2A"/>
          <w:bdr w:val="none" w:sz="0" w:space="0" w:color="auto" w:frame="1"/>
          <w:shd w:val="clear" w:color="auto" w:fill="FFFFFF"/>
        </w:rPr>
        <w:t>none</w:t>
      </w:r>
      <w:r w:rsidR="002F6EC3" w:rsidRPr="0054482E">
        <w:rPr>
          <w:rFonts w:ascii="Arial" w:hAnsi="Arial" w:cs="Arial"/>
          <w:color w:val="2A2A2A"/>
          <w:shd w:val="clear" w:color="auto" w:fill="FFFFFF"/>
        </w:rPr>
        <w:t> (0) to </w:t>
      </w:r>
      <w:r w:rsidR="002F6EC3" w:rsidRPr="0054482E">
        <w:rPr>
          <w:rStyle w:val="Emphasis"/>
          <w:rFonts w:ascii="Arial" w:hAnsi="Arial" w:cs="Arial"/>
          <w:color w:val="2A2A2A"/>
          <w:bdr w:val="none" w:sz="0" w:space="0" w:color="auto" w:frame="1"/>
          <w:shd w:val="clear" w:color="auto" w:fill="FFFFFF"/>
        </w:rPr>
        <w:t>all day</w:t>
      </w:r>
      <w:r w:rsidR="002F6EC3" w:rsidRPr="0054482E">
        <w:rPr>
          <w:rFonts w:ascii="Arial" w:hAnsi="Arial" w:cs="Arial"/>
          <w:color w:val="2A2A2A"/>
          <w:shd w:val="clear" w:color="auto" w:fill="FFFFFF"/>
        </w:rPr>
        <w:t> (8). The typical intensity of abdominal pain in the past 2 weeks is rated on an 11-point scale ranging from </w:t>
      </w:r>
      <w:r w:rsidR="002F6EC3" w:rsidRPr="0054482E">
        <w:rPr>
          <w:rStyle w:val="Emphasis"/>
          <w:rFonts w:ascii="Arial" w:hAnsi="Arial" w:cs="Arial"/>
          <w:color w:val="2A2A2A"/>
          <w:bdr w:val="none" w:sz="0" w:space="0" w:color="auto" w:frame="1"/>
          <w:shd w:val="clear" w:color="auto" w:fill="FFFFFF"/>
        </w:rPr>
        <w:t>no pain</w:t>
      </w:r>
      <w:r w:rsidR="002F6EC3" w:rsidRPr="0054482E">
        <w:rPr>
          <w:rFonts w:ascii="Arial" w:hAnsi="Arial" w:cs="Arial"/>
          <w:color w:val="2A2A2A"/>
          <w:shd w:val="clear" w:color="auto" w:fill="FFFFFF"/>
        </w:rPr>
        <w:t> (0) to </w:t>
      </w:r>
      <w:r w:rsidR="002F6EC3" w:rsidRPr="0054482E">
        <w:rPr>
          <w:rStyle w:val="Emphasis"/>
          <w:rFonts w:ascii="Arial" w:hAnsi="Arial" w:cs="Arial"/>
          <w:color w:val="2A2A2A"/>
          <w:bdr w:val="none" w:sz="0" w:space="0" w:color="auto" w:frame="1"/>
          <w:shd w:val="clear" w:color="auto" w:fill="FFFFFF"/>
        </w:rPr>
        <w:t>the most pain possible</w:t>
      </w:r>
      <w:r w:rsidR="002F6EC3" w:rsidRPr="0054482E">
        <w:rPr>
          <w:rFonts w:ascii="Arial" w:hAnsi="Arial" w:cs="Arial"/>
          <w:color w:val="2A2A2A"/>
          <w:shd w:val="clear" w:color="auto" w:fill="FFFFFF"/>
        </w:rPr>
        <w:t> (10). </w:t>
      </w:r>
      <w:r w:rsidR="00E374FB">
        <w:rPr>
          <w:rFonts w:ascii="Arial" w:hAnsi="Arial" w:cs="Arial"/>
          <w:color w:val="2A2A2A"/>
          <w:shd w:val="clear" w:color="auto" w:fill="FFFFFF"/>
        </w:rPr>
        <w:t>A</w:t>
      </w:r>
      <w:r w:rsidR="002F6EC3" w:rsidRPr="0054482E">
        <w:rPr>
          <w:rFonts w:ascii="Arial" w:hAnsi="Arial" w:cs="Arial"/>
          <w:color w:val="2A2A2A"/>
          <w:shd w:val="clear" w:color="auto" w:fill="FFFFFF"/>
        </w:rPr>
        <w:t xml:space="preserve"> composite score for the </w:t>
      </w:r>
      <w:r w:rsidR="002F6EC3" w:rsidRPr="001D01B7">
        <w:rPr>
          <w:rFonts w:ascii="Arial" w:hAnsi="Arial" w:cs="Arial"/>
          <w:color w:val="2A2A2A"/>
          <w:highlight w:val="yellow"/>
          <w:shd w:val="clear" w:color="auto" w:fill="FFFFFF"/>
        </w:rPr>
        <w:t>API</w:t>
      </w:r>
      <w:r w:rsidR="00E374FB" w:rsidRPr="001D01B7">
        <w:rPr>
          <w:rFonts w:ascii="Arial" w:hAnsi="Arial" w:cs="Arial"/>
          <w:color w:val="2A2A2A"/>
          <w:highlight w:val="yellow"/>
          <w:shd w:val="clear" w:color="auto" w:fill="FFFFFF"/>
        </w:rPr>
        <w:t xml:space="preserve"> was computed by placing each item on a (0-5) six-point scale, and then converting the mean of these items to a (0-4) five-point scale</w:t>
      </w:r>
      <w:r w:rsidR="002F6EC3" w:rsidRPr="0054482E">
        <w:rPr>
          <w:rFonts w:ascii="Arial" w:hAnsi="Arial" w:cs="Arial"/>
          <w:color w:val="2A2A2A"/>
          <w:shd w:val="clear" w:color="auto" w:fill="FFFFFF"/>
        </w:rPr>
        <w:t xml:space="preserve"> to put this measure on the same scale as other self-reported measures of pain characteristics (e.g., CSSI-24, PBQ-SF)</w:t>
      </w:r>
      <w:r w:rsidR="00E374FB">
        <w:rPr>
          <w:rFonts w:ascii="Arial" w:hAnsi="Arial" w:cs="Arial"/>
          <w:color w:val="2A2A2A"/>
          <w:shd w:val="clear" w:color="auto" w:fill="FFFFFF"/>
        </w:rPr>
        <w:t>.</w:t>
      </w:r>
      <w:r w:rsidR="002F6EC3" w:rsidRPr="0054482E">
        <w:rPr>
          <w:rFonts w:ascii="Arial" w:hAnsi="Arial" w:cs="Arial"/>
          <w:color w:val="2A2A2A"/>
          <w:shd w:val="clear" w:color="auto" w:fill="FFFFFF"/>
        </w:rPr>
        <w:t xml:space="preserve"> Higher scores on the API indicate greater abdominal pain severity. </w:t>
      </w:r>
      <w:r w:rsidR="002F6EC3" w:rsidRPr="0054482E">
        <w:rPr>
          <w:rFonts w:ascii="Arial" w:hAnsi="Arial" w:cs="Arial"/>
        </w:rPr>
        <w:t xml:space="preserve">Alpha reliability for the API was adequate across the 5 timepoints (baseline: 0.79, mid-treatment: 0.87, </w:t>
      </w:r>
      <w:r w:rsidR="002F6EC3" w:rsidRPr="0054482E">
        <w:rPr>
          <w:rFonts w:ascii="Arial" w:hAnsi="Arial" w:cs="Arial"/>
        </w:rPr>
        <w:lastRenderedPageBreak/>
        <w:t>post-treatment: 0.88, 6 months: 0.89, 12 months: 0.92). Note that internal consistency of the API increased as pain decreased given the number of individuals who reported no pain.</w:t>
      </w:r>
    </w:p>
    <w:p w14:paraId="02DF0F78" w14:textId="451F82CC" w:rsidR="002F6EC3" w:rsidRPr="0054482E" w:rsidRDefault="002F6EC3" w:rsidP="0054482E">
      <w:pPr>
        <w:spacing w:after="0" w:line="480" w:lineRule="auto"/>
        <w:ind w:firstLine="720"/>
        <w:rPr>
          <w:rFonts w:ascii="Arial" w:hAnsi="Arial" w:cs="Arial"/>
        </w:rPr>
      </w:pPr>
      <w:r w:rsidRPr="0054482E">
        <w:rPr>
          <w:rFonts w:ascii="Arial" w:hAnsi="Arial" w:cs="Arial"/>
        </w:rPr>
        <w:t>The PROMIS Pediatric Pain Interference-Short Form 8a</w:t>
      </w:r>
      <w:r w:rsidR="00ED5D6F">
        <w:rPr>
          <w:rFonts w:ascii="Arial" w:hAnsi="Arial" w:cs="Arial"/>
        </w:rPr>
        <w:t xml:space="preserve"> </w:t>
      </w:r>
      <w:r w:rsidR="00ED5D6F">
        <w:rPr>
          <w:rFonts w:ascii="Arial" w:hAnsi="Arial" w:cs="Arial"/>
        </w:rPr>
        <w:fldChar w:fldCharType="begin"/>
      </w:r>
      <w:r w:rsidR="00F30351">
        <w:rPr>
          <w:rFonts w:ascii="Arial" w:hAnsi="Arial" w:cs="Arial"/>
        </w:rPr>
        <w:instrText xml:space="preserve"> ADDIN ZOTERO_ITEM CSL_CITATION {"citationID":"agthvcidj3","properties":{"formattedCitation":"[42]","plainCitation":"[42]","noteIndex":0},"citationItems":[{"id":222,"uris":["http://zotero.org/users/7139165/items/H28KNMY3"],"uri":["http://zotero.org/users/7139165/items/H28KNMY3"],"itemData":{"id":222,"type":"article-journal","abstract":"An aim of the National Institutes of Health (NIH) Patient Reported Outcomes Measurement Information System (PROMIS) initiative is to develop item banks and computerized adaptive tests (CAT) that are applicable across a wide variety of chronic disorders. The PROMIS Pediatric Cooperative Group has concentrated on the development of pediatric self-report item banks for ages 8 through 17 years. The objective of the present study is to describe the Item Response Theory (IRT) analysis of the NIH PROMIS pediatric pain item bank and the measurement properties of the new unidimensional PROMIS Pediatric Pain Interference Scale. Test forms containing pediatric pain items were completed by a total of 3048 respondents. IRT analyses regarding scale dimensionality, item local dependence, and differential item functioning were conducted. A pain item pool was developed to yield scores on a T-score scale with a mean of 50 and standard deviation of 10. The recommended 8-item unidimensional short form for the PROMIS Pediatric Pain Interference Scale contains the item set which provides the maximum test information at the mean (50) on the T-score metric. A simulated CAT was computed that provides the most information at 5 possible score locations (30, 40, 50, 60, and 70 on the T-score metric).\nPerspective\nThe present study provides initial calibrations of the NIH PROMIS pediatric pain item bank and the creation of the PROMIS Pediatric Pain Interference Scale. It is anticipated that this new scale will have application in pediatric chronic and recurrent pain.","container-title":"The Journal of Pain","DOI":"10.1016/j.jpain.2010.02.005","ISSN":"1526-5900","issue":"11","journalAbbreviation":"The Journal of Pain","language":"en","page":"1109-1119","source":"ScienceDirect","title":"PROMIS Pediatric Pain Interference Scale: An item response theory analysis of the pediatric pain item bank","title-short":"PROMIS Pediatric Pain Interference Scale","volume":"11","author":[{"family":"Varni","given":"James W."},{"family":"Stucky","given":"Brian D."},{"family":"Thissen","given":"David"},{"family":"DeWitt","given":"Esi Morgan"},{"family":"Irwin","given":"Debra E."},{"family":"Lai","given":"Jin-Shei"},{"family":"Yeatts","given":"Karin"},{"family":"DeWalt","given":"Darren A."}],"issued":{"date-parts":[["2010",11,1]]}}}],"schema":"https://github.com/citation-style-language/schema/raw/master/csl-citation.json"} </w:instrText>
      </w:r>
      <w:r w:rsidR="00ED5D6F">
        <w:rPr>
          <w:rFonts w:ascii="Arial" w:hAnsi="Arial" w:cs="Arial"/>
        </w:rPr>
        <w:fldChar w:fldCharType="separate"/>
      </w:r>
      <w:r w:rsidR="00F30351" w:rsidRPr="00F30351">
        <w:rPr>
          <w:rFonts w:ascii="Arial" w:hAnsi="Arial" w:cs="Arial"/>
        </w:rPr>
        <w:t>[42]</w:t>
      </w:r>
      <w:r w:rsidR="00ED5D6F">
        <w:rPr>
          <w:rFonts w:ascii="Arial" w:hAnsi="Arial" w:cs="Arial"/>
        </w:rPr>
        <w:fldChar w:fldCharType="end"/>
      </w:r>
      <w:r w:rsidRPr="0054482E">
        <w:rPr>
          <w:rFonts w:ascii="Arial" w:hAnsi="Arial" w:cs="Arial"/>
        </w:rPr>
        <w:t xml:space="preserve"> comprised eight items which assessed self-reported consequences of pain on adolescent’s life, including social, cognitive, emotional, and physical domains over the past seven days (e.g., “It was hard for me to pay attention with I had pain.”, “It was hard to have fun when I had pain.”). Adolescents responded to each item on a five-point scale ranging from (0) never to (4) always. Item responses were summed yielding a total score ranging from 0 to 32 and then converted to T-scores using the PROMIS scoring manual. Higher scores indicate greater interference in activities due to pain. Alpha reliability for the measure was adequate across the 5 timepoints (baseline: 0.85, mid-treatment: 0.91, post-treatment: 0.90, 6 months: 0.90, 12 months: 0.92).</w:t>
      </w:r>
    </w:p>
    <w:p w14:paraId="1D6FA885" w14:textId="179864EC" w:rsidR="00A1497A" w:rsidRPr="00C50A39" w:rsidRDefault="00834A89" w:rsidP="00ED5D6F">
      <w:pPr>
        <w:shd w:val="clear" w:color="auto" w:fill="FFFFFF"/>
        <w:spacing w:after="0" w:line="480" w:lineRule="auto"/>
        <w:ind w:firstLine="720"/>
        <w:rPr>
          <w:rFonts w:ascii="Arial" w:hAnsi="Arial" w:cs="Arial"/>
        </w:rPr>
      </w:pPr>
      <w:r w:rsidRPr="0054482E">
        <w:rPr>
          <w:rFonts w:ascii="Arial" w:hAnsi="Arial" w:cs="Arial"/>
        </w:rPr>
        <w:t>Treatment expectancies, engagement, and satisfaction</w:t>
      </w:r>
      <w:r w:rsidR="00FF28AB">
        <w:rPr>
          <w:rFonts w:ascii="Arial" w:hAnsi="Arial" w:cs="Arial"/>
        </w:rPr>
        <w:t xml:space="preserve"> </w:t>
      </w:r>
      <w:r w:rsidR="00FF28AB" w:rsidRPr="00FF28AB">
        <w:rPr>
          <w:rFonts w:ascii="Arial" w:hAnsi="Arial" w:cs="Arial"/>
          <w:highlight w:val="yellow"/>
        </w:rPr>
        <w:t>were also assessed</w:t>
      </w:r>
      <w:r w:rsidRPr="0054482E">
        <w:rPr>
          <w:rFonts w:ascii="Arial" w:hAnsi="Arial" w:cs="Arial"/>
        </w:rPr>
        <w:t>.</w:t>
      </w:r>
      <w:r w:rsidR="00057603" w:rsidRPr="0054482E">
        <w:rPr>
          <w:rFonts w:ascii="Arial" w:hAnsi="Arial" w:cs="Arial"/>
        </w:rPr>
        <w:t xml:space="preserve"> </w:t>
      </w:r>
      <w:r w:rsidR="00A1497A" w:rsidRPr="0054482E">
        <w:rPr>
          <w:rFonts w:ascii="Arial" w:hAnsi="Arial" w:cs="Arial"/>
        </w:rPr>
        <w:t xml:space="preserve">At the baseline assessment, teens were asked to rate how likely it is that the </w:t>
      </w:r>
      <w:proofErr w:type="spellStart"/>
      <w:r w:rsidR="00A1497A" w:rsidRPr="0054482E">
        <w:rPr>
          <w:rFonts w:ascii="Arial" w:hAnsi="Arial" w:cs="Arial"/>
        </w:rPr>
        <w:t>WebMAP</w:t>
      </w:r>
      <w:proofErr w:type="spellEnd"/>
      <w:r w:rsidR="00A1497A" w:rsidRPr="0054482E">
        <w:rPr>
          <w:rFonts w:ascii="Arial" w:hAnsi="Arial" w:cs="Arial"/>
        </w:rPr>
        <w:t xml:space="preserve"> program would be useful for them and their parent(s), and how likely it is that the program would be helpful overall with managing their pain, using a 5-point scale ranging from (0) </w:t>
      </w:r>
      <w:r w:rsidR="00A1497A" w:rsidRPr="0054482E">
        <w:rPr>
          <w:rFonts w:ascii="Arial" w:hAnsi="Arial" w:cs="Arial"/>
          <w:i/>
        </w:rPr>
        <w:t>not at all likely</w:t>
      </w:r>
      <w:r w:rsidR="00A1497A" w:rsidRPr="0054482E">
        <w:rPr>
          <w:rFonts w:ascii="Arial" w:hAnsi="Arial" w:cs="Arial"/>
        </w:rPr>
        <w:t xml:space="preserve"> to (4) </w:t>
      </w:r>
      <w:r w:rsidR="00A1497A" w:rsidRPr="0054482E">
        <w:rPr>
          <w:rFonts w:ascii="Arial" w:hAnsi="Arial" w:cs="Arial"/>
          <w:i/>
        </w:rPr>
        <w:t>extremely likely</w:t>
      </w:r>
      <w:r w:rsidR="00283C5F">
        <w:rPr>
          <w:rFonts w:ascii="Arial" w:hAnsi="Arial" w:cs="Arial"/>
        </w:rPr>
        <w:t xml:space="preserve"> </w:t>
      </w:r>
      <w:r w:rsidR="00A1497A" w:rsidRPr="0054482E">
        <w:rPr>
          <w:rFonts w:ascii="Arial" w:hAnsi="Arial" w:cs="Arial"/>
        </w:rPr>
        <w:fldChar w:fldCharType="begin"/>
      </w:r>
      <w:r w:rsidR="00F30351">
        <w:rPr>
          <w:rFonts w:ascii="Arial" w:hAnsi="Arial" w:cs="Arial"/>
        </w:rPr>
        <w:instrText xml:space="preserve"> ADDIN ZOTERO_ITEM CSL_CITATION {"citationID":"lRbGLV5g","properties":{"formattedCitation":"[39]","plainCitation":"[39]","noteIndex":0},"citationItems":[{"id":326,"uris":["http://zotero.org/users/7139165/items/DLGCT3YD"],"uri":["http://zotero.org/users/7139165/items/DLGCT3YD"],"itemData":{"id":326,"type":"article-journal","container-title":"Evidence-Based Complementary and Alternative Medicine","ISSN":"1741-427X","journalAbbreviation":"Evidence-Based Complementary and Alternative Medicine","note":"publisher: Hindawi","title":"Treatment expectations for CAM interventions in pediatric chronic pain patients and their parents","volume":"2","author":[{"family":"Tsao","given":"Jennie CI"},{"family":"Meldrum","given":"Marcia"},{"family":"Bursch","given":"Brenda"},{"family":"Jacob","given":"Margaret C"},{"family":"Kim","given":"Su C"},{"family":"Zeltzer","given":"Lonnie K"}],"issued":{"date-parts":[["2005"]]}}}],"schema":"https://github.com/citation-style-language/schema/raw/master/csl-citation.json"} </w:instrText>
      </w:r>
      <w:r w:rsidR="00A1497A" w:rsidRPr="0054482E">
        <w:rPr>
          <w:rFonts w:ascii="Arial" w:hAnsi="Arial" w:cs="Arial"/>
        </w:rPr>
        <w:fldChar w:fldCharType="separate"/>
      </w:r>
      <w:r w:rsidR="00F30351" w:rsidRPr="00F30351">
        <w:rPr>
          <w:rFonts w:ascii="Arial" w:hAnsi="Arial" w:cs="Arial"/>
        </w:rPr>
        <w:t>[39]</w:t>
      </w:r>
      <w:r w:rsidR="00A1497A" w:rsidRPr="0054482E">
        <w:rPr>
          <w:rFonts w:ascii="Arial" w:hAnsi="Arial" w:cs="Arial"/>
        </w:rPr>
        <w:fldChar w:fldCharType="end"/>
      </w:r>
      <w:r w:rsidR="00283C5F">
        <w:rPr>
          <w:rFonts w:ascii="Arial" w:hAnsi="Arial" w:cs="Arial"/>
        </w:rPr>
        <w:t>,</w:t>
      </w:r>
      <w:r w:rsidR="00A1497A" w:rsidRPr="0054482E">
        <w:rPr>
          <w:rFonts w:ascii="Arial" w:hAnsi="Arial" w:cs="Arial"/>
        </w:rPr>
        <w:t xml:space="preserve"> Treatment satisfaction was assessed at post-treatment with six items adapted from the Treatment Evaluation Inventory, short form</w:t>
      </w:r>
      <w:r w:rsidR="00283C5F">
        <w:rPr>
          <w:rFonts w:ascii="Arial" w:hAnsi="Arial" w:cs="Arial"/>
        </w:rPr>
        <w:t xml:space="preserve"> </w:t>
      </w:r>
      <w:r w:rsidR="00A1497A" w:rsidRPr="0054482E">
        <w:rPr>
          <w:rFonts w:ascii="Arial" w:hAnsi="Arial" w:cs="Arial"/>
        </w:rPr>
        <w:fldChar w:fldCharType="begin"/>
      </w:r>
      <w:r w:rsidR="00F30351">
        <w:rPr>
          <w:rFonts w:ascii="Arial" w:hAnsi="Arial" w:cs="Arial"/>
        </w:rPr>
        <w:instrText xml:space="preserve"> ADDIN ZOTERO_ITEM CSL_CITATION {"citationID":"Zk2LPCGw","properties":{"formattedCitation":"[10,11,24]","plainCitation":"[10,11,24]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id":324,"uris":["http://zotero.org/users/7139165/items/A7RYPSXI"],"uri":["http://zotero.org/users/7139165/items/A7RYPSXI"],"itemData":{"id":324,"type":"article-journal","abstract":"The acceptability of alternative treatments for deviant child behavior was evaluated  in two experiments. In each experiment, clinical cases were described to  undergraduate students along with four different treatments in a Replicated Latin  Square Design. The treatments included reinforcement of incomparible behavior, time  out from reinforcement, drug therapy, and electric shock and the treatments were  described as they were appliedto children with problem behaviors. Experiment 1  developed an assessment device to evaluate treatment acceptability and examined  whether treatments were rated as differentially acceptable. Experiment 2 replicated  the first experiment and examined whether the severity of the presenting clinical  problem influenced ratings of acceptability. The results indicated that treatments  were sharply distinguished in overall acceptability. Reinforcement of incompatible  behavior was more acceptable than other treatments which followed, in order, time  out from reinforcement, drug therapy, and electric shock. Case severity influenced  acceptability of alternative treatments with all treatments being rated as more  acceptable with more severe cases. However, the strength of case severity was  relatively small in relation to the different treatment conditions themselves which  accounted for large portions of variance.","container-title":"Journal of applied behavior analysis","DOI":"10.1901/jaba.1980.13-259","ISSN":"0021-8855 0021-8855","issue":"2","journalAbbreviation":"J Appl Behav Anal","language":"eng","note":"PMID: 7380752 \nPMCID: PMC1308130","page":"259-273","title":"Acceptability of alternative treatments for deviant child behavior","volume":"13","author":[{"family":"Kazdin","given":"A. E."}],"issued":{"date-parts":[["1980"]],"season":"Summer"}}},{"id":325,"uris":["http://zotero.org/users/7139165/items/UMN8KTYM"],"uri":["http://zotero.org/users/7139165/items/UMN8KTYM"],"itemData":{"id":325,"type":"article-journal","container-title":"Journal of psychopathology and behavioral assessment","ISSN":"0882-2689","issue":"3","journalAbbreviation":"Journal of psychopathology and behavioral assessment","note":"publisher: Springer","page":"235-247","title":"Development of a modified treatment evaluation inventory","volume":"11","author":[{"family":"Kelley","given":"Mary L"},{"family":"Heffer","given":"Robert W"},{"family":"Gresham","given":"Frank M"},{"family":"Elliott","given":"Stephen N"}],"issued":{"date-parts":[["1989"]]}}}],"schema":"https://github.com/citation-style-language/schema/raw/master/csl-citation.json"} </w:instrText>
      </w:r>
      <w:r w:rsidR="00A1497A" w:rsidRPr="0054482E">
        <w:rPr>
          <w:rFonts w:ascii="Arial" w:hAnsi="Arial" w:cs="Arial"/>
        </w:rPr>
        <w:fldChar w:fldCharType="separate"/>
      </w:r>
      <w:r w:rsidR="00F30351" w:rsidRPr="00F30351">
        <w:rPr>
          <w:rFonts w:ascii="Arial" w:hAnsi="Arial" w:cs="Arial"/>
        </w:rPr>
        <w:t>[10,11,24]</w:t>
      </w:r>
      <w:r w:rsidR="00A1497A" w:rsidRPr="0054482E">
        <w:rPr>
          <w:rFonts w:ascii="Arial" w:hAnsi="Arial" w:cs="Arial"/>
        </w:rPr>
        <w:fldChar w:fldCharType="end"/>
      </w:r>
      <w:r w:rsidR="00283C5F">
        <w:rPr>
          <w:rFonts w:ascii="Arial" w:hAnsi="Arial" w:cs="Arial"/>
        </w:rPr>
        <w:t>.</w:t>
      </w:r>
      <w:r w:rsidR="00A1497A" w:rsidRPr="0054482E">
        <w:rPr>
          <w:rFonts w:ascii="Arial" w:hAnsi="Arial" w:cs="Arial"/>
        </w:rPr>
        <w:t xml:space="preserve"> Patients rated their agreement </w:t>
      </w:r>
      <w:r w:rsidR="00DA199C">
        <w:rPr>
          <w:rFonts w:ascii="Arial" w:hAnsi="Arial" w:cs="Arial"/>
        </w:rPr>
        <w:t xml:space="preserve">with </w:t>
      </w:r>
      <w:r w:rsidR="00A1497A" w:rsidRPr="0054482E">
        <w:rPr>
          <w:rFonts w:ascii="Arial" w:hAnsi="Arial" w:cs="Arial"/>
        </w:rPr>
        <w:t xml:space="preserve">the statements on a 5-point scale ranging from (0) </w:t>
      </w:r>
      <w:r w:rsidR="00A1497A" w:rsidRPr="0054482E">
        <w:rPr>
          <w:rFonts w:ascii="Arial" w:hAnsi="Arial" w:cs="Arial"/>
          <w:i/>
        </w:rPr>
        <w:t>not at all</w:t>
      </w:r>
      <w:r w:rsidR="00A1497A" w:rsidRPr="0054482E">
        <w:rPr>
          <w:rFonts w:ascii="Arial" w:hAnsi="Arial" w:cs="Arial"/>
        </w:rPr>
        <w:t xml:space="preserve"> to (4) </w:t>
      </w:r>
      <w:r w:rsidR="00A1497A" w:rsidRPr="0054482E">
        <w:rPr>
          <w:rFonts w:ascii="Arial" w:hAnsi="Arial" w:cs="Arial"/>
          <w:i/>
        </w:rPr>
        <w:t>extremely</w:t>
      </w:r>
      <w:r w:rsidR="00A1497A" w:rsidRPr="0054482E">
        <w:rPr>
          <w:rFonts w:ascii="Arial" w:hAnsi="Arial" w:cs="Arial"/>
        </w:rPr>
        <w:t>. Treatment engagement</w:t>
      </w:r>
      <w:r w:rsidR="00DD2298">
        <w:rPr>
          <w:rFonts w:ascii="Arial" w:hAnsi="Arial" w:cs="Arial"/>
        </w:rPr>
        <w:t>, serving as a measure of adherence,</w:t>
      </w:r>
      <w:r w:rsidR="00A1497A" w:rsidRPr="0054482E">
        <w:rPr>
          <w:rFonts w:ascii="Arial" w:hAnsi="Arial" w:cs="Arial"/>
        </w:rPr>
        <w:t xml:space="preserve"> was calculated as the sum of the number of modules completed by each youth and parent dyad and could range from 0 to 16. </w:t>
      </w:r>
    </w:p>
    <w:p w14:paraId="23EBE598" w14:textId="5F51DC5C" w:rsidR="00507370" w:rsidRPr="00C50A39" w:rsidRDefault="00507370" w:rsidP="00192A67">
      <w:pPr>
        <w:shd w:val="clear" w:color="auto" w:fill="FFFFFF"/>
        <w:spacing w:after="0" w:line="480" w:lineRule="auto"/>
        <w:rPr>
          <w:rFonts w:ascii="Arial" w:eastAsia="Times New Roman" w:hAnsi="Arial" w:cs="Arial"/>
          <w:b/>
          <w:lang w:val="en-US"/>
        </w:rPr>
      </w:pPr>
      <w:r w:rsidRPr="00C50A39">
        <w:rPr>
          <w:rFonts w:ascii="Arial" w:eastAsia="Times New Roman" w:hAnsi="Arial" w:cs="Arial"/>
          <w:b/>
          <w:lang w:val="en-US"/>
        </w:rPr>
        <w:t>Statistical Analyses</w:t>
      </w:r>
    </w:p>
    <w:p w14:paraId="2F92FD4A" w14:textId="2133A03B" w:rsidR="00DE17DF" w:rsidRDefault="00507370" w:rsidP="00DE17DF">
      <w:pPr>
        <w:spacing w:after="0" w:line="480" w:lineRule="auto"/>
        <w:ind w:firstLine="720"/>
        <w:rPr>
          <w:rFonts w:ascii="Arial" w:eastAsia="Times New Roman" w:hAnsi="Arial" w:cs="Arial"/>
          <w:lang w:val="en-US"/>
        </w:rPr>
      </w:pPr>
      <w:r w:rsidRPr="00C50A39">
        <w:rPr>
          <w:rFonts w:ascii="Arial" w:eastAsia="Times New Roman" w:hAnsi="Arial" w:cs="Arial"/>
          <w:lang w:val="en-US"/>
        </w:rPr>
        <w:t xml:space="preserve">Data analysis based on intention-to-treat </w:t>
      </w:r>
      <w:r w:rsidR="00363A18" w:rsidRPr="00C50A39">
        <w:rPr>
          <w:rFonts w:ascii="Arial" w:eastAsia="Times New Roman" w:hAnsi="Arial" w:cs="Arial"/>
          <w:lang w:val="en-US"/>
        </w:rPr>
        <w:t>used</w:t>
      </w:r>
      <w:r w:rsidRPr="00C50A39">
        <w:rPr>
          <w:rFonts w:ascii="Arial" w:eastAsia="Times New Roman" w:hAnsi="Arial" w:cs="Arial"/>
          <w:lang w:val="en-US"/>
        </w:rPr>
        <w:t xml:space="preserve"> R Version 3.5.3 and R Studio Version 1.0.143. Longitudinal data were analyzed using linear mixed effects </w:t>
      </w:r>
      <w:r w:rsidR="00DE17DF">
        <w:rPr>
          <w:rFonts w:ascii="Arial" w:eastAsia="Times New Roman" w:hAnsi="Arial" w:cs="Arial"/>
          <w:lang w:val="en-US"/>
        </w:rPr>
        <w:t xml:space="preserve">(LME) </w:t>
      </w:r>
      <w:r w:rsidRPr="00C50A39">
        <w:rPr>
          <w:rFonts w:ascii="Arial" w:eastAsia="Times New Roman" w:hAnsi="Arial" w:cs="Arial"/>
          <w:lang w:val="en-US"/>
        </w:rPr>
        <w:t>models</w:t>
      </w:r>
      <w:r w:rsidR="00283C5F">
        <w:rPr>
          <w:rFonts w:ascii="Arial" w:eastAsia="Times New Roman" w:hAnsi="Arial" w:cs="Arial"/>
          <w:lang w:val="en-US"/>
        </w:rPr>
        <w:t xml:space="preserve"> </w:t>
      </w:r>
      <w:r w:rsidR="00365A1B"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s5190jb6m","properties":{"formattedCitation":"[28]","plainCitation":"[28]","noteIndex":0},"citationItems":[{"id":194,"uris":["http://zotero.org/users/7139165/items/9YNZAPH7"],"uri":["http://zotero.org/users/7139165/items/9YNZAPH7"],"itemData":{"id":194,"type":"book","call-number":"HA29 .H64 2002","collection-number":"1","collection-title":"Advanced quantitative techniques in the social sciences","edition":"2nd ed","event-place":"Thousand Oaks","ISBN":"978-0-7619-1904-9","number-of-pages":"485","publisher":"Sage Publications","publisher-place":"Thousand Oaks","source":"Library of Congress ISBN","title":"Hierarchical linear models: Applications and data analysis methods","title-short":"Hierarchical linear models","author":[{"family":"Raudenbush","given":"Stephen W."},{"family":"Bryk","given":"Anthony S."}],"issued":{"date-parts":[["2002"]]}}}],"schema":"https://github.com/citation-style-language/schema/raw/master/csl-citation.json"} </w:instrText>
      </w:r>
      <w:r w:rsidR="00365A1B" w:rsidRPr="00C50A39">
        <w:rPr>
          <w:rFonts w:ascii="Arial" w:eastAsia="Times New Roman" w:hAnsi="Arial" w:cs="Arial"/>
          <w:lang w:val="en-US"/>
        </w:rPr>
        <w:fldChar w:fldCharType="separate"/>
      </w:r>
      <w:r w:rsidR="00F30351" w:rsidRPr="00F30351">
        <w:rPr>
          <w:rFonts w:ascii="Arial" w:hAnsi="Arial" w:cs="Arial"/>
        </w:rPr>
        <w:t>[28]</w:t>
      </w:r>
      <w:r w:rsidR="00365A1B" w:rsidRPr="00C50A39">
        <w:rPr>
          <w:rFonts w:ascii="Arial" w:eastAsia="Times New Roman" w:hAnsi="Arial" w:cs="Arial"/>
          <w:lang w:val="en-US"/>
        </w:rPr>
        <w:fldChar w:fldCharType="end"/>
      </w:r>
      <w:r w:rsidR="00283C5F">
        <w:rPr>
          <w:rFonts w:ascii="Arial" w:eastAsia="Times New Roman" w:hAnsi="Arial" w:cs="Arial"/>
          <w:lang w:val="en-US"/>
        </w:rPr>
        <w:t>,</w:t>
      </w:r>
      <w:r w:rsidRPr="00C50A39">
        <w:rPr>
          <w:rFonts w:ascii="Arial" w:eastAsia="Times New Roman" w:hAnsi="Arial" w:cs="Arial"/>
          <w:lang w:val="en-US"/>
        </w:rPr>
        <w:t xml:space="preserve"> with 5 time points nested within each individual (Pre-treatment, Mid-treatment, Post-treatment, 6-month, 12-month follow-up). </w:t>
      </w:r>
      <w:r w:rsidR="00DE17DF" w:rsidRPr="002A31AD">
        <w:rPr>
          <w:rFonts w:ascii="Arial" w:eastAsia="Times New Roman" w:hAnsi="Arial" w:cs="Arial"/>
          <w:highlight w:val="yellow"/>
          <w:lang w:val="en-US"/>
        </w:rPr>
        <w:t xml:space="preserve">Within this framework, we designated a piecewise analysis of time, which allows for the representation of discrete time periods by modeling separate variables (and </w:t>
      </w:r>
      <w:r w:rsidR="00DE17DF" w:rsidRPr="002A31AD">
        <w:rPr>
          <w:rFonts w:ascii="Arial" w:eastAsia="Times New Roman" w:hAnsi="Arial" w:cs="Arial"/>
          <w:highlight w:val="yellow"/>
          <w:lang w:val="en-US"/>
        </w:rPr>
        <w:lastRenderedPageBreak/>
        <w:t xml:space="preserve">therefore separate coefficients and slopes) for </w:t>
      </w:r>
      <w:r w:rsidR="00FF28AB">
        <w:rPr>
          <w:rFonts w:ascii="Arial" w:eastAsia="Times New Roman" w:hAnsi="Arial" w:cs="Arial"/>
          <w:highlight w:val="yellow"/>
          <w:lang w:val="en-US"/>
        </w:rPr>
        <w:t xml:space="preserve">conceptually </w:t>
      </w:r>
      <w:r w:rsidR="00DE17DF" w:rsidRPr="002A31AD">
        <w:rPr>
          <w:rFonts w:ascii="Arial" w:eastAsia="Times New Roman" w:hAnsi="Arial" w:cs="Arial"/>
          <w:highlight w:val="yellow"/>
          <w:lang w:val="en-US"/>
        </w:rPr>
        <w:t>meaningful periods of the RCT in the</w:t>
      </w:r>
      <w:r w:rsidR="00DE17DF" w:rsidRPr="002A31AD">
        <w:rPr>
          <w:color w:val="000000"/>
          <w:highlight w:val="yellow"/>
          <w:shd w:val="clear" w:color="auto" w:fill="FFFFFF"/>
        </w:rPr>
        <w:t xml:space="preserve"> same model.</w:t>
      </w:r>
      <w:r w:rsidR="00DE17DF" w:rsidRPr="002A31AD">
        <w:rPr>
          <w:rFonts w:ascii="Arial" w:eastAsia="Times New Roman" w:hAnsi="Arial" w:cs="Arial"/>
          <w:highlight w:val="yellow"/>
          <w:lang w:val="en-US"/>
        </w:rPr>
        <w:t xml:space="preserve"> Consistent with typical trends in treatment studies where the greatest effects occur by the end of treatment and change levels off during follow-up </w:t>
      </w:r>
      <w:r w:rsidR="00DE17DF" w:rsidRPr="002A31AD">
        <w:rPr>
          <w:rFonts w:ascii="Arial" w:eastAsia="Times New Roman" w:hAnsi="Arial" w:cs="Arial"/>
          <w:highlight w:val="yellow"/>
          <w:lang w:val="en-US"/>
        </w:rPr>
        <w:fldChar w:fldCharType="begin"/>
      </w:r>
      <w:r w:rsidR="00F30351">
        <w:rPr>
          <w:rFonts w:ascii="Arial" w:eastAsia="Times New Roman" w:hAnsi="Arial" w:cs="Arial"/>
          <w:highlight w:val="yellow"/>
          <w:lang w:val="en-US"/>
        </w:rPr>
        <w:instrText xml:space="preserve"> ADDIN ZOTERO_ITEM CSL_CITATION {"citationID":"a19tdj5j4ju","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DE17DF" w:rsidRPr="002A31AD">
        <w:rPr>
          <w:rFonts w:ascii="Arial" w:eastAsia="Times New Roman" w:hAnsi="Arial" w:cs="Arial"/>
          <w:highlight w:val="yellow"/>
          <w:lang w:val="en-US"/>
        </w:rPr>
        <w:fldChar w:fldCharType="separate"/>
      </w:r>
      <w:r w:rsidR="00F30351" w:rsidRPr="00F30351">
        <w:rPr>
          <w:rFonts w:ascii="Arial" w:hAnsi="Arial" w:cs="Arial"/>
          <w:highlight w:val="yellow"/>
        </w:rPr>
        <w:t>[24]</w:t>
      </w:r>
      <w:r w:rsidR="00DE17DF" w:rsidRPr="002A31AD">
        <w:rPr>
          <w:rFonts w:ascii="Arial" w:eastAsia="Times New Roman" w:hAnsi="Arial" w:cs="Arial"/>
          <w:highlight w:val="yellow"/>
          <w:lang w:val="en-US"/>
        </w:rPr>
        <w:fldChar w:fldCharType="end"/>
      </w:r>
      <w:r w:rsidR="00DE17DF" w:rsidRPr="002A31AD">
        <w:rPr>
          <w:rFonts w:ascii="Arial" w:eastAsia="Times New Roman" w:hAnsi="Arial" w:cs="Arial"/>
          <w:highlight w:val="yellow"/>
          <w:lang w:val="en-US"/>
        </w:rPr>
        <w:t>, we specified two conceptually meaningful time periods, or “pieces”: Piece 1 examined changes across the treatment period (Pre-, Mid, to Post-treatment), and Piece 2 modeled changes across the follow-up period (Post-, 6-month FU, to 12-month FU). Of note, this piecewise approach yielded significantly improved fit across analyses</w:t>
      </w:r>
      <w:r w:rsidR="00A60989">
        <w:rPr>
          <w:rFonts w:ascii="Arial" w:eastAsia="Times New Roman" w:hAnsi="Arial" w:cs="Arial"/>
          <w:lang w:val="en-US"/>
        </w:rPr>
        <w:t xml:space="preserve"> </w:t>
      </w:r>
      <w:r w:rsidR="00A60989">
        <w:rPr>
          <w:rFonts w:ascii="Arial" w:eastAsia="Times New Roman" w:hAnsi="Arial" w:cs="Arial"/>
          <w:highlight w:val="yellow"/>
          <w:lang w:val="en-US"/>
        </w:rPr>
        <w:t>and reduced risk of inflated Type I error that would occur with use of a series of separate analyses</w:t>
      </w:r>
      <w:r w:rsidR="00A60989">
        <w:rPr>
          <w:rFonts w:ascii="Arial" w:eastAsia="Times New Roman" w:hAnsi="Arial" w:cs="Arial"/>
          <w:lang w:val="en-US"/>
        </w:rPr>
        <w:t>.</w:t>
      </w:r>
      <w:r w:rsidR="00DE17DF">
        <w:rPr>
          <w:rFonts w:ascii="Arial" w:eastAsia="Times New Roman" w:hAnsi="Arial" w:cs="Arial"/>
          <w:lang w:val="en-US"/>
        </w:rPr>
        <w:t xml:space="preserve">  </w:t>
      </w:r>
    </w:p>
    <w:p w14:paraId="4C3E6B8B" w14:textId="4729D848" w:rsidR="00DE17DF" w:rsidRDefault="00507370" w:rsidP="0054482E">
      <w:pPr>
        <w:spacing w:after="0" w:line="480" w:lineRule="auto"/>
        <w:ind w:firstLine="720"/>
        <w:rPr>
          <w:rFonts w:ascii="Arial" w:eastAsia="Times New Roman" w:hAnsi="Arial" w:cs="Arial"/>
          <w:lang w:val="en-US"/>
        </w:rPr>
      </w:pPr>
      <w:r w:rsidRPr="00C50A39">
        <w:rPr>
          <w:rFonts w:ascii="Arial" w:eastAsia="Times New Roman" w:hAnsi="Arial" w:cs="Arial"/>
          <w:lang w:val="en-US"/>
        </w:rPr>
        <w:t xml:space="preserve">Separate piecewise models were specified for each outcome. </w:t>
      </w:r>
      <w:r w:rsidR="00A65220" w:rsidRPr="00C50A39">
        <w:rPr>
          <w:rFonts w:ascii="Arial" w:eastAsia="Times New Roman" w:hAnsi="Arial" w:cs="Arial"/>
          <w:lang w:val="en-US"/>
        </w:rPr>
        <w:t xml:space="preserve">To assess whether treatment response was moderated by </w:t>
      </w:r>
      <w:r w:rsidR="003D6800" w:rsidRPr="00C50A39">
        <w:rPr>
          <w:rFonts w:ascii="Arial" w:eastAsia="Times New Roman" w:hAnsi="Arial" w:cs="Arial"/>
          <w:lang w:val="en-US"/>
        </w:rPr>
        <w:t>patient</w:t>
      </w:r>
      <w:r w:rsidR="00A65220" w:rsidRPr="00C50A39">
        <w:rPr>
          <w:rFonts w:ascii="Arial" w:eastAsia="Times New Roman" w:hAnsi="Arial" w:cs="Arial"/>
          <w:lang w:val="en-US"/>
        </w:rPr>
        <w:t xml:space="preserve"> subgroups, we evaluated the Treatment x Subgroup x </w:t>
      </w:r>
      <w:r w:rsidR="00687362" w:rsidRPr="00C50A39">
        <w:rPr>
          <w:rFonts w:ascii="Arial" w:eastAsia="Times New Roman" w:hAnsi="Arial" w:cs="Arial"/>
          <w:lang w:val="en-US"/>
        </w:rPr>
        <w:t>Time (</w:t>
      </w:r>
      <w:r w:rsidR="00A65220" w:rsidRPr="00C50A39">
        <w:rPr>
          <w:rFonts w:ascii="Arial" w:eastAsia="Times New Roman" w:hAnsi="Arial" w:cs="Arial"/>
          <w:lang w:val="en-US"/>
        </w:rPr>
        <w:t>Piece 1</w:t>
      </w:r>
      <w:r w:rsidR="00687362" w:rsidRPr="00C50A39">
        <w:rPr>
          <w:rFonts w:ascii="Arial" w:eastAsia="Times New Roman" w:hAnsi="Arial" w:cs="Arial"/>
          <w:lang w:val="en-US"/>
        </w:rPr>
        <w:t>)</w:t>
      </w:r>
      <w:r w:rsidR="00A65220" w:rsidRPr="00C50A39">
        <w:rPr>
          <w:rFonts w:ascii="Arial" w:eastAsia="Times New Roman" w:hAnsi="Arial" w:cs="Arial"/>
          <w:lang w:val="en-US"/>
        </w:rPr>
        <w:t xml:space="preserve"> interaction, which focuses on differential treatment outcomes during the active treatment period. Subsequently, we evaluated the Treatment x Subgroup x </w:t>
      </w:r>
      <w:r w:rsidR="00687362" w:rsidRPr="00C50A39">
        <w:rPr>
          <w:rFonts w:ascii="Arial" w:eastAsia="Times New Roman" w:hAnsi="Arial" w:cs="Arial"/>
          <w:lang w:val="en-US"/>
        </w:rPr>
        <w:t>Time (</w:t>
      </w:r>
      <w:r w:rsidR="00A65220" w:rsidRPr="00C50A39">
        <w:rPr>
          <w:rFonts w:ascii="Arial" w:eastAsia="Times New Roman" w:hAnsi="Arial" w:cs="Arial"/>
          <w:lang w:val="en-US"/>
        </w:rPr>
        <w:t>Piece 2</w:t>
      </w:r>
      <w:r w:rsidR="00687362" w:rsidRPr="00C50A39">
        <w:rPr>
          <w:rFonts w:ascii="Arial" w:eastAsia="Times New Roman" w:hAnsi="Arial" w:cs="Arial"/>
          <w:lang w:val="en-US"/>
        </w:rPr>
        <w:t>)</w:t>
      </w:r>
      <w:r w:rsidR="00A65220" w:rsidRPr="00C50A39">
        <w:rPr>
          <w:rFonts w:ascii="Arial" w:eastAsia="Times New Roman" w:hAnsi="Arial" w:cs="Arial"/>
          <w:lang w:val="en-US"/>
        </w:rPr>
        <w:t xml:space="preserve"> interaction to assess treatment durability, that is, whether slopes maintained a significantly flat or decreasing trajectory </w:t>
      </w:r>
      <w:r w:rsidR="002A712C" w:rsidRPr="00C50A39">
        <w:rPr>
          <w:rFonts w:ascii="Arial" w:eastAsia="Times New Roman" w:hAnsi="Arial" w:cs="Arial"/>
          <w:lang w:val="en-US"/>
        </w:rPr>
        <w:t>throughout</w:t>
      </w:r>
      <w:r w:rsidR="00A65220" w:rsidRPr="00C50A39">
        <w:rPr>
          <w:rFonts w:ascii="Arial" w:eastAsia="Times New Roman" w:hAnsi="Arial" w:cs="Arial"/>
          <w:lang w:val="en-US"/>
        </w:rPr>
        <w:t xml:space="preserve"> the follow-up period, within both subgroup and treatment condition</w:t>
      </w:r>
      <w:r w:rsidR="002A712C" w:rsidRPr="002A31AD">
        <w:rPr>
          <w:rFonts w:ascii="Arial" w:eastAsia="Times New Roman" w:hAnsi="Arial" w:cs="Arial"/>
          <w:highlight w:val="yellow"/>
          <w:lang w:val="en-US"/>
        </w:rPr>
        <w:t xml:space="preserve">. </w:t>
      </w:r>
      <w:r w:rsidR="00DE17DF" w:rsidRPr="002A31AD">
        <w:rPr>
          <w:rFonts w:ascii="Arial" w:eastAsia="Times New Roman" w:hAnsi="Arial" w:cs="Arial"/>
          <w:highlight w:val="yellow"/>
          <w:lang w:val="en-US"/>
        </w:rPr>
        <w:t xml:space="preserve">All models contained these three-way interactions and their component two-way interactions and main effects. </w:t>
      </w:r>
    </w:p>
    <w:p w14:paraId="727A1CD1" w14:textId="457CAE20" w:rsidR="00507370" w:rsidRDefault="00DE16B5" w:rsidP="0054482E">
      <w:pPr>
        <w:spacing w:after="0" w:line="480" w:lineRule="auto"/>
        <w:ind w:firstLine="720"/>
        <w:rPr>
          <w:rFonts w:ascii="Arial" w:eastAsia="Times New Roman" w:hAnsi="Arial" w:cs="Arial"/>
          <w:lang w:val="en-US"/>
        </w:rPr>
      </w:pPr>
      <w:r w:rsidRPr="00C50A39">
        <w:rPr>
          <w:rFonts w:ascii="Arial" w:eastAsia="Times New Roman" w:hAnsi="Arial" w:cs="Arial"/>
          <w:lang w:val="en-US"/>
        </w:rPr>
        <w:t>P</w:t>
      </w:r>
      <w:r w:rsidR="00507370" w:rsidRPr="00C50A39">
        <w:rPr>
          <w:rFonts w:ascii="Arial" w:eastAsia="Times New Roman" w:hAnsi="Arial" w:cs="Arial"/>
          <w:lang w:val="en-US"/>
        </w:rPr>
        <w:t xml:space="preserve">airwise comparisons of predicted marginal means at each timepoint </w:t>
      </w:r>
      <w:r w:rsidRPr="00C50A39">
        <w:rPr>
          <w:rFonts w:ascii="Arial" w:eastAsia="Times New Roman" w:hAnsi="Arial" w:cs="Arial"/>
          <w:lang w:val="en-US"/>
        </w:rPr>
        <w:t>were also</w:t>
      </w:r>
      <w:r w:rsidR="00A65220" w:rsidRPr="00C50A39">
        <w:rPr>
          <w:rFonts w:ascii="Arial" w:eastAsia="Times New Roman" w:hAnsi="Arial" w:cs="Arial"/>
          <w:lang w:val="en-US"/>
        </w:rPr>
        <w:t xml:space="preserve"> </w:t>
      </w:r>
      <w:r w:rsidR="00507370" w:rsidRPr="00C50A39">
        <w:rPr>
          <w:rFonts w:ascii="Arial" w:eastAsia="Times New Roman" w:hAnsi="Arial" w:cs="Arial"/>
          <w:lang w:val="en-US"/>
        </w:rPr>
        <w:t>probed</w:t>
      </w:r>
      <w:r w:rsidR="00A65220" w:rsidRPr="00C50A39">
        <w:rPr>
          <w:rFonts w:ascii="Arial" w:eastAsia="Times New Roman" w:hAnsi="Arial" w:cs="Arial"/>
          <w:lang w:val="en-US"/>
        </w:rPr>
        <w:t xml:space="preserve"> to further </w:t>
      </w:r>
      <w:proofErr w:type="spellStart"/>
      <w:r w:rsidR="00A65220" w:rsidRPr="00C50A39">
        <w:rPr>
          <w:rFonts w:ascii="Arial" w:eastAsia="Times New Roman" w:hAnsi="Arial" w:cs="Arial"/>
          <w:lang w:val="en-US"/>
        </w:rPr>
        <w:t>eludicate</w:t>
      </w:r>
      <w:proofErr w:type="spellEnd"/>
      <w:r w:rsidR="00A65220" w:rsidRPr="00C50A39">
        <w:rPr>
          <w:rFonts w:ascii="Arial" w:eastAsia="Times New Roman" w:hAnsi="Arial" w:cs="Arial"/>
          <w:lang w:val="en-US"/>
        </w:rPr>
        <w:t xml:space="preserve"> the nature of observed effects</w:t>
      </w:r>
      <w:r w:rsidR="00507370" w:rsidRPr="00C50A39">
        <w:rPr>
          <w:rFonts w:ascii="Arial" w:eastAsia="Times New Roman" w:hAnsi="Arial" w:cs="Arial"/>
          <w:lang w:val="en-US"/>
        </w:rPr>
        <w:t>.</w:t>
      </w:r>
      <w:r w:rsidR="00C832A9" w:rsidRPr="00C50A39">
        <w:rPr>
          <w:rFonts w:ascii="Arial" w:eastAsia="Times New Roman" w:hAnsi="Arial" w:cs="Arial"/>
          <w:lang w:val="en-US"/>
        </w:rPr>
        <w:t xml:space="preserve"> </w:t>
      </w:r>
      <w:r w:rsidR="002A31AD" w:rsidRPr="002F56A6">
        <w:rPr>
          <w:rFonts w:ascii="Arial" w:hAnsi="Arial" w:cs="Arial"/>
          <w:highlight w:val="yellow"/>
        </w:rPr>
        <w:t>Initial models included age, sex, and treatment engagement as covariates. Treatment engagement was not significant in any model and was dropped in all final models, leaving age and sex as covariates</w:t>
      </w:r>
      <w:r w:rsidR="002A31AD" w:rsidRPr="0054482E">
        <w:rPr>
          <w:rFonts w:ascii="Arial" w:hAnsi="Arial" w:cs="Arial"/>
        </w:rPr>
        <w:t xml:space="preserve">. </w:t>
      </w:r>
      <w:r w:rsidR="004525D6" w:rsidRPr="00C50A39">
        <w:rPr>
          <w:rFonts w:ascii="Arial" w:eastAsia="Times New Roman" w:hAnsi="Arial" w:cs="Arial"/>
          <w:color w:val="000000"/>
          <w:lang w:val="en-US"/>
        </w:rPr>
        <w:t xml:space="preserve">Rates of completion of at least 80% of the </w:t>
      </w:r>
      <w:r w:rsidR="0074194B" w:rsidRPr="0074194B">
        <w:rPr>
          <w:rFonts w:ascii="Arial" w:eastAsia="Times New Roman" w:hAnsi="Arial" w:cs="Arial"/>
          <w:color w:val="000000"/>
          <w:highlight w:val="yellow"/>
          <w:lang w:val="en-US"/>
        </w:rPr>
        <w:t>assessment measures</w:t>
      </w:r>
      <w:r w:rsidR="004525D6" w:rsidRPr="00C50A39">
        <w:rPr>
          <w:rFonts w:ascii="Arial" w:eastAsia="Times New Roman" w:hAnsi="Arial" w:cs="Arial"/>
          <w:color w:val="000000"/>
          <w:lang w:val="en-US"/>
        </w:rPr>
        <w:t xml:space="preserve"> were achieved by 76% of the CBT condition and 82% of the EDU condition</w:t>
      </w:r>
      <w:r w:rsidR="00E1555D">
        <w:rPr>
          <w:rFonts w:ascii="Arial" w:eastAsia="Times New Roman" w:hAnsi="Arial" w:cs="Arial"/>
          <w:color w:val="000000"/>
          <w:lang w:val="en-US"/>
        </w:rPr>
        <w:t xml:space="preserve">. </w:t>
      </w:r>
      <w:r w:rsidR="00EB53A6" w:rsidRPr="0054482E">
        <w:rPr>
          <w:rFonts w:ascii="Arial" w:hAnsi="Arial" w:cs="Arial"/>
        </w:rPr>
        <w:t xml:space="preserve">Participants with and without missing data did not differ significantly on age, sex, treatment engagement, baseline abdominal pain, or treatment condition. </w:t>
      </w:r>
      <w:r w:rsidR="009D0DB9" w:rsidRPr="0054482E">
        <w:rPr>
          <w:rFonts w:ascii="Arial" w:eastAsia="Times New Roman" w:hAnsi="Arial" w:cs="Arial"/>
          <w:color w:val="000000"/>
          <w:lang w:val="en-US"/>
        </w:rPr>
        <w:t>We note that l</w:t>
      </w:r>
      <w:r w:rsidR="004525D6" w:rsidRPr="0054482E">
        <w:rPr>
          <w:rFonts w:ascii="Arial" w:eastAsia="Times New Roman" w:hAnsi="Arial" w:cs="Arial"/>
          <w:color w:val="000000"/>
          <w:lang w:val="en-US"/>
        </w:rPr>
        <w:t xml:space="preserve">inear mixed effects models </w:t>
      </w:r>
      <w:r w:rsidR="009D0DB9" w:rsidRPr="0054482E">
        <w:rPr>
          <w:rFonts w:ascii="Arial" w:eastAsia="Times New Roman" w:hAnsi="Arial" w:cs="Arial"/>
          <w:color w:val="000000"/>
          <w:lang w:val="en-US"/>
        </w:rPr>
        <w:t xml:space="preserve">are robust to </w:t>
      </w:r>
      <w:r w:rsidR="004525D6" w:rsidRPr="0054482E">
        <w:rPr>
          <w:rFonts w:ascii="Arial" w:eastAsia="Times New Roman" w:hAnsi="Arial" w:cs="Arial"/>
          <w:color w:val="000000"/>
          <w:lang w:val="en-US"/>
        </w:rPr>
        <w:t>missing data through full maximum likelihood estimation.</w:t>
      </w:r>
      <w:r w:rsidR="004525D6" w:rsidRPr="0054482E">
        <w:rPr>
          <w:rFonts w:ascii="Arial" w:eastAsia="Times New Roman" w:hAnsi="Arial" w:cs="Arial"/>
          <w:lang w:val="en-US"/>
        </w:rPr>
        <w:t xml:space="preserve"> </w:t>
      </w:r>
    </w:p>
    <w:p w14:paraId="03F83D47" w14:textId="4168DA0B" w:rsidR="002A31AD" w:rsidRPr="00A60989" w:rsidRDefault="002A31AD" w:rsidP="00A60989">
      <w:pPr>
        <w:spacing w:after="0" w:line="480" w:lineRule="auto"/>
        <w:ind w:firstLine="720"/>
        <w:rPr>
          <w:rFonts w:ascii="Arial" w:hAnsi="Arial" w:cs="Arial"/>
        </w:rPr>
      </w:pPr>
      <w:r w:rsidRPr="002A31AD">
        <w:rPr>
          <w:rFonts w:ascii="Arial" w:hAnsi="Arial" w:cs="Arial"/>
          <w:highlight w:val="yellow"/>
        </w:rPr>
        <w:lastRenderedPageBreak/>
        <w:t>Finally, to fortify our findings</w:t>
      </w:r>
      <w:r w:rsidRPr="002A31AD">
        <w:rPr>
          <w:rFonts w:ascii="Arial" w:hAnsi="Arial" w:cs="Arial"/>
        </w:rPr>
        <w:t xml:space="preserve"> </w:t>
      </w:r>
      <w:r w:rsidRPr="002F56A6">
        <w:rPr>
          <w:rFonts w:ascii="Arial" w:hAnsi="Arial" w:cs="Arial"/>
          <w:highlight w:val="yellow"/>
        </w:rPr>
        <w:t xml:space="preserve">regarding the significant Treatment x Subgroup x Piece 1 interaction effects, we assessed the </w:t>
      </w:r>
      <w:r w:rsidR="00202B75">
        <w:rPr>
          <w:rFonts w:ascii="Arial" w:hAnsi="Arial" w:cs="Arial"/>
          <w:highlight w:val="yellow"/>
        </w:rPr>
        <w:t>utility</w:t>
      </w:r>
      <w:r w:rsidRPr="002F56A6">
        <w:rPr>
          <w:rFonts w:ascii="Arial" w:hAnsi="Arial" w:cs="Arial"/>
          <w:highlight w:val="yellow"/>
        </w:rPr>
        <w:t xml:space="preserve"> of patient subgroup as a composite moderator over and above baseline symptom severity. All models were re-evaluated substituting baseline symptom severity in lieu of patient subgroup as a potential moderator of treatment outcome; for all outcomes, the three-way Treatment x Baseline Symptom Severity x Time (Piece 1) interactions were not significant.</w:t>
      </w:r>
    </w:p>
    <w:p w14:paraId="66FDCC1E" w14:textId="0D3B6317" w:rsidR="00A1497A" w:rsidRPr="0054482E" w:rsidRDefault="00A1497A" w:rsidP="0054482E">
      <w:pPr>
        <w:spacing w:after="0" w:line="480" w:lineRule="auto"/>
        <w:ind w:firstLine="720"/>
        <w:rPr>
          <w:rFonts w:ascii="Arial" w:hAnsi="Arial" w:cs="Arial"/>
        </w:rPr>
      </w:pPr>
      <w:r w:rsidRPr="0054482E">
        <w:rPr>
          <w:rFonts w:ascii="Arial" w:hAnsi="Arial" w:cs="Arial"/>
          <w:b/>
          <w:bCs/>
        </w:rPr>
        <w:t>Power analysis.</w:t>
      </w:r>
      <w:r w:rsidRPr="0054482E">
        <w:rPr>
          <w:rFonts w:ascii="Arial" w:hAnsi="Arial" w:cs="Arial"/>
        </w:rPr>
        <w:t xml:space="preserve"> To determine whether the study was adequately powered to detect a clinically meaningful effect, power analyses were conducted prospectively using the minimum detectable effect size based on a feasible sample size</w:t>
      </w:r>
      <w:r w:rsidR="00283C5F">
        <w:rPr>
          <w:rFonts w:ascii="Arial" w:hAnsi="Arial" w:cs="Arial"/>
        </w:rPr>
        <w:t xml:space="preserve"> </w:t>
      </w:r>
      <w:r w:rsidRPr="0054482E">
        <w:rPr>
          <w:rFonts w:ascii="Arial" w:hAnsi="Arial" w:cs="Arial"/>
        </w:rPr>
        <w:fldChar w:fldCharType="begin"/>
      </w:r>
      <w:r w:rsidR="00F30351">
        <w:rPr>
          <w:rFonts w:ascii="Arial" w:hAnsi="Arial" w:cs="Arial"/>
        </w:rPr>
        <w:instrText xml:space="preserve"> ADDIN ZOTERO_ITEM CSL_CITATION {"citationID":"hEp4IEiY","properties":{"formattedCitation":"[14]","plainCitation":"[14]","noteIndex":0},"citationItems":[{"id":156,"uris":["http://zotero.org/users/7139165/items/INBWBMT4"],"uri":["http://zotero.org/users/7139165/items/INBWBMT4"],"itemData":{"id":156,"type":"book","abstract":"With increased emphasis on helping readers understand the context in which power calculations are done, this Second Edition of How Many Subjects? by Helena Chmura Kraemer and Christine Blasey introduces a simple technique of statistical power analysis that allows researchers to compute approximate sample sizes and power for a wide range of research designs. Because the same technique is used with only slight modifications for different statistical tests, researchers can then easily compare the sample sizes required by different designs and tests to make cost-effective decisions in planning a study. These comparisons demonstrate important principles of design, measurement, and analysis that are rarely discussed in courses or textbooks, making this book a valuable instructional resource as well as a must-have guide for frequent reference.","edition":"Second edition","event-place":"Los Angeles","ISBN":"978-1-4833-1954-4","language":"English","publisher":"SAGE Publications, Inc","publisher-place":"Los Angeles","source":"Amazon","title":"How Many Subjects?: Statistical Power Analysis in Research","title-short":"How Many Subjects?","author":[{"family":"Kraemer","given":"Helena Chmura"},{"family":"Blasey","given":"Christine M."}],"issued":{"date-parts":[["2015",2,5]]}}}],"schema":"https://github.com/citation-style-language/schema/raw/master/csl-citation.json"} </w:instrText>
      </w:r>
      <w:r w:rsidRPr="0054482E">
        <w:rPr>
          <w:rFonts w:ascii="Arial" w:hAnsi="Arial" w:cs="Arial"/>
        </w:rPr>
        <w:fldChar w:fldCharType="separate"/>
      </w:r>
      <w:r w:rsidR="007346C0" w:rsidRPr="007346C0">
        <w:rPr>
          <w:rFonts w:ascii="Arial" w:hAnsi="Arial" w:cs="Arial"/>
        </w:rPr>
        <w:t>[14]</w:t>
      </w:r>
      <w:r w:rsidRPr="0054482E">
        <w:rPr>
          <w:rFonts w:ascii="Arial" w:hAnsi="Arial" w:cs="Arial"/>
        </w:rPr>
        <w:fldChar w:fldCharType="end"/>
      </w:r>
      <w:r w:rsidR="00283C5F">
        <w:rPr>
          <w:rFonts w:ascii="Arial" w:hAnsi="Arial" w:cs="Arial"/>
        </w:rPr>
        <w:t>.</w:t>
      </w:r>
      <w:r w:rsidRPr="0054482E">
        <w:rPr>
          <w:rFonts w:ascii="Arial" w:hAnsi="Arial" w:cs="Arial"/>
        </w:rPr>
        <w:t xml:space="preserve"> We computed estimated power based on a sample size of 255, which anticipated a total </w:t>
      </w:r>
      <w:proofErr w:type="spellStart"/>
      <w:r w:rsidRPr="0054482E">
        <w:rPr>
          <w:rFonts w:ascii="Arial" w:hAnsi="Arial" w:cs="Arial"/>
        </w:rPr>
        <w:t>enrollment</w:t>
      </w:r>
      <w:proofErr w:type="spellEnd"/>
      <w:r w:rsidRPr="0054482E">
        <w:rPr>
          <w:rFonts w:ascii="Arial" w:hAnsi="Arial" w:cs="Arial"/>
        </w:rPr>
        <w:t xml:space="preserve"> of 300 participants with 4% drop out at each time point and 10% additional missing data at each time point. To achieve 80% power with </w:t>
      </w:r>
      <w:r w:rsidRPr="0054482E">
        <w:rPr>
          <w:rFonts w:ascii="Arial" w:hAnsi="Arial" w:cs="Arial"/>
          <w:i/>
          <w:iCs/>
        </w:rPr>
        <w:t>p</w:t>
      </w:r>
      <w:r w:rsidRPr="0054482E">
        <w:rPr>
          <w:rFonts w:ascii="Arial" w:hAnsi="Arial" w:cs="Arial"/>
        </w:rPr>
        <w:t xml:space="preserve"> &lt; .05 two-tailed alpha, differences between CBT and EDU would need to reach an effect size of at least 0.278 (Cohen’s d). Moderation analyses were powered to detect “medium” effects (Cohen’s d close to 0.5) for comparing the HPD and LPA patient subgroups.</w:t>
      </w:r>
    </w:p>
    <w:p w14:paraId="2F4EF241" w14:textId="4B7FCF7C" w:rsidR="00A1497A" w:rsidRPr="0054482E" w:rsidRDefault="00A1497A" w:rsidP="0054482E">
      <w:pPr>
        <w:spacing w:after="0" w:line="480" w:lineRule="auto"/>
        <w:ind w:firstLine="720"/>
        <w:rPr>
          <w:rFonts w:ascii="Arial" w:hAnsi="Arial" w:cs="Arial"/>
          <w:color w:val="000000"/>
          <w:shd w:val="clear" w:color="auto" w:fill="FFFFFF"/>
        </w:rPr>
      </w:pPr>
      <w:r w:rsidRPr="0054482E">
        <w:rPr>
          <w:rFonts w:ascii="Arial" w:hAnsi="Arial" w:cs="Arial"/>
          <w:b/>
          <w:bCs/>
        </w:rPr>
        <w:t>Model specification.</w:t>
      </w:r>
      <w:r w:rsidRPr="0054482E">
        <w:rPr>
          <w:rFonts w:ascii="Arial" w:hAnsi="Arial" w:cs="Arial"/>
        </w:rPr>
        <w:t xml:space="preserve"> Separate linear mixed effects (LME) models were conducted for each outcome variable in R</w:t>
      </w:r>
      <w:r w:rsidR="00283C5F">
        <w:rPr>
          <w:rFonts w:ascii="Arial" w:hAnsi="Arial" w:cs="Arial"/>
        </w:rPr>
        <w:t xml:space="preserve"> </w:t>
      </w:r>
      <w:r w:rsidRPr="0054482E">
        <w:rPr>
          <w:rFonts w:ascii="Arial" w:hAnsi="Arial" w:cs="Arial"/>
        </w:rPr>
        <w:fldChar w:fldCharType="begin"/>
      </w:r>
      <w:r w:rsidR="00F30351">
        <w:rPr>
          <w:rFonts w:ascii="Arial" w:hAnsi="Arial" w:cs="Arial"/>
        </w:rPr>
        <w:instrText xml:space="preserve"> ADDIN ZOTERO_ITEM CSL_CITATION {"citationID":"iz9siOGw","properties":{"formattedCitation":"[27]","plainCitation":"[27]","noteIndex":0},"citationItems":[{"id":323,"uris":["http://zotero.org/users/7139165/items/L9N6NYDJ"],"uri":["http://zotero.org/users/7139165/items/L9N6NYDJ"],"itemData":{"id":323,"type":"book","event-place":"Vienna, Austria","publisher":"R Foundation for Statistical Computing","publisher-place":"Vienna, Austria","title":"R: A language and environment for statistical computing","URL":"https://www.R-project.org/","author":[{"family":"R Core Team","given":""}],"issued":{"date-parts":[["2018"]]}}}],"schema":"https://github.com/citation-style-language/schema/raw/master/csl-citation.json"} </w:instrText>
      </w:r>
      <w:r w:rsidRPr="0054482E">
        <w:rPr>
          <w:rFonts w:ascii="Arial" w:hAnsi="Arial" w:cs="Arial"/>
        </w:rPr>
        <w:fldChar w:fldCharType="separate"/>
      </w:r>
      <w:r w:rsidR="00F30351" w:rsidRPr="00F30351">
        <w:rPr>
          <w:rFonts w:ascii="Arial" w:hAnsi="Arial" w:cs="Arial"/>
        </w:rPr>
        <w:t>[27]</w:t>
      </w:r>
      <w:r w:rsidRPr="0054482E">
        <w:rPr>
          <w:rFonts w:ascii="Arial" w:hAnsi="Arial" w:cs="Arial"/>
        </w:rPr>
        <w:fldChar w:fldCharType="end"/>
      </w:r>
      <w:r w:rsidRPr="0054482E">
        <w:rPr>
          <w:rFonts w:ascii="Arial" w:hAnsi="Arial" w:cs="Arial"/>
        </w:rPr>
        <w:t xml:space="preserve"> using the </w:t>
      </w:r>
      <w:proofErr w:type="spellStart"/>
      <w:r w:rsidRPr="0054482E">
        <w:rPr>
          <w:rFonts w:ascii="Arial" w:hAnsi="Arial" w:cs="Arial"/>
          <w:i/>
          <w:iCs/>
        </w:rPr>
        <w:t>nlme</w:t>
      </w:r>
      <w:proofErr w:type="spellEnd"/>
      <w:r w:rsidRPr="0054482E">
        <w:rPr>
          <w:rFonts w:ascii="Arial" w:hAnsi="Arial" w:cs="Arial"/>
          <w:color w:val="000000"/>
          <w:shd w:val="clear" w:color="auto" w:fill="FFFFFF"/>
        </w:rPr>
        <w:t xml:space="preserve"> package</w:t>
      </w:r>
      <w:r w:rsidR="00283C5F">
        <w:rPr>
          <w:rFonts w:ascii="Arial" w:hAnsi="Arial" w:cs="Arial"/>
          <w:color w:val="000000"/>
          <w:shd w:val="clear" w:color="auto" w:fill="FFFFFF"/>
        </w:rPr>
        <w:t xml:space="preserve"> </w:t>
      </w:r>
      <w:r w:rsidRPr="0054482E">
        <w:rPr>
          <w:rFonts w:ascii="Arial" w:hAnsi="Arial" w:cs="Arial"/>
          <w:color w:val="000000"/>
          <w:shd w:val="clear" w:color="auto" w:fill="FFFFFF"/>
        </w:rPr>
        <w:fldChar w:fldCharType="begin"/>
      </w:r>
      <w:r w:rsidR="00F30351">
        <w:rPr>
          <w:rFonts w:ascii="Arial" w:hAnsi="Arial" w:cs="Arial"/>
          <w:color w:val="000000"/>
          <w:shd w:val="clear" w:color="auto" w:fill="FFFFFF"/>
        </w:rPr>
        <w:instrText xml:space="preserve"> ADDIN ZOTERO_ITEM CSL_CITATION {"citationID":"3mFDa8Zb","properties":{"formattedCitation":"[26]","plainCitation":"[26]","noteIndex":0},"citationItems":[{"id":322,"uris":["http://zotero.org/users/7139165/items/I4PS3LH9"],"uri":["http://zotero.org/users/7139165/items/I4PS3LH9"],"itemData":{"id":322,"type":"book","title":"nlme: Linear and Nonlinear Mixed Effects Models","URL":"https://CRAN.R-project.org/package=nlme","version":"R package version 3.1-148","author":[{"family":"Pinheiro","given":"J"},{"family":"Bates","given":"D"},{"family":"DebRoy","given":"S"},{"family":"Sarkar","given":"D"},{"family":"R Core Team","given":""}],"issued":{"date-parts":[["2020"]]}}}],"schema":"https://github.com/citation-style-language/schema/raw/master/csl-citation.json"} </w:instrText>
      </w:r>
      <w:r w:rsidRPr="0054482E">
        <w:rPr>
          <w:rFonts w:ascii="Arial" w:hAnsi="Arial" w:cs="Arial"/>
          <w:color w:val="000000"/>
          <w:shd w:val="clear" w:color="auto" w:fill="FFFFFF"/>
        </w:rPr>
        <w:fldChar w:fldCharType="separate"/>
      </w:r>
      <w:r w:rsidR="00F30351" w:rsidRPr="00F30351">
        <w:rPr>
          <w:rFonts w:ascii="Arial" w:hAnsi="Arial" w:cs="Arial"/>
        </w:rPr>
        <w:t>[26]</w:t>
      </w:r>
      <w:r w:rsidRPr="0054482E">
        <w:rPr>
          <w:rFonts w:ascii="Arial" w:hAnsi="Arial" w:cs="Arial"/>
          <w:color w:val="000000"/>
          <w:shd w:val="clear" w:color="auto" w:fill="FFFFFF"/>
        </w:rPr>
        <w:fldChar w:fldCharType="end"/>
      </w:r>
      <w:r w:rsidR="00283C5F">
        <w:rPr>
          <w:rFonts w:ascii="Arial" w:hAnsi="Arial" w:cs="Arial"/>
          <w:color w:val="000000"/>
          <w:shd w:val="clear" w:color="auto" w:fill="FFFFFF"/>
        </w:rPr>
        <w:t>.</w:t>
      </w:r>
      <w:r w:rsidRPr="0054482E">
        <w:rPr>
          <w:rFonts w:ascii="Arial" w:hAnsi="Arial" w:cs="Arial"/>
          <w:color w:val="000000"/>
          <w:shd w:val="clear" w:color="auto" w:fill="FFFFFF"/>
        </w:rPr>
        <w:t xml:space="preserve"> This approach offers advantages compared to more traditional methods for </w:t>
      </w:r>
      <w:proofErr w:type="spellStart"/>
      <w:r w:rsidRPr="0054482E">
        <w:rPr>
          <w:rFonts w:ascii="Arial" w:hAnsi="Arial" w:cs="Arial"/>
          <w:color w:val="000000"/>
          <w:shd w:val="clear" w:color="auto" w:fill="FFFFFF"/>
        </w:rPr>
        <w:t>analyzing</w:t>
      </w:r>
      <w:proofErr w:type="spellEnd"/>
      <w:r w:rsidRPr="0054482E">
        <w:rPr>
          <w:rFonts w:ascii="Arial" w:hAnsi="Arial" w:cs="Arial"/>
          <w:color w:val="000000"/>
          <w:shd w:val="clear" w:color="auto" w:fill="FFFFFF"/>
        </w:rPr>
        <w:t xml:space="preserve"> repeated measures data (e.g., repeated measures ANOVA), including accommodation of missing values to avoid listwise deletion, treating time as a continuous variable to yield more accurate estimates of change in the outcome over time (i.e., treatment response), and more flexible selection of covariance structures of the data. Of note, in the LME framework, calculation of significance values may vary based on software due to differences in the specification of degrees of freedom and unclear consensus regarding the appropriate null distribution to estimate effects of interest. The </w:t>
      </w:r>
      <w:proofErr w:type="spellStart"/>
      <w:r w:rsidRPr="0054482E">
        <w:rPr>
          <w:rFonts w:ascii="Arial" w:hAnsi="Arial" w:cs="Arial"/>
          <w:i/>
          <w:iCs/>
          <w:color w:val="000000"/>
          <w:shd w:val="clear" w:color="auto" w:fill="FFFFFF"/>
        </w:rPr>
        <w:t>nlme</w:t>
      </w:r>
      <w:proofErr w:type="spellEnd"/>
      <w:r w:rsidRPr="0054482E">
        <w:rPr>
          <w:rFonts w:ascii="Arial" w:hAnsi="Arial" w:cs="Arial"/>
          <w:color w:val="000000"/>
          <w:shd w:val="clear" w:color="auto" w:fill="FFFFFF"/>
        </w:rPr>
        <w:t xml:space="preserve"> package provides a standardized </w:t>
      </w:r>
      <w:r w:rsidRPr="0054482E">
        <w:rPr>
          <w:rFonts w:ascii="Arial" w:hAnsi="Arial" w:cs="Arial"/>
          <w:i/>
          <w:iCs/>
          <w:color w:val="000000"/>
          <w:shd w:val="clear" w:color="auto" w:fill="FFFFFF"/>
        </w:rPr>
        <w:t>t</w:t>
      </w:r>
      <w:r w:rsidRPr="0054482E">
        <w:rPr>
          <w:rFonts w:ascii="Arial" w:hAnsi="Arial" w:cs="Arial"/>
          <w:color w:val="000000"/>
          <w:shd w:val="clear" w:color="auto" w:fill="FFFFFF"/>
        </w:rPr>
        <w:t xml:space="preserve">-value equal to </w:t>
      </w:r>
      <m:oMath>
        <m:r>
          <w:rPr>
            <w:rFonts w:ascii="Cambria Math" w:hAnsi="Cambria Math" w:cs="Arial"/>
            <w:color w:val="000000"/>
            <w:shd w:val="clear" w:color="auto" w:fill="FFFFFF"/>
          </w:rPr>
          <m:t>β/SE(β)</m:t>
        </m:r>
      </m:oMath>
      <w:r w:rsidRPr="0054482E">
        <w:rPr>
          <w:rFonts w:ascii="Arial" w:hAnsi="Arial" w:cs="Arial"/>
          <w:i/>
          <w:iCs/>
          <w:color w:val="000000"/>
          <w:shd w:val="clear" w:color="auto" w:fill="FFFFFF"/>
        </w:rPr>
        <w:t xml:space="preserve"> </w:t>
      </w:r>
      <w:r w:rsidRPr="0054482E">
        <w:rPr>
          <w:rFonts w:ascii="Arial" w:hAnsi="Arial" w:cs="Arial"/>
          <w:color w:val="000000"/>
          <w:shd w:val="clear" w:color="auto" w:fill="FFFFFF"/>
        </w:rPr>
        <w:t xml:space="preserve">where </w:t>
      </w:r>
      <m:oMath>
        <m:r>
          <w:rPr>
            <w:rFonts w:ascii="Cambria Math" w:hAnsi="Cambria Math" w:cs="Arial"/>
            <w:color w:val="000000"/>
            <w:shd w:val="clear" w:color="auto" w:fill="FFFFFF"/>
          </w:rPr>
          <m:t>β</m:t>
        </m:r>
      </m:oMath>
      <w:r w:rsidRPr="0054482E">
        <w:rPr>
          <w:rFonts w:ascii="Arial" w:hAnsi="Arial" w:cs="Arial"/>
          <w:color w:val="000000"/>
          <w:shd w:val="clear" w:color="auto" w:fill="FFFFFF"/>
        </w:rPr>
        <w:t xml:space="preserve"> is the regression parameter, and associated </w:t>
      </w:r>
      <w:r w:rsidRPr="0054482E">
        <w:rPr>
          <w:rFonts w:ascii="Arial" w:hAnsi="Arial" w:cs="Arial"/>
          <w:i/>
          <w:iCs/>
          <w:color w:val="000000"/>
          <w:shd w:val="clear" w:color="auto" w:fill="FFFFFF"/>
        </w:rPr>
        <w:t>p</w:t>
      </w:r>
      <w:r w:rsidRPr="0054482E">
        <w:rPr>
          <w:rFonts w:ascii="Arial" w:hAnsi="Arial" w:cs="Arial"/>
          <w:color w:val="000000"/>
          <w:shd w:val="clear" w:color="auto" w:fill="FFFFFF"/>
        </w:rPr>
        <w:t xml:space="preserve">-values for each effect. </w:t>
      </w:r>
    </w:p>
    <w:p w14:paraId="02B082E1" w14:textId="56B664AB" w:rsidR="00A1497A" w:rsidRPr="0054482E" w:rsidRDefault="00A1497A" w:rsidP="0054482E">
      <w:pPr>
        <w:spacing w:after="0" w:line="480" w:lineRule="auto"/>
        <w:ind w:firstLine="720"/>
        <w:rPr>
          <w:rFonts w:ascii="Arial" w:hAnsi="Arial" w:cs="Arial"/>
        </w:rPr>
      </w:pPr>
      <w:r w:rsidRPr="0054482E">
        <w:rPr>
          <w:rFonts w:ascii="Arial" w:hAnsi="Arial" w:cs="Arial"/>
        </w:rPr>
        <w:lastRenderedPageBreak/>
        <w:t xml:space="preserve">For each model, fixed effects included age, sex, time, treatment condition, patient subgroup, and the three-way Treatment Condition x Patient subgroup x Time interaction. Subject was treated as a random effect to account for the correlation of repeated outcome measures. Subject-specific random effects were determined using restricted maximum likelihood estimation (REML) and population-level fixed effects with full maximum likelihood estimation. We specified a compound symmetric autoregressive structure to model the residual errors and used the Akaike Information Criterion </w:t>
      </w:r>
      <w:r w:rsidR="00283C5F">
        <w:rPr>
          <w:rFonts w:ascii="Arial" w:hAnsi="Arial" w:cs="Arial"/>
        </w:rPr>
        <w:fldChar w:fldCharType="begin"/>
      </w:r>
      <w:r w:rsidR="00F30351">
        <w:rPr>
          <w:rFonts w:ascii="Arial" w:hAnsi="Arial" w:cs="Arial"/>
        </w:rPr>
        <w:instrText xml:space="preserve"> ADDIN ZOTERO_ITEM CSL_CITATION {"citationID":"a11mrg3e2al","properties":{"formattedCitation":"[2]","plainCitation":"[2]","noteIndex":0},"citationItems":[{"id":125,"uris":["http://zotero.org/users/7139165/items/FH4YYGHW"],"uri":["http://zotero.org/users/7139165/items/FH4YYGHW"],"itemData":{"id":125,"type":"chapter","abstract":"In this paper it is shown that the classical maximum likelihood principle can be considered to be a method of asymptotic realization of an optimum estimate with respect to a very general information theoretic criterion. This observation shows an extension of the principle to provide answers to many practical problems of statistical model fitting.","collection-title":"Springer Series in Statistics","container-title":"Selected Papers of Hirotugu Akaike","event-place":"New York, NY","ISBN":"978-1-4612-1694-0","language":"en","note":"DOI: 10.1007/978-1-4612-1694-0_15","page":"199-213","publisher":"Springer","publisher-place":"New York, NY","source":"Springer Link","title":"Information Theory and an Extension of the Maximum Likelihood Principle","URL":"https://doi.org/10.1007/978-1-4612-1694-0_15","author":[{"family":"Akaike","given":"Hirotogu"}],"editor":[{"family":"Parzen","given":"Emanuel"},{"family":"Tanabe","given":"Kunio"},{"family":"Kitagawa","given":"Genshiro"}],"accessed":{"date-parts":[["2020",8,3]]},"issued":{"date-parts":[["1998"]]}}}],"schema":"https://github.com/citation-style-language/schema/raw/master/csl-citation.json"} </w:instrText>
      </w:r>
      <w:r w:rsidR="00283C5F">
        <w:rPr>
          <w:rFonts w:ascii="Arial" w:hAnsi="Arial" w:cs="Arial"/>
        </w:rPr>
        <w:fldChar w:fldCharType="separate"/>
      </w:r>
      <w:r w:rsidR="00283C5F" w:rsidRPr="00283C5F">
        <w:rPr>
          <w:rFonts w:ascii="Arial" w:hAnsi="Arial" w:cs="Arial"/>
          <w:szCs w:val="24"/>
        </w:rPr>
        <w:t>[2]</w:t>
      </w:r>
      <w:r w:rsidR="00283C5F">
        <w:rPr>
          <w:rFonts w:ascii="Arial" w:hAnsi="Arial" w:cs="Arial"/>
        </w:rPr>
        <w:fldChar w:fldCharType="end"/>
      </w:r>
      <w:r w:rsidRPr="0054482E">
        <w:rPr>
          <w:rFonts w:ascii="Arial" w:hAnsi="Arial" w:cs="Arial"/>
        </w:rPr>
        <w:t xml:space="preserve"> to determine the appropriate autoregressive structure. The unit of measurement at Level 1 was time and the unit of measurement at Level 2 was the individual. </w:t>
      </w:r>
      <w:r w:rsidR="00DA199C">
        <w:rPr>
          <w:rFonts w:ascii="Arial" w:hAnsi="Arial" w:cs="Arial"/>
        </w:rPr>
        <w:t>W</w:t>
      </w:r>
      <w:r w:rsidRPr="0054482E">
        <w:rPr>
          <w:rFonts w:ascii="Arial" w:hAnsi="Arial" w:cs="Arial"/>
        </w:rPr>
        <w:t xml:space="preserve">e specified a piecewise analysis of time where Piece 1 examined changes during the treatment period (Pre-, Mid-, to Post-treatment), and Piece 2 </w:t>
      </w:r>
      <w:proofErr w:type="spellStart"/>
      <w:r w:rsidRPr="0054482E">
        <w:rPr>
          <w:rFonts w:ascii="Arial" w:hAnsi="Arial" w:cs="Arial"/>
        </w:rPr>
        <w:t>modeled</w:t>
      </w:r>
      <w:proofErr w:type="spellEnd"/>
      <w:r w:rsidRPr="0054482E">
        <w:rPr>
          <w:rFonts w:ascii="Arial" w:hAnsi="Arial" w:cs="Arial"/>
        </w:rPr>
        <w:t xml:space="preserve"> changes during the follow-up period (Post-, 6-month FU, to 12-month FU). Each timepoint was coded using the median number of weeks from baseline of module completion for the full sample.</w:t>
      </w:r>
    </w:p>
    <w:p w14:paraId="4B77AE7D" w14:textId="5AC21415" w:rsidR="00B12067" w:rsidRPr="00C50A39" w:rsidRDefault="00A1497A" w:rsidP="006E0138">
      <w:pPr>
        <w:spacing w:after="0" w:line="480" w:lineRule="auto"/>
        <w:ind w:firstLine="720"/>
        <w:rPr>
          <w:rFonts w:ascii="Arial" w:hAnsi="Arial" w:cs="Arial"/>
        </w:rPr>
      </w:pPr>
      <w:r w:rsidRPr="0054482E">
        <w:rPr>
          <w:rFonts w:ascii="Arial" w:hAnsi="Arial" w:cs="Arial"/>
        </w:rPr>
        <w:t>To build the models, random effects for variation at the intercept and in the slope for Piece 1 and Piece 2 were first entered into each model and retained when significant. At the second step, we entered fixed effects for Piece 1, Piece 2, treatment condition, patient subgroup and the Treatment x Subgroup x Piece 1 and Treatment x Subgroup x Piece 2 interactions, into the model. Of note, the statistical significance of the three-way interaction of primary interest did not change when treatment engagement</w:t>
      </w:r>
      <w:r w:rsidR="001D3B95">
        <w:rPr>
          <w:rFonts w:ascii="Arial" w:hAnsi="Arial" w:cs="Arial"/>
        </w:rPr>
        <w:t>, representing adherence,</w:t>
      </w:r>
      <w:r w:rsidRPr="0054482E">
        <w:rPr>
          <w:rFonts w:ascii="Arial" w:hAnsi="Arial" w:cs="Arial"/>
        </w:rPr>
        <w:t xml:space="preserve"> was included as a covariate. </w:t>
      </w:r>
    </w:p>
    <w:p w14:paraId="51B06D32" w14:textId="77777777" w:rsidR="00507370" w:rsidRPr="00C50A39" w:rsidRDefault="00507370" w:rsidP="00C50A39">
      <w:pPr>
        <w:spacing w:after="0" w:line="480" w:lineRule="auto"/>
        <w:jc w:val="center"/>
        <w:rPr>
          <w:rFonts w:ascii="Arial" w:eastAsia="Times New Roman" w:hAnsi="Arial" w:cs="Arial"/>
          <w:b/>
          <w:lang w:val="en-US"/>
        </w:rPr>
      </w:pPr>
      <w:r w:rsidRPr="00C50A39">
        <w:rPr>
          <w:rFonts w:ascii="Arial" w:eastAsia="Times New Roman" w:hAnsi="Arial" w:cs="Arial"/>
          <w:b/>
          <w:lang w:val="en-US"/>
        </w:rPr>
        <w:t>Results</w:t>
      </w:r>
    </w:p>
    <w:p w14:paraId="7859E6F6" w14:textId="30DDDF95" w:rsidR="00507370" w:rsidRPr="00C50A39" w:rsidRDefault="00DE7A65" w:rsidP="00192A67">
      <w:pPr>
        <w:shd w:val="clear" w:color="auto" w:fill="FFFFFF"/>
        <w:spacing w:after="0" w:line="480" w:lineRule="auto"/>
        <w:rPr>
          <w:rFonts w:ascii="Arial" w:eastAsia="Times New Roman" w:hAnsi="Arial" w:cs="Arial"/>
          <w:b/>
          <w:iCs/>
          <w:lang w:val="en-US"/>
        </w:rPr>
      </w:pPr>
      <w:r w:rsidRPr="00C50A39">
        <w:rPr>
          <w:rFonts w:ascii="Arial" w:eastAsia="Times New Roman" w:hAnsi="Arial" w:cs="Arial"/>
          <w:b/>
          <w:iCs/>
          <w:lang w:val="en-US"/>
        </w:rPr>
        <w:t xml:space="preserve">Sample </w:t>
      </w:r>
      <w:r w:rsidR="00507370" w:rsidRPr="00C50A39">
        <w:rPr>
          <w:rFonts w:ascii="Arial" w:eastAsia="Times New Roman" w:hAnsi="Arial" w:cs="Arial"/>
          <w:b/>
          <w:iCs/>
          <w:lang w:val="en-US"/>
        </w:rPr>
        <w:t>Characteristics</w:t>
      </w:r>
      <w:r w:rsidRPr="00C50A39">
        <w:rPr>
          <w:rFonts w:ascii="Arial" w:eastAsia="Times New Roman" w:hAnsi="Arial" w:cs="Arial"/>
          <w:b/>
          <w:iCs/>
          <w:lang w:val="en-US"/>
        </w:rPr>
        <w:t xml:space="preserve"> at Baseline</w:t>
      </w:r>
    </w:p>
    <w:p w14:paraId="5744164F" w14:textId="296C0350" w:rsidR="00507370" w:rsidRPr="00C50A39" w:rsidRDefault="00507370" w:rsidP="00192A67">
      <w:pPr>
        <w:spacing w:after="0" w:line="480" w:lineRule="auto"/>
        <w:ind w:firstLine="720"/>
        <w:rPr>
          <w:rFonts w:ascii="Arial" w:eastAsia="Times New Roman" w:hAnsi="Arial" w:cs="Arial"/>
          <w:lang w:val="en-US"/>
        </w:rPr>
      </w:pPr>
      <w:r w:rsidRPr="00C50A39">
        <w:rPr>
          <w:rFonts w:ascii="Arial" w:eastAsia="Times New Roman" w:hAnsi="Arial" w:cs="Arial"/>
          <w:lang w:val="en-US"/>
        </w:rPr>
        <w:t>The clustering algorithm</w:t>
      </w:r>
      <w:r w:rsidR="00D13DC4">
        <w:rPr>
          <w:rFonts w:ascii="Arial" w:eastAsia="Times New Roman" w:hAnsi="Arial" w:cs="Arial"/>
          <w:lang w:val="en-US"/>
        </w:rPr>
        <w:t xml:space="preserve"> </w:t>
      </w:r>
      <w:r w:rsidR="00BA68E8"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7ch5ehoit","properties":{"formattedCitation":"[35,48]","plainCitation":"[35,48]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BA68E8" w:rsidRPr="00C50A39">
        <w:rPr>
          <w:rFonts w:ascii="Arial" w:eastAsia="Times New Roman" w:hAnsi="Arial" w:cs="Arial"/>
          <w:lang w:val="en-US"/>
        </w:rPr>
        <w:fldChar w:fldCharType="separate"/>
      </w:r>
      <w:r w:rsidR="00F30351" w:rsidRPr="00F30351">
        <w:rPr>
          <w:rFonts w:ascii="Arial" w:hAnsi="Arial" w:cs="Arial"/>
        </w:rPr>
        <w:t>[35,48]</w:t>
      </w:r>
      <w:r w:rsidR="00BA68E8" w:rsidRPr="00C50A39">
        <w:rPr>
          <w:rFonts w:ascii="Arial" w:eastAsia="Times New Roman" w:hAnsi="Arial" w:cs="Arial"/>
          <w:lang w:val="en-US"/>
        </w:rPr>
        <w:fldChar w:fldCharType="end"/>
      </w:r>
      <w:r w:rsidRPr="00C50A39">
        <w:rPr>
          <w:rFonts w:ascii="Arial" w:eastAsia="Times New Roman" w:hAnsi="Arial" w:cs="Arial"/>
          <w:lang w:val="en-US"/>
        </w:rPr>
        <w:t xml:space="preserve"> was applied to baseline data and classified 39% (n =109), 41% (n = 114), and 20% (n = 55) of youth into the HPD, HPA, and LPA subgroups, respectively. </w:t>
      </w:r>
      <w:r w:rsidRPr="00C50A39">
        <w:rPr>
          <w:rFonts w:ascii="Arial" w:hAnsi="Arial" w:cs="Arial"/>
        </w:rPr>
        <w:t xml:space="preserve">Characteristics of the three subgroups are described </w:t>
      </w:r>
      <w:r w:rsidR="00363A18" w:rsidRPr="00C50A39">
        <w:rPr>
          <w:rFonts w:ascii="Arial" w:hAnsi="Arial" w:cs="Arial"/>
        </w:rPr>
        <w:t>elsewhere</w:t>
      </w:r>
      <w:r w:rsidRPr="00C50A39">
        <w:rPr>
          <w:rFonts w:ascii="Arial" w:hAnsi="Arial" w:cs="Arial"/>
          <w:bCs/>
        </w:rPr>
        <w:t>.</w:t>
      </w:r>
      <w:r w:rsidR="00800F98" w:rsidRPr="00C50A39">
        <w:rPr>
          <w:rFonts w:ascii="Arial" w:hAnsi="Arial" w:cs="Arial"/>
          <w:bCs/>
        </w:rPr>
        <w:fldChar w:fldCharType="begin"/>
      </w:r>
      <w:r w:rsidR="00F30351">
        <w:rPr>
          <w:rFonts w:ascii="Arial" w:hAnsi="Arial" w:cs="Arial"/>
          <w:bCs/>
        </w:rPr>
        <w:instrText xml:space="preserve"> ADDIN ZOTERO_ITEM CSL_CITATION {"citationID":"a19ju0nl7jb","properties":{"formattedCitation":"[35]","plainCitation":"[35]","noteIndex":0},"citationItems":[{"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800F98" w:rsidRPr="00C50A39">
        <w:rPr>
          <w:rFonts w:ascii="Arial" w:hAnsi="Arial" w:cs="Arial"/>
          <w:bCs/>
        </w:rPr>
        <w:fldChar w:fldCharType="separate"/>
      </w:r>
      <w:r w:rsidR="00F30351" w:rsidRPr="00F30351">
        <w:rPr>
          <w:rFonts w:ascii="Arial" w:hAnsi="Arial" w:cs="Arial"/>
        </w:rPr>
        <w:t>[35]</w:t>
      </w:r>
      <w:r w:rsidR="00800F98" w:rsidRPr="00C50A39">
        <w:rPr>
          <w:rFonts w:ascii="Arial" w:hAnsi="Arial" w:cs="Arial"/>
          <w:bCs/>
        </w:rPr>
        <w:fldChar w:fldCharType="end"/>
      </w:r>
      <w:r w:rsidRPr="00C50A39">
        <w:rPr>
          <w:rFonts w:ascii="Arial" w:hAnsi="Arial" w:cs="Arial"/>
          <w:b/>
        </w:rPr>
        <w:t xml:space="preserve"> </w:t>
      </w:r>
      <w:r w:rsidRPr="00C50A39">
        <w:rPr>
          <w:rFonts w:ascii="Arial" w:hAnsi="Arial" w:cs="Arial"/>
        </w:rPr>
        <w:t xml:space="preserve">The subgroups differed significantly on youth age, F(2, 277) = 6.72, p = 0.001, and sex, </w:t>
      </w:r>
      <w:r w:rsidRPr="00C50A39">
        <w:rPr>
          <w:rFonts w:ascii="Arial" w:eastAsia="Times New Roman" w:hAnsi="Arial" w:cs="Arial"/>
          <w:lang w:val="en-US"/>
        </w:rPr>
        <w:sym w:font="Symbol" w:char="F063"/>
      </w:r>
      <w:r w:rsidRPr="00C50A39">
        <w:rPr>
          <w:rFonts w:ascii="Arial" w:hAnsi="Arial" w:cs="Arial"/>
          <w:i/>
          <w:vertAlign w:val="superscript"/>
        </w:rPr>
        <w:t>2</w:t>
      </w:r>
      <w:r w:rsidRPr="00C50A39">
        <w:rPr>
          <w:rFonts w:ascii="Arial" w:hAnsi="Arial" w:cs="Arial"/>
        </w:rPr>
        <w:t>(2) = 28.33, p &lt; 0.001. Table 1</w:t>
      </w:r>
      <w:r w:rsidR="001874F8" w:rsidRPr="00C50A39">
        <w:rPr>
          <w:rFonts w:ascii="Arial" w:hAnsi="Arial" w:cs="Arial"/>
        </w:rPr>
        <w:t xml:space="preserve"> presents demographic and baseline clinical characteristics by subgroup.</w:t>
      </w:r>
    </w:p>
    <w:p w14:paraId="5228BC11" w14:textId="0B7B8298" w:rsidR="00507370" w:rsidRPr="00C50A39" w:rsidRDefault="00507370"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lastRenderedPageBreak/>
        <w:t xml:space="preserve">A multivariate analysis of variance found no significant differences in primary and secondary outcome variables between treatment conditions at baseline (GI Symptoms: </w:t>
      </w:r>
      <w:proofErr w:type="gramStart"/>
      <w:r w:rsidRPr="00C50A39">
        <w:rPr>
          <w:rFonts w:ascii="Arial" w:eastAsia="Times New Roman" w:hAnsi="Arial" w:cs="Arial"/>
          <w:i/>
          <w:lang w:val="en-US"/>
        </w:rPr>
        <w:t>F</w:t>
      </w:r>
      <w:r w:rsidR="003259DD" w:rsidRPr="00C50A39">
        <w:rPr>
          <w:rFonts w:ascii="Arial" w:eastAsia="Times New Roman" w:hAnsi="Arial" w:cs="Arial"/>
          <w:lang w:val="en-US"/>
        </w:rPr>
        <w:t>[</w:t>
      </w:r>
      <w:proofErr w:type="gramEnd"/>
      <w:r w:rsidRPr="00C50A39">
        <w:rPr>
          <w:rFonts w:ascii="Arial" w:eastAsia="Times New Roman" w:hAnsi="Arial" w:cs="Arial"/>
          <w:lang w:val="en-US"/>
        </w:rPr>
        <w:t>1, 278</w:t>
      </w:r>
      <w:r w:rsidR="003259DD" w:rsidRPr="00C50A39">
        <w:rPr>
          <w:rFonts w:ascii="Arial" w:eastAsia="Times New Roman" w:hAnsi="Arial" w:cs="Arial"/>
          <w:lang w:val="en-US"/>
        </w:rPr>
        <w:t>]</w:t>
      </w:r>
      <w:r w:rsidRPr="00C50A39">
        <w:rPr>
          <w:rFonts w:ascii="Arial" w:eastAsia="Times New Roman" w:hAnsi="Arial" w:cs="Arial"/>
          <w:lang w:val="en-US"/>
        </w:rPr>
        <w:t xml:space="preserve"> = 0.36, p=0.55, d=0.05; Abdominal Pain: </w:t>
      </w:r>
      <w:r w:rsidRPr="00C50A39">
        <w:rPr>
          <w:rFonts w:ascii="Arial" w:eastAsia="Times New Roman" w:hAnsi="Arial" w:cs="Arial"/>
          <w:i/>
          <w:lang w:val="en-US"/>
        </w:rPr>
        <w:t>F</w:t>
      </w:r>
      <w:r w:rsidR="003259DD" w:rsidRPr="00C50A39">
        <w:rPr>
          <w:rFonts w:ascii="Arial" w:eastAsia="Times New Roman" w:hAnsi="Arial" w:cs="Arial"/>
          <w:iCs/>
          <w:lang w:val="en-US"/>
        </w:rPr>
        <w:t>[</w:t>
      </w:r>
      <w:r w:rsidRPr="00C50A39">
        <w:rPr>
          <w:rFonts w:ascii="Arial" w:eastAsia="Times New Roman" w:hAnsi="Arial" w:cs="Arial"/>
          <w:lang w:val="en-US"/>
        </w:rPr>
        <w:t>1, 278</w:t>
      </w:r>
      <w:r w:rsidR="003259DD" w:rsidRPr="00C50A39">
        <w:rPr>
          <w:rFonts w:ascii="Arial" w:eastAsia="Times New Roman" w:hAnsi="Arial" w:cs="Arial"/>
          <w:lang w:val="en-US"/>
        </w:rPr>
        <w:t>]</w:t>
      </w:r>
      <w:r w:rsidRPr="00C50A39">
        <w:rPr>
          <w:rFonts w:ascii="Arial" w:eastAsia="Times New Roman" w:hAnsi="Arial" w:cs="Arial"/>
          <w:lang w:val="en-US"/>
        </w:rPr>
        <w:t xml:space="preserve"> = 0.092, p=0.76, d=0.03; Pain Interference: </w:t>
      </w:r>
      <w:r w:rsidRPr="00C50A39">
        <w:rPr>
          <w:rFonts w:ascii="Arial" w:eastAsia="Times New Roman" w:hAnsi="Arial" w:cs="Arial"/>
          <w:i/>
          <w:lang w:val="en-US"/>
        </w:rPr>
        <w:t>F</w:t>
      </w:r>
      <w:r w:rsidR="003259DD" w:rsidRPr="00C50A39">
        <w:rPr>
          <w:rFonts w:ascii="Arial" w:eastAsia="Times New Roman" w:hAnsi="Arial" w:cs="Arial"/>
          <w:lang w:val="en-US"/>
        </w:rPr>
        <w:t>[</w:t>
      </w:r>
      <w:r w:rsidRPr="00C50A39">
        <w:rPr>
          <w:rFonts w:ascii="Arial" w:eastAsia="Times New Roman" w:hAnsi="Arial" w:cs="Arial"/>
          <w:lang w:val="en-US"/>
        </w:rPr>
        <w:t>1, 278</w:t>
      </w:r>
      <w:r w:rsidR="003259DD" w:rsidRPr="00C50A39">
        <w:rPr>
          <w:rFonts w:ascii="Arial" w:eastAsia="Times New Roman" w:hAnsi="Arial" w:cs="Arial"/>
          <w:lang w:val="en-US"/>
        </w:rPr>
        <w:t>]</w:t>
      </w:r>
      <w:r w:rsidRPr="00C50A39">
        <w:rPr>
          <w:rFonts w:ascii="Arial" w:eastAsia="Times New Roman" w:hAnsi="Arial" w:cs="Arial"/>
          <w:lang w:val="en-US"/>
        </w:rPr>
        <w:t xml:space="preserve"> = 0.10, p=0.76, d=0.06). Treatment conditions did not differ significantly on youth age, sex, or race, or on parental sex, education, employment, or marital status (Table 1).</w:t>
      </w:r>
    </w:p>
    <w:p w14:paraId="1514CCA6" w14:textId="609D3EB5" w:rsidR="00507370" w:rsidRPr="00C50A39" w:rsidRDefault="00507370" w:rsidP="00C50A39">
      <w:pPr>
        <w:spacing w:after="0" w:line="480" w:lineRule="auto"/>
        <w:rPr>
          <w:rFonts w:ascii="Arial" w:eastAsia="Times New Roman" w:hAnsi="Arial" w:cs="Arial"/>
          <w:b/>
          <w:iCs/>
          <w:lang w:val="en-US"/>
        </w:rPr>
      </w:pPr>
      <w:r w:rsidRPr="00C50A39">
        <w:rPr>
          <w:rFonts w:ascii="Arial" w:eastAsia="Times New Roman" w:hAnsi="Arial" w:cs="Arial"/>
          <w:b/>
          <w:iCs/>
          <w:lang w:val="en-US"/>
        </w:rPr>
        <w:t xml:space="preserve">Treatment Expectancies, Engagement, and Satisfaction </w:t>
      </w:r>
    </w:p>
    <w:p w14:paraId="29AFC504" w14:textId="513A606A" w:rsidR="00507370" w:rsidRPr="00C50A39" w:rsidRDefault="00507370"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 xml:space="preserve">Youth assigned to the CBT and EDU treatment conditions reported comparable </w:t>
      </w:r>
      <w:r w:rsidR="0089113E" w:rsidRPr="00C50A39">
        <w:rPr>
          <w:rFonts w:ascii="Arial" w:eastAsia="Times New Roman" w:hAnsi="Arial" w:cs="Arial"/>
          <w:lang w:val="en-US"/>
        </w:rPr>
        <w:t xml:space="preserve">baseline </w:t>
      </w:r>
      <w:r w:rsidRPr="00C50A39">
        <w:rPr>
          <w:rFonts w:ascii="Arial" w:eastAsia="Times New Roman" w:hAnsi="Arial" w:cs="Arial"/>
          <w:lang w:val="en-US"/>
        </w:rPr>
        <w:t>treatment expectanc</w:t>
      </w:r>
      <w:r w:rsidR="0096315A" w:rsidRPr="00C50A39">
        <w:rPr>
          <w:rFonts w:ascii="Arial" w:eastAsia="Times New Roman" w:hAnsi="Arial" w:cs="Arial"/>
          <w:lang w:val="en-US"/>
        </w:rPr>
        <w:t xml:space="preserve">ies </w:t>
      </w:r>
      <w:r w:rsidRPr="00C50A39">
        <w:rPr>
          <w:rFonts w:ascii="Arial" w:eastAsia="Times New Roman" w:hAnsi="Arial" w:cs="Arial"/>
          <w:lang w:val="en-US"/>
        </w:rPr>
        <w:t xml:space="preserve">(all p’s &gt; 0.25). Treatment conditions differed significantly on participant engagement; dyads in the EDU condition completed more modules (Mean = 13.01, SD = 4.71) than dyads in the CBT condition (Mean = 10.93, SD = 5.24), </w:t>
      </w:r>
      <w:proofErr w:type="gramStart"/>
      <w:r w:rsidRPr="00C50A39">
        <w:rPr>
          <w:rFonts w:ascii="Arial" w:eastAsia="Times New Roman" w:hAnsi="Arial" w:cs="Arial"/>
          <w:lang w:val="en-US"/>
        </w:rPr>
        <w:t>t</w:t>
      </w:r>
      <w:r w:rsidR="003259DD" w:rsidRPr="00C50A39">
        <w:rPr>
          <w:rFonts w:ascii="Arial" w:eastAsia="Times New Roman" w:hAnsi="Arial" w:cs="Arial"/>
          <w:lang w:val="en-US"/>
        </w:rPr>
        <w:t>(</w:t>
      </w:r>
      <w:proofErr w:type="gramEnd"/>
      <w:r w:rsidRPr="00C50A39">
        <w:rPr>
          <w:rFonts w:ascii="Arial" w:eastAsia="Times New Roman" w:hAnsi="Arial" w:cs="Arial"/>
          <w:lang w:val="en-US"/>
        </w:rPr>
        <w:t xml:space="preserve">276) = 3.61, </w:t>
      </w:r>
      <w:r w:rsidRPr="00C50A39">
        <w:rPr>
          <w:rFonts w:ascii="Arial" w:eastAsia="Times New Roman" w:hAnsi="Arial" w:cs="Arial"/>
          <w:i/>
          <w:iCs/>
          <w:lang w:val="en-US"/>
        </w:rPr>
        <w:t>p</w:t>
      </w:r>
      <w:r w:rsidRPr="00C50A39">
        <w:rPr>
          <w:rFonts w:ascii="Arial" w:eastAsia="Times New Roman" w:hAnsi="Arial" w:cs="Arial"/>
          <w:lang w:val="en-US"/>
        </w:rPr>
        <w:t>&lt; 0.001</w:t>
      </w:r>
      <w:r w:rsidR="00A15F52" w:rsidRPr="00C50A39">
        <w:rPr>
          <w:rFonts w:ascii="Arial" w:eastAsia="Times New Roman" w:hAnsi="Arial" w:cs="Arial"/>
          <w:lang w:val="en-US"/>
        </w:rPr>
        <w:t>, d = 0.43</w:t>
      </w:r>
      <w:r w:rsidRPr="00C50A39">
        <w:rPr>
          <w:rFonts w:ascii="Arial" w:eastAsia="Times New Roman" w:hAnsi="Arial" w:cs="Arial"/>
          <w:lang w:val="en-US"/>
        </w:rPr>
        <w:t xml:space="preserve">. </w:t>
      </w:r>
      <w:r w:rsidR="00CC0C7D">
        <w:rPr>
          <w:rFonts w:ascii="Arial" w:eastAsia="Times New Roman" w:hAnsi="Arial" w:cs="Arial"/>
          <w:lang w:val="en-US"/>
        </w:rPr>
        <w:t>S</w:t>
      </w:r>
      <w:r w:rsidRPr="00C50A39">
        <w:rPr>
          <w:rFonts w:ascii="Arial" w:eastAsia="Times New Roman" w:hAnsi="Arial" w:cs="Arial"/>
          <w:lang w:val="en-US"/>
        </w:rPr>
        <w:t xml:space="preserve">atisfaction with treatment was significantly higher for CBT (Mean = 20.96, SD = 5.63) compared to EDU (Mean = 17.24, SD = 5.76, </w:t>
      </w:r>
      <w:proofErr w:type="gramStart"/>
      <w:r w:rsidRPr="00C50A39">
        <w:rPr>
          <w:rFonts w:ascii="Arial" w:eastAsia="Times New Roman" w:hAnsi="Arial" w:cs="Arial"/>
          <w:lang w:val="en-US"/>
        </w:rPr>
        <w:t>t</w:t>
      </w:r>
      <w:r w:rsidR="003259DD" w:rsidRPr="00C50A39">
        <w:rPr>
          <w:rFonts w:ascii="Arial" w:eastAsia="Times New Roman" w:hAnsi="Arial" w:cs="Arial"/>
          <w:lang w:val="en-US"/>
        </w:rPr>
        <w:t>[</w:t>
      </w:r>
      <w:proofErr w:type="gramEnd"/>
      <w:r w:rsidRPr="00C50A39">
        <w:rPr>
          <w:rFonts w:ascii="Arial" w:eastAsia="Times New Roman" w:hAnsi="Arial" w:cs="Arial"/>
          <w:lang w:val="en-US"/>
        </w:rPr>
        <w:t>223</w:t>
      </w:r>
      <w:r w:rsidR="003259DD" w:rsidRPr="00C50A39">
        <w:rPr>
          <w:rFonts w:ascii="Arial" w:eastAsia="Times New Roman" w:hAnsi="Arial" w:cs="Arial"/>
          <w:lang w:val="en-US"/>
        </w:rPr>
        <w:t>]</w:t>
      </w:r>
      <w:r w:rsidRPr="00C50A39">
        <w:rPr>
          <w:rFonts w:ascii="Arial" w:eastAsia="Times New Roman" w:hAnsi="Arial" w:cs="Arial"/>
          <w:lang w:val="en-US"/>
        </w:rPr>
        <w:t xml:space="preserve"> = 4.88, </w:t>
      </w:r>
      <w:r w:rsidRPr="00C50A39">
        <w:rPr>
          <w:rFonts w:ascii="Arial" w:eastAsia="Times New Roman" w:hAnsi="Arial" w:cs="Arial"/>
          <w:i/>
          <w:iCs/>
          <w:lang w:val="en-US"/>
        </w:rPr>
        <w:t>p</w:t>
      </w:r>
      <w:r w:rsidRPr="00C50A39">
        <w:rPr>
          <w:rFonts w:ascii="Arial" w:eastAsia="Times New Roman" w:hAnsi="Arial" w:cs="Arial"/>
          <w:lang w:val="en-US"/>
        </w:rPr>
        <w:t>&lt; 0.001</w:t>
      </w:r>
      <w:r w:rsidR="00A15F52" w:rsidRPr="00C50A39">
        <w:rPr>
          <w:rFonts w:ascii="Arial" w:eastAsia="Times New Roman" w:hAnsi="Arial" w:cs="Arial"/>
          <w:lang w:val="en-US"/>
        </w:rPr>
        <w:t>, d = 0.65</w:t>
      </w:r>
      <w:r w:rsidRPr="00C50A39">
        <w:rPr>
          <w:rFonts w:ascii="Arial" w:eastAsia="Times New Roman" w:hAnsi="Arial" w:cs="Arial"/>
          <w:lang w:val="en-US"/>
        </w:rPr>
        <w:t xml:space="preserve">).  </w:t>
      </w:r>
    </w:p>
    <w:p w14:paraId="0F02FD1F" w14:textId="5F359C4D" w:rsidR="00EA6A0F" w:rsidRDefault="00EA6A0F" w:rsidP="00C50A39">
      <w:pPr>
        <w:spacing w:after="0" w:line="480" w:lineRule="auto"/>
        <w:rPr>
          <w:rFonts w:ascii="Arial" w:hAnsi="Arial" w:cs="Arial"/>
          <w:b/>
          <w:bCs/>
          <w:lang w:val="en-US"/>
        </w:rPr>
      </w:pPr>
      <w:r w:rsidRPr="009E43BC">
        <w:rPr>
          <w:rFonts w:ascii="Arial" w:hAnsi="Arial" w:cs="Arial"/>
          <w:b/>
          <w:bCs/>
          <w:highlight w:val="yellow"/>
          <w:lang w:val="en-US"/>
        </w:rPr>
        <w:t>Overall Treatment Effects</w:t>
      </w:r>
    </w:p>
    <w:p w14:paraId="26BA2159" w14:textId="6B44FF90" w:rsidR="00EA6A0F" w:rsidRPr="001D01B7" w:rsidRDefault="00EA6A0F" w:rsidP="00C50A39">
      <w:pPr>
        <w:spacing w:after="0" w:line="480" w:lineRule="auto"/>
        <w:rPr>
          <w:rFonts w:ascii="Arial" w:hAnsi="Arial" w:cs="Arial"/>
          <w:lang w:val="en-US"/>
        </w:rPr>
      </w:pPr>
      <w:r>
        <w:rPr>
          <w:rFonts w:ascii="Arial" w:hAnsi="Arial" w:cs="Arial"/>
          <w:lang w:val="en-US"/>
        </w:rPr>
        <w:tab/>
      </w:r>
      <w:r w:rsidRPr="009E43BC">
        <w:rPr>
          <w:rFonts w:ascii="Arial" w:hAnsi="Arial" w:cs="Arial"/>
          <w:highlight w:val="yellow"/>
          <w:lang w:val="en-US"/>
        </w:rPr>
        <w:t>Across all outcomes, there was a main effect of FAP subgroup and time during Piece 1 (all p’s &lt; 0.05), such that overall levels of abdominal pain, GI symptoms, and pain interference were highest for the HPD subgroup</w:t>
      </w:r>
      <w:r w:rsidR="00EA1D83">
        <w:rPr>
          <w:rFonts w:ascii="Arial" w:hAnsi="Arial" w:cs="Arial"/>
          <w:highlight w:val="yellow"/>
          <w:lang w:val="en-US"/>
        </w:rPr>
        <w:t xml:space="preserve">, followed by the HPA and </w:t>
      </w:r>
      <w:r w:rsidRPr="001D01B7">
        <w:rPr>
          <w:rFonts w:ascii="Arial" w:hAnsi="Arial" w:cs="Arial"/>
          <w:highlight w:val="yellow"/>
          <w:lang w:val="en-US"/>
        </w:rPr>
        <w:t xml:space="preserve">LPA </w:t>
      </w:r>
      <w:r w:rsidRPr="009E43BC">
        <w:rPr>
          <w:rFonts w:ascii="Arial" w:hAnsi="Arial" w:cs="Arial"/>
          <w:highlight w:val="yellow"/>
          <w:lang w:val="en-US"/>
        </w:rPr>
        <w:t>subgroup</w:t>
      </w:r>
      <w:r w:rsidR="00EA1D83" w:rsidRPr="009E43BC">
        <w:rPr>
          <w:rFonts w:ascii="Arial" w:hAnsi="Arial" w:cs="Arial"/>
          <w:highlight w:val="yellow"/>
          <w:lang w:val="en-US"/>
        </w:rPr>
        <w:t>s</w:t>
      </w:r>
      <w:r w:rsidRPr="009E43BC">
        <w:rPr>
          <w:rFonts w:ascii="Arial" w:hAnsi="Arial" w:cs="Arial"/>
          <w:highlight w:val="yellow"/>
          <w:lang w:val="en-US"/>
        </w:rPr>
        <w:t xml:space="preserve"> </w:t>
      </w:r>
      <w:r w:rsidR="00EA1D83" w:rsidRPr="009E43BC">
        <w:rPr>
          <w:rFonts w:ascii="Arial" w:hAnsi="Arial" w:cs="Arial"/>
          <w:highlight w:val="yellow"/>
          <w:lang w:val="en-US"/>
        </w:rPr>
        <w:t xml:space="preserve">(HPD &gt; HPA &gt; LPA), </w:t>
      </w:r>
      <w:r w:rsidR="00EA1D83">
        <w:rPr>
          <w:rFonts w:ascii="Arial" w:hAnsi="Arial" w:cs="Arial"/>
          <w:highlight w:val="yellow"/>
          <w:lang w:val="en-US"/>
        </w:rPr>
        <w:t>a pattern of effects that was maintained</w:t>
      </w:r>
      <w:r w:rsidR="00EA1D83" w:rsidRPr="00561A0C">
        <w:rPr>
          <w:rFonts w:ascii="Arial" w:hAnsi="Arial" w:cs="Arial"/>
          <w:lang w:val="en-US"/>
        </w:rPr>
        <w:t xml:space="preserve"> </w:t>
      </w:r>
      <w:r w:rsidR="00EA1D83">
        <w:rPr>
          <w:rFonts w:ascii="Arial" w:hAnsi="Arial" w:cs="Arial"/>
          <w:highlight w:val="yellow"/>
          <w:lang w:val="en-US"/>
        </w:rPr>
        <w:t xml:space="preserve">across the full length of the </w:t>
      </w:r>
      <w:r w:rsidRPr="009E43BC">
        <w:rPr>
          <w:rFonts w:ascii="Arial" w:hAnsi="Arial" w:cs="Arial"/>
          <w:highlight w:val="yellow"/>
          <w:lang w:val="en-US"/>
        </w:rPr>
        <w:t>RCT. The significant main effect of time during Piece 1 also indicated that, across all participants</w:t>
      </w:r>
      <w:r w:rsidR="00EA1D83" w:rsidRPr="009E43BC">
        <w:rPr>
          <w:rFonts w:ascii="Arial" w:hAnsi="Arial" w:cs="Arial"/>
          <w:highlight w:val="yellow"/>
          <w:lang w:val="en-US"/>
        </w:rPr>
        <w:t xml:space="preserve"> and irrespective of subgroup</w:t>
      </w:r>
      <w:r w:rsidRPr="009E43BC">
        <w:rPr>
          <w:rFonts w:ascii="Arial" w:hAnsi="Arial" w:cs="Arial"/>
          <w:highlight w:val="yellow"/>
          <w:lang w:val="en-US"/>
        </w:rPr>
        <w:t xml:space="preserve">, </w:t>
      </w:r>
      <w:r w:rsidR="00F23836" w:rsidRPr="009E43BC">
        <w:rPr>
          <w:rFonts w:ascii="Arial" w:hAnsi="Arial" w:cs="Arial"/>
          <w:highlight w:val="yellow"/>
          <w:lang w:val="en-US"/>
        </w:rPr>
        <w:t xml:space="preserve">levels of the outcome variables decreased (i.e., </w:t>
      </w:r>
      <w:r w:rsidR="00EA1D83" w:rsidRPr="009E43BC">
        <w:rPr>
          <w:rFonts w:ascii="Arial" w:hAnsi="Arial" w:cs="Arial"/>
          <w:highlight w:val="yellow"/>
          <w:lang w:val="en-US"/>
        </w:rPr>
        <w:t>slopes were</w:t>
      </w:r>
      <w:r w:rsidR="00F23836" w:rsidRPr="009E43BC">
        <w:rPr>
          <w:rFonts w:ascii="Arial" w:hAnsi="Arial" w:cs="Arial"/>
          <w:highlight w:val="yellow"/>
          <w:lang w:val="en-US"/>
        </w:rPr>
        <w:t xml:space="preserve"> significantly negative) throughout the treatment period.</w:t>
      </w:r>
      <w:r w:rsidR="00F23836" w:rsidRPr="00561A0C">
        <w:rPr>
          <w:rFonts w:ascii="Arial" w:hAnsi="Arial" w:cs="Arial"/>
          <w:lang w:val="en-US"/>
        </w:rPr>
        <w:t xml:space="preserve"> </w:t>
      </w:r>
      <w:r w:rsidR="00AB147C">
        <w:rPr>
          <w:rFonts w:ascii="Arial" w:hAnsi="Arial" w:cs="Arial"/>
          <w:highlight w:val="yellow"/>
          <w:lang w:val="en-US"/>
        </w:rPr>
        <w:t xml:space="preserve">In contrast, the main effect for Piece 2 was not significant across outcome variables, indicating stable slopes that were not significantly different from 0 during the follow-up period. Finally, </w:t>
      </w:r>
      <w:r w:rsidR="00AB147C" w:rsidRPr="009E43BC">
        <w:rPr>
          <w:rFonts w:ascii="Arial" w:hAnsi="Arial" w:cs="Arial"/>
          <w:highlight w:val="yellow"/>
          <w:lang w:val="en-US"/>
        </w:rPr>
        <w:t>t</w:t>
      </w:r>
      <w:r w:rsidR="00F23836" w:rsidRPr="009E43BC">
        <w:rPr>
          <w:rFonts w:ascii="Arial" w:hAnsi="Arial" w:cs="Arial"/>
          <w:highlight w:val="yellow"/>
          <w:lang w:val="en-US"/>
        </w:rPr>
        <w:t>he main effect of treatment was not significant in all models</w:t>
      </w:r>
      <w:r w:rsidR="00EA1D83" w:rsidRPr="009E43BC">
        <w:rPr>
          <w:rFonts w:ascii="Arial" w:hAnsi="Arial" w:cs="Arial"/>
          <w:highlight w:val="yellow"/>
          <w:lang w:val="en-US"/>
        </w:rPr>
        <w:t xml:space="preserve"> (all p’s &gt; 0.05)</w:t>
      </w:r>
      <w:r w:rsidR="00F23836" w:rsidRPr="009E43BC">
        <w:rPr>
          <w:rFonts w:ascii="Arial" w:hAnsi="Arial" w:cs="Arial"/>
          <w:highlight w:val="yellow"/>
          <w:lang w:val="en-US"/>
        </w:rPr>
        <w:t>, indicating that both CBT and EDU were comparable in their overall treatment effect</w:t>
      </w:r>
      <w:r w:rsidR="00EA1D83" w:rsidRPr="009E43BC">
        <w:rPr>
          <w:rFonts w:ascii="Arial" w:hAnsi="Arial" w:cs="Arial"/>
          <w:highlight w:val="yellow"/>
          <w:lang w:val="en-US"/>
        </w:rPr>
        <w:t xml:space="preserve"> when participants were not distinguished by subgroup</w:t>
      </w:r>
      <w:r w:rsidR="00EA1D83" w:rsidRPr="00561A0C">
        <w:rPr>
          <w:rFonts w:ascii="Arial" w:hAnsi="Arial" w:cs="Arial"/>
          <w:lang w:val="en-US"/>
        </w:rPr>
        <w:t>.</w:t>
      </w:r>
      <w:r w:rsidR="00EA1D83">
        <w:rPr>
          <w:rFonts w:ascii="Arial" w:hAnsi="Arial" w:cs="Arial"/>
          <w:lang w:val="en-US"/>
        </w:rPr>
        <w:t xml:space="preserve"> </w:t>
      </w:r>
    </w:p>
    <w:p w14:paraId="5725FC59" w14:textId="5A411D04" w:rsidR="00507370" w:rsidRPr="00C50A39" w:rsidRDefault="003D6800" w:rsidP="00C50A39">
      <w:pPr>
        <w:spacing w:after="0" w:line="480" w:lineRule="auto"/>
        <w:rPr>
          <w:rFonts w:ascii="Arial" w:hAnsi="Arial" w:cs="Arial"/>
          <w:iCs/>
          <w:color w:val="FF0000"/>
          <w:highlight w:val="yellow"/>
        </w:rPr>
      </w:pPr>
      <w:r w:rsidRPr="00C50A39">
        <w:rPr>
          <w:rFonts w:ascii="Arial" w:hAnsi="Arial" w:cs="Arial"/>
          <w:b/>
          <w:bCs/>
          <w:lang w:val="en-US"/>
        </w:rPr>
        <w:t>Patient</w:t>
      </w:r>
      <w:r w:rsidR="00507370" w:rsidRPr="00C50A39">
        <w:rPr>
          <w:rFonts w:ascii="Arial" w:hAnsi="Arial" w:cs="Arial"/>
          <w:b/>
          <w:bCs/>
          <w:lang w:val="en-US"/>
        </w:rPr>
        <w:t xml:space="preserve"> Subgroup as a Moderator of Treatment Outcomes</w:t>
      </w:r>
    </w:p>
    <w:p w14:paraId="4033BCE8" w14:textId="14B0BFD9" w:rsidR="003C6A69" w:rsidRPr="00C50A39" w:rsidRDefault="009E43BC" w:rsidP="00C50A39">
      <w:pPr>
        <w:spacing w:after="0" w:line="480" w:lineRule="auto"/>
        <w:ind w:firstLine="720"/>
        <w:rPr>
          <w:rFonts w:ascii="Arial" w:hAnsi="Arial" w:cs="Arial"/>
          <w:lang w:val="en-US"/>
        </w:rPr>
      </w:pPr>
      <w:r w:rsidRPr="009E43BC">
        <w:rPr>
          <w:rFonts w:ascii="Arial" w:hAnsi="Arial" w:cs="Arial"/>
          <w:iCs/>
          <w:highlight w:val="yellow"/>
        </w:rPr>
        <w:lastRenderedPageBreak/>
        <w:t xml:space="preserve">The goal of the study was to quantify the utility of an a priori composite </w:t>
      </w:r>
      <w:r w:rsidR="008B158B">
        <w:rPr>
          <w:rFonts w:ascii="Arial" w:hAnsi="Arial" w:cs="Arial"/>
          <w:iCs/>
          <w:highlight w:val="yellow"/>
        </w:rPr>
        <w:t xml:space="preserve">patient subgroup </w:t>
      </w:r>
      <w:r w:rsidRPr="009E43BC">
        <w:rPr>
          <w:rFonts w:ascii="Arial" w:hAnsi="Arial" w:cs="Arial"/>
          <w:iCs/>
          <w:highlight w:val="yellow"/>
        </w:rPr>
        <w:t>moderator in predicting differential treatment response</w:t>
      </w:r>
      <w:r>
        <w:rPr>
          <w:rFonts w:ascii="Arial" w:hAnsi="Arial" w:cs="Arial"/>
          <w:iCs/>
        </w:rPr>
        <w:t xml:space="preserve">. </w:t>
      </w:r>
      <w:r w:rsidR="00507370" w:rsidRPr="00C50A39">
        <w:rPr>
          <w:rFonts w:ascii="Arial" w:hAnsi="Arial" w:cs="Arial"/>
          <w:iCs/>
        </w:rPr>
        <w:t xml:space="preserve">Significant Treatment X Subgroup X </w:t>
      </w:r>
      <w:r w:rsidR="0044350C" w:rsidRPr="00C50A39">
        <w:rPr>
          <w:rFonts w:ascii="Arial" w:hAnsi="Arial" w:cs="Arial"/>
          <w:iCs/>
        </w:rPr>
        <w:t xml:space="preserve">Time </w:t>
      </w:r>
      <w:r w:rsidR="00507370" w:rsidRPr="00C50A39">
        <w:rPr>
          <w:rFonts w:ascii="Arial" w:hAnsi="Arial" w:cs="Arial"/>
          <w:iCs/>
        </w:rPr>
        <w:t>(Piece 1) interaction effects indicate</w:t>
      </w:r>
      <w:r w:rsidR="002A712C" w:rsidRPr="00C50A39">
        <w:rPr>
          <w:rFonts w:ascii="Arial" w:hAnsi="Arial" w:cs="Arial"/>
          <w:iCs/>
        </w:rPr>
        <w:t>d</w:t>
      </w:r>
      <w:r w:rsidR="00507370" w:rsidRPr="00C50A39">
        <w:rPr>
          <w:rFonts w:ascii="Arial" w:hAnsi="Arial" w:cs="Arial"/>
          <w:iCs/>
        </w:rPr>
        <w:t xml:space="preserve"> </w:t>
      </w:r>
      <w:r w:rsidR="00725E39" w:rsidRPr="00C50A39">
        <w:rPr>
          <w:rFonts w:ascii="Arial" w:hAnsi="Arial" w:cs="Arial"/>
          <w:iCs/>
        </w:rPr>
        <w:t xml:space="preserve">significant </w:t>
      </w:r>
      <w:r w:rsidR="00507370" w:rsidRPr="00C50A39">
        <w:rPr>
          <w:rFonts w:ascii="Arial" w:hAnsi="Arial" w:cs="Arial"/>
          <w:iCs/>
        </w:rPr>
        <w:t>moderation of treatment outcomes by subgroup for both GI symptoms (</w:t>
      </w:r>
      <w:proofErr w:type="gramStart"/>
      <w:r w:rsidR="00507370" w:rsidRPr="00C50A39">
        <w:rPr>
          <w:rFonts w:ascii="Arial" w:hAnsi="Arial" w:cs="Arial"/>
          <w:iCs/>
        </w:rPr>
        <w:t>t</w:t>
      </w:r>
      <w:r w:rsidR="003259DD" w:rsidRPr="00C50A39">
        <w:rPr>
          <w:rFonts w:ascii="Arial" w:hAnsi="Arial" w:cs="Arial"/>
          <w:iCs/>
        </w:rPr>
        <w:t>[</w:t>
      </w:r>
      <w:proofErr w:type="gramEnd"/>
      <w:r w:rsidR="00507370" w:rsidRPr="00C50A39">
        <w:rPr>
          <w:rFonts w:ascii="Arial" w:hAnsi="Arial" w:cs="Arial"/>
          <w:iCs/>
        </w:rPr>
        <w:t>853</w:t>
      </w:r>
      <w:r w:rsidR="003259DD" w:rsidRPr="00C50A39">
        <w:rPr>
          <w:rFonts w:ascii="Arial" w:hAnsi="Arial" w:cs="Arial"/>
          <w:iCs/>
        </w:rPr>
        <w:t>]</w:t>
      </w:r>
      <w:r w:rsidR="00507370" w:rsidRPr="00C50A39">
        <w:rPr>
          <w:rFonts w:ascii="Arial" w:hAnsi="Arial" w:cs="Arial"/>
          <w:iCs/>
        </w:rPr>
        <w:t xml:space="preserve"> = -2.93, p = 0.003) and abdominal pain (t</w:t>
      </w:r>
      <w:r w:rsidR="003259DD" w:rsidRPr="00C50A39">
        <w:rPr>
          <w:rFonts w:ascii="Arial" w:hAnsi="Arial" w:cs="Arial"/>
          <w:iCs/>
        </w:rPr>
        <w:t>[</w:t>
      </w:r>
      <w:r w:rsidR="00507370" w:rsidRPr="00C50A39">
        <w:rPr>
          <w:rFonts w:ascii="Arial" w:hAnsi="Arial" w:cs="Arial"/>
          <w:iCs/>
        </w:rPr>
        <w:t>844</w:t>
      </w:r>
      <w:r w:rsidR="003259DD" w:rsidRPr="00C50A39">
        <w:rPr>
          <w:rFonts w:ascii="Arial" w:hAnsi="Arial" w:cs="Arial"/>
          <w:iCs/>
        </w:rPr>
        <w:t>]</w:t>
      </w:r>
      <w:r w:rsidR="00507370" w:rsidRPr="00C50A39">
        <w:rPr>
          <w:rFonts w:ascii="Arial" w:hAnsi="Arial" w:cs="Arial"/>
          <w:iCs/>
        </w:rPr>
        <w:t xml:space="preserve"> = -2.14, p=0.03), but not </w:t>
      </w:r>
      <w:r w:rsidR="00414D42" w:rsidRPr="00C50A39">
        <w:rPr>
          <w:rFonts w:ascii="Arial" w:hAnsi="Arial" w:cs="Arial"/>
          <w:iCs/>
        </w:rPr>
        <w:t xml:space="preserve">for </w:t>
      </w:r>
      <w:r w:rsidR="00507370" w:rsidRPr="00C50A39">
        <w:rPr>
          <w:rFonts w:ascii="Arial" w:hAnsi="Arial" w:cs="Arial"/>
          <w:lang w:val="en-US"/>
        </w:rPr>
        <w:t>pain interference</w:t>
      </w:r>
      <w:r w:rsidR="00D647B1" w:rsidRPr="00C50A39">
        <w:rPr>
          <w:rFonts w:ascii="Arial" w:hAnsi="Arial" w:cs="Arial"/>
          <w:lang w:val="en-US"/>
        </w:rPr>
        <w:t xml:space="preserve"> (t</w:t>
      </w:r>
      <w:r w:rsidR="003259DD" w:rsidRPr="00C50A39">
        <w:rPr>
          <w:rFonts w:ascii="Arial" w:hAnsi="Arial" w:cs="Arial"/>
          <w:lang w:val="en-US"/>
        </w:rPr>
        <w:t>[</w:t>
      </w:r>
      <w:r w:rsidR="00D647B1" w:rsidRPr="00C50A39">
        <w:rPr>
          <w:rFonts w:ascii="Arial" w:hAnsi="Arial" w:cs="Arial"/>
          <w:lang w:val="en-US"/>
        </w:rPr>
        <w:t>850</w:t>
      </w:r>
      <w:r w:rsidR="003259DD" w:rsidRPr="00C50A39">
        <w:rPr>
          <w:rFonts w:ascii="Arial" w:hAnsi="Arial" w:cs="Arial"/>
          <w:lang w:val="en-US"/>
        </w:rPr>
        <w:t>]</w:t>
      </w:r>
      <w:r w:rsidR="00D647B1" w:rsidRPr="00C50A39">
        <w:rPr>
          <w:rFonts w:ascii="Arial" w:hAnsi="Arial" w:cs="Arial"/>
          <w:lang w:val="en-US"/>
        </w:rPr>
        <w:t xml:space="preserve"> = -0.91, p = 0.36)</w:t>
      </w:r>
      <w:r w:rsidR="00507370" w:rsidRPr="00C50A39">
        <w:rPr>
          <w:rFonts w:ascii="Arial" w:hAnsi="Arial" w:cs="Arial"/>
          <w:lang w:val="en-US"/>
        </w:rPr>
        <w:t xml:space="preserve">. </w:t>
      </w:r>
      <w:r w:rsidR="00F23836" w:rsidRPr="00561A0C">
        <w:rPr>
          <w:rFonts w:ascii="Arial" w:hAnsi="Arial" w:cs="Arial"/>
          <w:highlight w:val="yellow"/>
          <w:lang w:val="en-US"/>
        </w:rPr>
        <w:t>In other words, treatment response differe</w:t>
      </w:r>
      <w:r>
        <w:rPr>
          <w:rFonts w:ascii="Arial" w:hAnsi="Arial" w:cs="Arial"/>
          <w:highlight w:val="yellow"/>
          <w:lang w:val="en-US"/>
        </w:rPr>
        <w:t>d</w:t>
      </w:r>
      <w:r w:rsidR="00F23836" w:rsidRPr="00561A0C">
        <w:rPr>
          <w:rFonts w:ascii="Arial" w:hAnsi="Arial" w:cs="Arial"/>
          <w:highlight w:val="yellow"/>
          <w:lang w:val="en-US"/>
        </w:rPr>
        <w:t xml:space="preserve"> based on FAP subgroup when predicting </w:t>
      </w:r>
      <w:r w:rsidR="008B158B">
        <w:rPr>
          <w:rFonts w:ascii="Arial" w:hAnsi="Arial" w:cs="Arial"/>
          <w:highlight w:val="yellow"/>
          <w:lang w:val="en-US"/>
        </w:rPr>
        <w:t xml:space="preserve">changes in </w:t>
      </w:r>
      <w:r w:rsidR="00F23836" w:rsidRPr="00561A0C">
        <w:rPr>
          <w:rFonts w:ascii="Arial" w:hAnsi="Arial" w:cs="Arial"/>
          <w:highlight w:val="yellow"/>
          <w:lang w:val="en-US"/>
        </w:rPr>
        <w:t xml:space="preserve">GI symptoms and abdominal </w:t>
      </w:r>
      <w:r w:rsidR="00F23836" w:rsidRPr="008B158B">
        <w:rPr>
          <w:rFonts w:ascii="Arial" w:hAnsi="Arial" w:cs="Arial"/>
          <w:highlight w:val="yellow"/>
          <w:lang w:val="en-US"/>
        </w:rPr>
        <w:t>pain</w:t>
      </w:r>
      <w:r w:rsidR="008B158B" w:rsidRPr="008B158B">
        <w:rPr>
          <w:rFonts w:ascii="Arial" w:hAnsi="Arial" w:cs="Arial"/>
          <w:highlight w:val="yellow"/>
          <w:lang w:val="en-US"/>
        </w:rPr>
        <w:t xml:space="preserve"> over the treatment period</w:t>
      </w:r>
      <w:r w:rsidR="00F23836">
        <w:rPr>
          <w:rFonts w:ascii="Arial" w:hAnsi="Arial" w:cs="Arial"/>
          <w:lang w:val="en-US"/>
        </w:rPr>
        <w:t xml:space="preserve">. </w:t>
      </w:r>
      <w:r w:rsidR="00507370" w:rsidRPr="00C50A39">
        <w:rPr>
          <w:rFonts w:ascii="Arial" w:hAnsi="Arial" w:cs="Arial"/>
          <w:lang w:val="en-US"/>
        </w:rPr>
        <w:t xml:space="preserve">Figure </w:t>
      </w:r>
      <w:r w:rsidR="00FE05F1">
        <w:rPr>
          <w:rFonts w:ascii="Arial" w:hAnsi="Arial" w:cs="Arial"/>
          <w:lang w:val="en-US"/>
        </w:rPr>
        <w:t>3</w:t>
      </w:r>
      <w:r w:rsidR="00507370" w:rsidRPr="00C50A39">
        <w:rPr>
          <w:rFonts w:ascii="Arial" w:hAnsi="Arial" w:cs="Arial"/>
          <w:lang w:val="en-US"/>
        </w:rPr>
        <w:t xml:space="preserve"> pr</w:t>
      </w:r>
      <w:r w:rsidR="008C15C8" w:rsidRPr="00C50A39">
        <w:rPr>
          <w:rFonts w:ascii="Arial" w:hAnsi="Arial" w:cs="Arial"/>
          <w:lang w:val="en-US"/>
        </w:rPr>
        <w:t xml:space="preserve">esents </w:t>
      </w:r>
      <w:r w:rsidR="00507370" w:rsidRPr="00C50A39">
        <w:rPr>
          <w:rFonts w:ascii="Arial" w:hAnsi="Arial" w:cs="Arial"/>
          <w:lang w:val="en-US"/>
        </w:rPr>
        <w:t>the Treatment x Subgroup x Time</w:t>
      </w:r>
      <w:r w:rsidR="00BC7C1E" w:rsidRPr="00C50A39">
        <w:rPr>
          <w:rFonts w:ascii="Arial" w:hAnsi="Arial" w:cs="Arial"/>
          <w:lang w:val="en-US"/>
        </w:rPr>
        <w:t xml:space="preserve"> (Piece 1)</w:t>
      </w:r>
      <w:r w:rsidR="00507370" w:rsidRPr="00C50A39">
        <w:rPr>
          <w:rFonts w:ascii="Arial" w:hAnsi="Arial" w:cs="Arial"/>
          <w:lang w:val="en-US"/>
        </w:rPr>
        <w:t xml:space="preserve"> interactions for GI Symptoms (Panel A) and abdominal pain (Panel B). As shown in Figure </w:t>
      </w:r>
      <w:r w:rsidR="00451B05">
        <w:rPr>
          <w:rFonts w:ascii="Arial" w:hAnsi="Arial" w:cs="Arial"/>
          <w:lang w:val="en-US"/>
        </w:rPr>
        <w:t>3</w:t>
      </w:r>
      <w:r w:rsidR="00507370" w:rsidRPr="00C50A39">
        <w:rPr>
          <w:rFonts w:ascii="Arial" w:hAnsi="Arial" w:cs="Arial"/>
          <w:lang w:val="en-US"/>
        </w:rPr>
        <w:t xml:space="preserve"> and Tables 2 and 3, the significant three-way interaction indicates that change in GI symptoms and abdominal pain during the treatment period depended on both treatment condition and p</w:t>
      </w:r>
      <w:r w:rsidR="003D6800" w:rsidRPr="00C50A39">
        <w:rPr>
          <w:rFonts w:ascii="Arial" w:hAnsi="Arial" w:cs="Arial"/>
          <w:lang w:val="en-US"/>
        </w:rPr>
        <w:t>atient</w:t>
      </w:r>
      <w:r w:rsidR="00507370" w:rsidRPr="00C50A39">
        <w:rPr>
          <w:rFonts w:ascii="Arial" w:hAnsi="Arial" w:cs="Arial"/>
          <w:lang w:val="en-US"/>
        </w:rPr>
        <w:t xml:space="preserve"> subgroup. Specifically, within the HPD subgroup, youth assigned to CBT demonstrated significantly greater reductions in GI symptoms compared to youth in EDU (</w:t>
      </w:r>
      <w:proofErr w:type="gramStart"/>
      <w:r w:rsidR="00507370" w:rsidRPr="00C50A39">
        <w:rPr>
          <w:rFonts w:ascii="Arial" w:hAnsi="Arial" w:cs="Arial"/>
          <w:lang w:val="en-US"/>
        </w:rPr>
        <w:t>t</w:t>
      </w:r>
      <w:r w:rsidR="003259DD" w:rsidRPr="00C50A39">
        <w:rPr>
          <w:rFonts w:ascii="Arial" w:hAnsi="Arial" w:cs="Arial"/>
          <w:lang w:val="en-US"/>
        </w:rPr>
        <w:t>[</w:t>
      </w:r>
      <w:proofErr w:type="gramEnd"/>
      <w:r w:rsidR="00507370" w:rsidRPr="00C50A39">
        <w:rPr>
          <w:rFonts w:ascii="Arial" w:hAnsi="Arial" w:cs="Arial"/>
          <w:lang w:val="en-US"/>
        </w:rPr>
        <w:t>853</w:t>
      </w:r>
      <w:r w:rsidR="003259DD" w:rsidRPr="00C50A39">
        <w:rPr>
          <w:rFonts w:ascii="Arial" w:hAnsi="Arial" w:cs="Arial"/>
          <w:lang w:val="en-US"/>
        </w:rPr>
        <w:t>]</w:t>
      </w:r>
      <w:r w:rsidR="00507370" w:rsidRPr="00C50A39">
        <w:rPr>
          <w:rFonts w:ascii="Arial" w:hAnsi="Arial" w:cs="Arial"/>
          <w:lang w:val="en-US"/>
        </w:rPr>
        <w:t xml:space="preserve"> = -3.24, p</w:t>
      </w:r>
      <w:r w:rsidR="00CA65B7" w:rsidRPr="00C50A39">
        <w:rPr>
          <w:rFonts w:ascii="Arial" w:hAnsi="Arial" w:cs="Arial"/>
          <w:lang w:val="en-US"/>
        </w:rPr>
        <w:t xml:space="preserve"> </w:t>
      </w:r>
      <w:r w:rsidR="00507370" w:rsidRPr="00C50A39">
        <w:rPr>
          <w:rFonts w:ascii="Arial" w:hAnsi="Arial" w:cs="Arial"/>
          <w:lang w:val="en-US"/>
        </w:rPr>
        <w:t>=</w:t>
      </w:r>
      <w:r w:rsidR="00CA65B7" w:rsidRPr="00C50A39">
        <w:rPr>
          <w:rFonts w:ascii="Arial" w:hAnsi="Arial" w:cs="Arial"/>
          <w:lang w:val="en-US"/>
        </w:rPr>
        <w:t xml:space="preserve"> </w:t>
      </w:r>
      <w:r w:rsidR="00507370" w:rsidRPr="00C50A39">
        <w:rPr>
          <w:rFonts w:ascii="Arial" w:hAnsi="Arial" w:cs="Arial"/>
          <w:lang w:val="en-US"/>
        </w:rPr>
        <w:t>0.001,</w:t>
      </w:r>
      <w:r w:rsidR="00CA65B7" w:rsidRPr="00C50A39">
        <w:rPr>
          <w:rFonts w:ascii="Arial" w:hAnsi="Arial" w:cs="Arial"/>
          <w:lang w:val="en-US"/>
        </w:rPr>
        <w:t xml:space="preserve"> d = -0.22</w:t>
      </w:r>
      <w:r w:rsidR="00507370" w:rsidRPr="00C50A39">
        <w:rPr>
          <w:rFonts w:ascii="Arial" w:hAnsi="Arial" w:cs="Arial"/>
          <w:lang w:val="en-US"/>
        </w:rPr>
        <w:t>). Furthermore, among all patients within the CBT treatment condition, HPD youth demonstrated significantly greater reductions in GI symptoms compared to LPA youth (</w:t>
      </w:r>
      <w:proofErr w:type="gramStart"/>
      <w:r w:rsidR="00507370" w:rsidRPr="00C50A39">
        <w:rPr>
          <w:rFonts w:ascii="Arial" w:hAnsi="Arial" w:cs="Arial"/>
          <w:lang w:val="en-US"/>
        </w:rPr>
        <w:t>t</w:t>
      </w:r>
      <w:r w:rsidR="003259DD" w:rsidRPr="00C50A39">
        <w:rPr>
          <w:rFonts w:ascii="Arial" w:hAnsi="Arial" w:cs="Arial"/>
          <w:lang w:val="en-US"/>
        </w:rPr>
        <w:t>[</w:t>
      </w:r>
      <w:proofErr w:type="gramEnd"/>
      <w:r w:rsidR="00507370" w:rsidRPr="00C50A39">
        <w:rPr>
          <w:rFonts w:ascii="Arial" w:hAnsi="Arial" w:cs="Arial"/>
          <w:lang w:val="en-US"/>
        </w:rPr>
        <w:t>853</w:t>
      </w:r>
      <w:r w:rsidR="003259DD" w:rsidRPr="00C50A39">
        <w:rPr>
          <w:rFonts w:ascii="Arial" w:hAnsi="Arial" w:cs="Arial"/>
          <w:lang w:val="en-US"/>
        </w:rPr>
        <w:t>]</w:t>
      </w:r>
      <w:r w:rsidR="00507370" w:rsidRPr="00C50A39">
        <w:rPr>
          <w:rFonts w:ascii="Arial" w:hAnsi="Arial" w:cs="Arial"/>
          <w:lang w:val="en-US"/>
        </w:rPr>
        <w:t xml:space="preserve"> = -3.89, p = 0.003</w:t>
      </w:r>
      <w:r w:rsidR="00CA65B7" w:rsidRPr="00C50A39">
        <w:rPr>
          <w:rFonts w:ascii="Arial" w:hAnsi="Arial" w:cs="Arial"/>
          <w:lang w:val="en-US"/>
        </w:rPr>
        <w:t>, d = -0.27</w:t>
      </w:r>
      <w:r w:rsidR="00507370" w:rsidRPr="00C50A39">
        <w:rPr>
          <w:rFonts w:ascii="Arial" w:hAnsi="Arial" w:cs="Arial"/>
          <w:lang w:val="en-US"/>
        </w:rPr>
        <w:t>) and HPA youth (t</w:t>
      </w:r>
      <w:r w:rsidR="003259DD" w:rsidRPr="00C50A39">
        <w:rPr>
          <w:rFonts w:ascii="Arial" w:hAnsi="Arial" w:cs="Arial"/>
          <w:lang w:val="en-US"/>
        </w:rPr>
        <w:t>[</w:t>
      </w:r>
      <w:r w:rsidR="00507370" w:rsidRPr="00C50A39">
        <w:rPr>
          <w:rFonts w:ascii="Arial" w:hAnsi="Arial" w:cs="Arial"/>
          <w:lang w:val="en-US"/>
        </w:rPr>
        <w:t>853</w:t>
      </w:r>
      <w:r w:rsidR="003259DD" w:rsidRPr="00C50A39">
        <w:rPr>
          <w:rFonts w:ascii="Arial" w:hAnsi="Arial" w:cs="Arial"/>
          <w:lang w:val="en-US"/>
        </w:rPr>
        <w:t>]</w:t>
      </w:r>
      <w:r w:rsidR="00507370" w:rsidRPr="00C50A39">
        <w:rPr>
          <w:rFonts w:ascii="Arial" w:hAnsi="Arial" w:cs="Arial"/>
          <w:lang w:val="en-US"/>
        </w:rPr>
        <w:t xml:space="preserve"> = -2.47, p=0.04</w:t>
      </w:r>
      <w:r w:rsidR="00CA65B7" w:rsidRPr="00C50A39">
        <w:rPr>
          <w:rFonts w:ascii="Arial" w:hAnsi="Arial" w:cs="Arial"/>
          <w:lang w:val="en-US"/>
        </w:rPr>
        <w:t>, d = -0.17</w:t>
      </w:r>
      <w:r w:rsidR="00507370" w:rsidRPr="00C50A39">
        <w:rPr>
          <w:rFonts w:ascii="Arial" w:hAnsi="Arial" w:cs="Arial"/>
          <w:lang w:val="en-US"/>
        </w:rPr>
        <w:t>); and greater reductions in abdominal pain compared to LPA youth (t</w:t>
      </w:r>
      <w:r w:rsidR="003259DD" w:rsidRPr="00C50A39">
        <w:rPr>
          <w:rFonts w:ascii="Arial" w:hAnsi="Arial" w:cs="Arial"/>
          <w:lang w:val="en-US"/>
        </w:rPr>
        <w:t>[</w:t>
      </w:r>
      <w:r w:rsidR="00507370" w:rsidRPr="00C50A39">
        <w:rPr>
          <w:rFonts w:ascii="Arial" w:hAnsi="Arial" w:cs="Arial"/>
          <w:lang w:val="en-US"/>
        </w:rPr>
        <w:t>844</w:t>
      </w:r>
      <w:r w:rsidR="003259DD" w:rsidRPr="00C50A39">
        <w:rPr>
          <w:rFonts w:ascii="Arial" w:hAnsi="Arial" w:cs="Arial"/>
          <w:lang w:val="en-US"/>
        </w:rPr>
        <w:t>]</w:t>
      </w:r>
      <w:r w:rsidR="00507370" w:rsidRPr="00C50A39">
        <w:rPr>
          <w:rFonts w:ascii="Arial" w:hAnsi="Arial" w:cs="Arial"/>
          <w:lang w:val="en-US"/>
        </w:rPr>
        <w:t xml:space="preserve"> = -3.63, p = 0.004</w:t>
      </w:r>
      <w:r w:rsidR="00CA65B7" w:rsidRPr="00C50A39">
        <w:rPr>
          <w:rFonts w:ascii="Arial" w:hAnsi="Arial" w:cs="Arial"/>
          <w:lang w:val="en-US"/>
        </w:rPr>
        <w:t>, d = -0.25</w:t>
      </w:r>
      <w:r w:rsidR="00507370" w:rsidRPr="00C50A39">
        <w:rPr>
          <w:rFonts w:ascii="Arial" w:hAnsi="Arial" w:cs="Arial"/>
          <w:lang w:val="en-US"/>
        </w:rPr>
        <w:t>).</w:t>
      </w:r>
      <w:r w:rsidR="00507370" w:rsidRPr="00C50A39" w:rsidDel="003930D3">
        <w:rPr>
          <w:rFonts w:ascii="Arial" w:hAnsi="Arial" w:cs="Arial"/>
          <w:lang w:val="en-US"/>
        </w:rPr>
        <w:t xml:space="preserve"> </w:t>
      </w:r>
      <w:r w:rsidR="00507370" w:rsidRPr="00C50A39">
        <w:rPr>
          <w:rFonts w:ascii="Arial" w:hAnsi="Arial" w:cs="Arial"/>
          <w:lang w:val="en-US"/>
        </w:rPr>
        <w:t>Among patients assigned to CBT, HPA youth also showed greater reduction in abdominal pain compared to LPA youth (</w:t>
      </w:r>
      <w:proofErr w:type="gramStart"/>
      <w:r w:rsidR="00507370" w:rsidRPr="00C50A39">
        <w:rPr>
          <w:rFonts w:ascii="Arial" w:hAnsi="Arial" w:cs="Arial"/>
          <w:lang w:val="en-US"/>
        </w:rPr>
        <w:t>t</w:t>
      </w:r>
      <w:r w:rsidR="003259DD" w:rsidRPr="00C50A39">
        <w:rPr>
          <w:rFonts w:ascii="Arial" w:hAnsi="Arial" w:cs="Arial"/>
          <w:lang w:val="en-US"/>
        </w:rPr>
        <w:t>[</w:t>
      </w:r>
      <w:proofErr w:type="gramEnd"/>
      <w:r w:rsidR="00507370" w:rsidRPr="00C50A39">
        <w:rPr>
          <w:rFonts w:ascii="Arial" w:hAnsi="Arial" w:cs="Arial"/>
          <w:lang w:val="en-US"/>
        </w:rPr>
        <w:t>844</w:t>
      </w:r>
      <w:r w:rsidR="003259DD" w:rsidRPr="00C50A39">
        <w:rPr>
          <w:rFonts w:ascii="Arial" w:hAnsi="Arial" w:cs="Arial"/>
          <w:lang w:val="en-US"/>
        </w:rPr>
        <w:t>]</w:t>
      </w:r>
      <w:r w:rsidR="00507370" w:rsidRPr="00C50A39">
        <w:rPr>
          <w:rFonts w:ascii="Arial" w:hAnsi="Arial" w:cs="Arial"/>
          <w:lang w:val="en-US"/>
        </w:rPr>
        <w:t xml:space="preserve"> = -2.79, p=0.01</w:t>
      </w:r>
      <w:r w:rsidR="00CA65B7" w:rsidRPr="00C50A39">
        <w:rPr>
          <w:rFonts w:ascii="Arial" w:hAnsi="Arial" w:cs="Arial"/>
          <w:lang w:val="en-US"/>
        </w:rPr>
        <w:t>, d = -0.19</w:t>
      </w:r>
      <w:r w:rsidR="00507370" w:rsidRPr="00C50A39">
        <w:rPr>
          <w:rFonts w:ascii="Arial" w:hAnsi="Arial" w:cs="Arial"/>
          <w:lang w:val="en-US"/>
        </w:rPr>
        <w:t>). Pairwise mean comparisons indicated that HPD youth</w:t>
      </w:r>
      <w:r w:rsidR="00F13B44" w:rsidRPr="00C50A39">
        <w:rPr>
          <w:rFonts w:ascii="Arial" w:hAnsi="Arial" w:cs="Arial"/>
          <w:lang w:val="en-US"/>
        </w:rPr>
        <w:t xml:space="preserve"> in CBT</w:t>
      </w:r>
      <w:r w:rsidR="00507370" w:rsidRPr="00C50A39">
        <w:rPr>
          <w:rFonts w:ascii="Arial" w:hAnsi="Arial" w:cs="Arial"/>
          <w:lang w:val="en-US"/>
        </w:rPr>
        <w:t xml:space="preserve"> also </w:t>
      </w:r>
      <w:r w:rsidR="007709F2" w:rsidRPr="00C50A39">
        <w:rPr>
          <w:rFonts w:ascii="Arial" w:hAnsi="Arial" w:cs="Arial"/>
          <w:lang w:val="en-US"/>
        </w:rPr>
        <w:t>reported</w:t>
      </w:r>
      <w:r w:rsidR="00507370" w:rsidRPr="00C50A39">
        <w:rPr>
          <w:rFonts w:ascii="Arial" w:hAnsi="Arial" w:cs="Arial"/>
          <w:lang w:val="en-US"/>
        </w:rPr>
        <w:t xml:space="preserve"> significantly lower levels of abdominal pain at post-treatment </w:t>
      </w:r>
      <w:r w:rsidR="002D45AA" w:rsidRPr="00C50A39">
        <w:rPr>
          <w:rFonts w:ascii="Arial" w:hAnsi="Arial" w:cs="Arial"/>
          <w:lang w:val="en-US"/>
        </w:rPr>
        <w:t>than</w:t>
      </w:r>
      <w:r w:rsidR="00715517" w:rsidRPr="00C50A39">
        <w:rPr>
          <w:rFonts w:ascii="Arial" w:hAnsi="Arial" w:cs="Arial"/>
          <w:lang w:val="en-US"/>
        </w:rPr>
        <w:t xml:space="preserve"> did</w:t>
      </w:r>
      <w:r w:rsidR="002D45AA" w:rsidRPr="00C50A39">
        <w:rPr>
          <w:rFonts w:ascii="Arial" w:hAnsi="Arial" w:cs="Arial"/>
          <w:lang w:val="en-US"/>
        </w:rPr>
        <w:t xml:space="preserve"> </w:t>
      </w:r>
      <w:r w:rsidR="00F84C46" w:rsidRPr="00C50A39">
        <w:rPr>
          <w:rFonts w:ascii="Arial" w:hAnsi="Arial" w:cs="Arial"/>
          <w:lang w:val="en-US"/>
        </w:rPr>
        <w:t>HPD youth</w:t>
      </w:r>
      <w:r w:rsidR="002D45AA" w:rsidRPr="00C50A39">
        <w:rPr>
          <w:rFonts w:ascii="Arial" w:hAnsi="Arial" w:cs="Arial"/>
          <w:lang w:val="en-US"/>
        </w:rPr>
        <w:t xml:space="preserve"> in </w:t>
      </w:r>
      <w:r w:rsidR="00507370" w:rsidRPr="00C50A39">
        <w:rPr>
          <w:rFonts w:ascii="Arial" w:hAnsi="Arial" w:cs="Arial"/>
          <w:lang w:val="en-US"/>
        </w:rPr>
        <w:t>EDU (</w:t>
      </w:r>
      <w:proofErr w:type="gramStart"/>
      <w:r w:rsidR="00507370" w:rsidRPr="00C50A39">
        <w:rPr>
          <w:rFonts w:ascii="Arial" w:hAnsi="Arial" w:cs="Arial"/>
          <w:lang w:val="en-US"/>
        </w:rPr>
        <w:t>t</w:t>
      </w:r>
      <w:r w:rsidR="003259DD" w:rsidRPr="00C50A39">
        <w:rPr>
          <w:rFonts w:ascii="Arial" w:hAnsi="Arial" w:cs="Arial"/>
          <w:lang w:val="en-US"/>
        </w:rPr>
        <w:t>[</w:t>
      </w:r>
      <w:proofErr w:type="gramEnd"/>
      <w:r w:rsidR="00507370" w:rsidRPr="00C50A39">
        <w:rPr>
          <w:rFonts w:ascii="Arial" w:hAnsi="Arial" w:cs="Arial"/>
          <w:lang w:val="en-US"/>
        </w:rPr>
        <w:t>270</w:t>
      </w:r>
      <w:r w:rsidR="003259DD" w:rsidRPr="00C50A39">
        <w:rPr>
          <w:rFonts w:ascii="Arial" w:hAnsi="Arial" w:cs="Arial"/>
          <w:lang w:val="en-US"/>
        </w:rPr>
        <w:t>]</w:t>
      </w:r>
      <w:r w:rsidR="00507370" w:rsidRPr="00C50A39">
        <w:rPr>
          <w:rFonts w:ascii="Arial" w:hAnsi="Arial" w:cs="Arial"/>
          <w:lang w:val="en-US"/>
        </w:rPr>
        <w:t xml:space="preserve"> = -2.12, p = 0.03</w:t>
      </w:r>
      <w:r w:rsidR="00BE5F95" w:rsidRPr="00C50A39">
        <w:rPr>
          <w:rFonts w:ascii="Arial" w:hAnsi="Arial" w:cs="Arial"/>
          <w:lang w:val="en-US"/>
        </w:rPr>
        <w:t>, d = -0.26</w:t>
      </w:r>
      <w:r w:rsidR="00507370" w:rsidRPr="00C50A39">
        <w:rPr>
          <w:rFonts w:ascii="Arial" w:hAnsi="Arial" w:cs="Arial"/>
          <w:lang w:val="en-US"/>
        </w:rPr>
        <w:t>)</w:t>
      </w:r>
      <w:r w:rsidR="008E3B68">
        <w:rPr>
          <w:rFonts w:ascii="Arial" w:hAnsi="Arial" w:cs="Arial"/>
          <w:lang w:val="en-US"/>
        </w:rPr>
        <w:t>.</w:t>
      </w:r>
      <w:r w:rsidR="00507370" w:rsidRPr="00C50A39">
        <w:rPr>
          <w:rFonts w:ascii="Arial" w:hAnsi="Arial" w:cs="Arial"/>
          <w:lang w:val="en-US"/>
        </w:rPr>
        <w:t xml:space="preserve"> </w:t>
      </w:r>
    </w:p>
    <w:p w14:paraId="55A67259" w14:textId="605D58F9" w:rsidR="00507370" w:rsidRPr="00C50A39" w:rsidRDefault="00507370" w:rsidP="00C50A39">
      <w:pPr>
        <w:spacing w:after="0" w:line="480" w:lineRule="auto"/>
        <w:ind w:firstLine="720"/>
        <w:rPr>
          <w:rFonts w:ascii="Arial" w:hAnsi="Arial" w:cs="Arial"/>
          <w:lang w:val="en-US"/>
        </w:rPr>
      </w:pPr>
      <w:r w:rsidRPr="00C50A39">
        <w:rPr>
          <w:rFonts w:ascii="Arial" w:hAnsi="Arial" w:cs="Arial"/>
          <w:lang w:val="en-US"/>
        </w:rPr>
        <w:t>Throughout the follow-up period</w:t>
      </w:r>
      <w:r w:rsidR="00725E39" w:rsidRPr="00C50A39">
        <w:rPr>
          <w:rFonts w:ascii="Arial" w:hAnsi="Arial" w:cs="Arial"/>
          <w:lang w:val="en-US"/>
        </w:rPr>
        <w:t xml:space="preserve"> (Piece 2)</w:t>
      </w:r>
      <w:r w:rsidRPr="00C50A39">
        <w:rPr>
          <w:rFonts w:ascii="Arial" w:hAnsi="Arial" w:cs="Arial"/>
          <w:lang w:val="en-US"/>
        </w:rPr>
        <w:t xml:space="preserve">, estimated slopes </w:t>
      </w:r>
      <w:r w:rsidR="00725E39" w:rsidRPr="00C50A39">
        <w:rPr>
          <w:rFonts w:ascii="Arial" w:hAnsi="Arial" w:cs="Arial"/>
          <w:lang w:val="en-US"/>
        </w:rPr>
        <w:t xml:space="preserve">within </w:t>
      </w:r>
      <w:r w:rsidRPr="00C50A39">
        <w:rPr>
          <w:rFonts w:ascii="Arial" w:hAnsi="Arial" w:cs="Arial"/>
          <w:lang w:val="en-US"/>
        </w:rPr>
        <w:t xml:space="preserve">each subgroup and treatment condition were not significantly different from zero, except for </w:t>
      </w:r>
      <w:r w:rsidR="00725E39" w:rsidRPr="00C50A39">
        <w:rPr>
          <w:rFonts w:ascii="Arial" w:hAnsi="Arial" w:cs="Arial"/>
          <w:lang w:val="en-US"/>
        </w:rPr>
        <w:t xml:space="preserve">a </w:t>
      </w:r>
      <w:r w:rsidRPr="00C50A39">
        <w:rPr>
          <w:rFonts w:ascii="Arial" w:hAnsi="Arial" w:cs="Arial"/>
          <w:lang w:val="en-US"/>
        </w:rPr>
        <w:t xml:space="preserve">significantly decreasing slope </w:t>
      </w:r>
      <w:r w:rsidR="00C75BA2" w:rsidRPr="00C75BA2">
        <w:rPr>
          <w:rFonts w:ascii="Arial" w:hAnsi="Arial" w:cs="Arial"/>
          <w:highlight w:val="yellow"/>
          <w:lang w:val="en-US"/>
        </w:rPr>
        <w:t>indicating continued decreases in</w:t>
      </w:r>
      <w:r w:rsidR="00725E39" w:rsidRPr="00C50A39">
        <w:rPr>
          <w:rFonts w:ascii="Arial" w:hAnsi="Arial" w:cs="Arial"/>
          <w:lang w:val="en-US"/>
        </w:rPr>
        <w:t xml:space="preserve"> </w:t>
      </w:r>
      <w:r w:rsidRPr="00C50A39">
        <w:rPr>
          <w:rFonts w:ascii="Arial" w:hAnsi="Arial" w:cs="Arial"/>
          <w:lang w:val="en-US"/>
        </w:rPr>
        <w:t xml:space="preserve">abdominal pain in the CBT condition (slope = -0.006, se = 0.003, 95% CI of the slope = [-0.01, -0.001]). </w:t>
      </w:r>
      <w:r w:rsidR="005A5CC4">
        <w:rPr>
          <w:rFonts w:ascii="Arial" w:hAnsi="Arial" w:cs="Arial"/>
          <w:lang w:val="en-US"/>
        </w:rPr>
        <w:t>T</w:t>
      </w:r>
      <w:r w:rsidR="00BB6E21" w:rsidRPr="00F00138">
        <w:rPr>
          <w:rFonts w:ascii="Arial" w:hAnsi="Arial" w:cs="Arial"/>
          <w:lang w:val="en-US"/>
        </w:rPr>
        <w:t xml:space="preserve">he output from the full LME </w:t>
      </w:r>
      <w:r w:rsidR="00BB6E21" w:rsidRPr="00F00138">
        <w:rPr>
          <w:rFonts w:ascii="Arial" w:hAnsi="Arial" w:cs="Arial"/>
          <w:lang w:val="en-US"/>
        </w:rPr>
        <w:lastRenderedPageBreak/>
        <w:t>models</w:t>
      </w:r>
      <w:r w:rsidR="005A5CC4">
        <w:rPr>
          <w:rFonts w:ascii="Arial" w:hAnsi="Arial" w:cs="Arial"/>
          <w:lang w:val="en-US"/>
        </w:rPr>
        <w:t xml:space="preserve"> and </w:t>
      </w:r>
      <w:r w:rsidRPr="00F00138">
        <w:rPr>
          <w:rFonts w:ascii="Arial" w:hAnsi="Arial" w:cs="Arial"/>
          <w:lang w:val="en-US"/>
        </w:rPr>
        <w:t>means and standard deviations of outcome measures across timepoints by treatment condition</w:t>
      </w:r>
      <w:r w:rsidR="005A5CC4">
        <w:rPr>
          <w:rFonts w:ascii="Arial" w:hAnsi="Arial" w:cs="Arial"/>
          <w:lang w:val="en-US"/>
        </w:rPr>
        <w:t xml:space="preserve"> are available in supplementary material</w:t>
      </w:r>
      <w:r w:rsidRPr="00F00138">
        <w:rPr>
          <w:rFonts w:ascii="Arial" w:hAnsi="Arial" w:cs="Arial"/>
          <w:lang w:val="en-US"/>
        </w:rPr>
        <w:t>.</w:t>
      </w:r>
    </w:p>
    <w:p w14:paraId="045FDA86" w14:textId="79248A91" w:rsidR="003B5C1B" w:rsidRPr="00C50A39" w:rsidRDefault="00FC6FB7" w:rsidP="005D267E">
      <w:pPr>
        <w:spacing w:after="0" w:line="480" w:lineRule="auto"/>
        <w:ind w:firstLine="720"/>
        <w:rPr>
          <w:rFonts w:ascii="Arial" w:hAnsi="Arial" w:cs="Arial"/>
        </w:rPr>
      </w:pPr>
      <w:r w:rsidRPr="00C50A39">
        <w:rPr>
          <w:rFonts w:ascii="Arial" w:hAnsi="Arial" w:cs="Arial"/>
        </w:rPr>
        <w:t xml:space="preserve">Regarding covariates, </w:t>
      </w:r>
      <w:r w:rsidR="00E153BE" w:rsidRPr="00C50A39">
        <w:rPr>
          <w:rFonts w:ascii="Arial" w:hAnsi="Arial" w:cs="Arial"/>
        </w:rPr>
        <w:t xml:space="preserve">greater </w:t>
      </w:r>
      <w:r w:rsidR="0068210C" w:rsidRPr="00C50A39">
        <w:rPr>
          <w:rFonts w:ascii="Arial" w:hAnsi="Arial" w:cs="Arial"/>
        </w:rPr>
        <w:t>a</w:t>
      </w:r>
      <w:r w:rsidR="00D63CA5" w:rsidRPr="00C50A39">
        <w:rPr>
          <w:rFonts w:ascii="Arial" w:hAnsi="Arial" w:cs="Arial"/>
        </w:rPr>
        <w:t>g</w:t>
      </w:r>
      <w:r w:rsidR="0068210C" w:rsidRPr="00C50A39">
        <w:rPr>
          <w:rFonts w:ascii="Arial" w:hAnsi="Arial" w:cs="Arial"/>
        </w:rPr>
        <w:t xml:space="preserve">e was associated </w:t>
      </w:r>
      <w:r w:rsidR="003936C9" w:rsidRPr="00C50A39">
        <w:rPr>
          <w:rFonts w:ascii="Arial" w:hAnsi="Arial" w:cs="Arial"/>
        </w:rPr>
        <w:t xml:space="preserve">with </w:t>
      </w:r>
      <w:r w:rsidR="0068210C" w:rsidRPr="00C50A39">
        <w:rPr>
          <w:rFonts w:ascii="Arial" w:hAnsi="Arial" w:cs="Arial"/>
        </w:rPr>
        <w:t xml:space="preserve">significantly </w:t>
      </w:r>
      <w:r w:rsidR="003936C9" w:rsidRPr="00C50A39">
        <w:rPr>
          <w:rFonts w:ascii="Arial" w:hAnsi="Arial" w:cs="Arial"/>
        </w:rPr>
        <w:t>higher</w:t>
      </w:r>
      <w:r w:rsidR="00DF6F70" w:rsidRPr="00C50A39">
        <w:rPr>
          <w:rFonts w:ascii="Arial" w:hAnsi="Arial" w:cs="Arial"/>
        </w:rPr>
        <w:t xml:space="preserve"> </w:t>
      </w:r>
      <w:r w:rsidR="0068210C" w:rsidRPr="00C50A39">
        <w:rPr>
          <w:rFonts w:ascii="Arial" w:hAnsi="Arial" w:cs="Arial"/>
        </w:rPr>
        <w:t>GI symptoms (</w:t>
      </w:r>
      <w:proofErr w:type="gramStart"/>
      <w:r w:rsidR="0068210C" w:rsidRPr="00C50A39">
        <w:rPr>
          <w:rFonts w:ascii="Arial" w:hAnsi="Arial" w:cs="Arial"/>
        </w:rPr>
        <w:t>t</w:t>
      </w:r>
      <w:r w:rsidR="003259DD" w:rsidRPr="00C50A39">
        <w:rPr>
          <w:rFonts w:ascii="Arial" w:hAnsi="Arial" w:cs="Arial"/>
        </w:rPr>
        <w:t>[</w:t>
      </w:r>
      <w:proofErr w:type="gramEnd"/>
      <w:r w:rsidR="0068210C" w:rsidRPr="00C50A39">
        <w:rPr>
          <w:rFonts w:ascii="Arial" w:hAnsi="Arial" w:cs="Arial"/>
        </w:rPr>
        <w:t>2</w:t>
      </w:r>
      <w:r w:rsidR="003930D3" w:rsidRPr="00C50A39">
        <w:rPr>
          <w:rFonts w:ascii="Arial" w:hAnsi="Arial" w:cs="Arial"/>
        </w:rPr>
        <w:t>70</w:t>
      </w:r>
      <w:r w:rsidR="003259DD" w:rsidRPr="00C50A39">
        <w:rPr>
          <w:rFonts w:ascii="Arial" w:hAnsi="Arial" w:cs="Arial"/>
        </w:rPr>
        <w:t>]</w:t>
      </w:r>
      <w:r w:rsidR="0068210C" w:rsidRPr="00C50A39">
        <w:rPr>
          <w:rFonts w:ascii="Arial" w:hAnsi="Arial" w:cs="Arial"/>
        </w:rPr>
        <w:t xml:space="preserve"> = </w:t>
      </w:r>
      <w:r w:rsidR="003930D3" w:rsidRPr="00C50A39">
        <w:rPr>
          <w:rFonts w:ascii="Arial" w:hAnsi="Arial" w:cs="Arial"/>
        </w:rPr>
        <w:t>3.30</w:t>
      </w:r>
      <w:r w:rsidR="0068210C" w:rsidRPr="00C50A39">
        <w:rPr>
          <w:rFonts w:ascii="Arial" w:hAnsi="Arial" w:cs="Arial"/>
        </w:rPr>
        <w:t>, p</w:t>
      </w:r>
      <w:r w:rsidR="008F0CD1" w:rsidRPr="00C50A39">
        <w:rPr>
          <w:rFonts w:ascii="Arial" w:hAnsi="Arial" w:cs="Arial"/>
        </w:rPr>
        <w:t xml:space="preserve"> </w:t>
      </w:r>
      <w:r w:rsidR="0068210C" w:rsidRPr="00C50A39">
        <w:rPr>
          <w:rFonts w:ascii="Arial" w:hAnsi="Arial" w:cs="Arial"/>
        </w:rPr>
        <w:t>=</w:t>
      </w:r>
      <w:r w:rsidR="008F0CD1" w:rsidRPr="00C50A39">
        <w:rPr>
          <w:rFonts w:ascii="Arial" w:hAnsi="Arial" w:cs="Arial"/>
        </w:rPr>
        <w:t xml:space="preserve"> </w:t>
      </w:r>
      <w:r w:rsidR="0068210C" w:rsidRPr="00C50A39">
        <w:rPr>
          <w:rFonts w:ascii="Arial" w:hAnsi="Arial" w:cs="Arial"/>
        </w:rPr>
        <w:t>0.00</w:t>
      </w:r>
      <w:r w:rsidR="003930D3" w:rsidRPr="00C50A39">
        <w:rPr>
          <w:rFonts w:ascii="Arial" w:hAnsi="Arial" w:cs="Arial"/>
        </w:rPr>
        <w:t>1</w:t>
      </w:r>
      <w:r w:rsidR="005F4E12" w:rsidRPr="00C50A39">
        <w:rPr>
          <w:rFonts w:ascii="Arial" w:hAnsi="Arial" w:cs="Arial"/>
        </w:rPr>
        <w:t xml:space="preserve">, d = </w:t>
      </w:r>
      <w:r w:rsidR="00DE16B5" w:rsidRPr="00C50A39">
        <w:rPr>
          <w:rFonts w:ascii="Arial" w:hAnsi="Arial" w:cs="Arial"/>
        </w:rPr>
        <w:t>.</w:t>
      </w:r>
      <w:r w:rsidR="005F4E12" w:rsidRPr="00C50A39">
        <w:rPr>
          <w:rFonts w:ascii="Arial" w:hAnsi="Arial" w:cs="Arial"/>
        </w:rPr>
        <w:t>40</w:t>
      </w:r>
      <w:r w:rsidR="0068210C" w:rsidRPr="00C50A39">
        <w:rPr>
          <w:rFonts w:ascii="Arial" w:hAnsi="Arial" w:cs="Arial"/>
        </w:rPr>
        <w:t xml:space="preserve">) and female </w:t>
      </w:r>
      <w:r w:rsidRPr="00C50A39">
        <w:rPr>
          <w:rFonts w:ascii="Arial" w:hAnsi="Arial" w:cs="Arial"/>
        </w:rPr>
        <w:t xml:space="preserve">sex </w:t>
      </w:r>
      <w:r w:rsidR="0068210C" w:rsidRPr="00C50A39">
        <w:rPr>
          <w:rFonts w:ascii="Arial" w:hAnsi="Arial" w:cs="Arial"/>
        </w:rPr>
        <w:t xml:space="preserve">was associated with significantly </w:t>
      </w:r>
      <w:r w:rsidR="003936C9" w:rsidRPr="00C50A39">
        <w:rPr>
          <w:rFonts w:ascii="Arial" w:hAnsi="Arial" w:cs="Arial"/>
        </w:rPr>
        <w:t xml:space="preserve">higher </w:t>
      </w:r>
      <w:r w:rsidR="00070B13" w:rsidRPr="00C50A39">
        <w:rPr>
          <w:rFonts w:ascii="Arial" w:hAnsi="Arial" w:cs="Arial"/>
        </w:rPr>
        <w:t>abdominal pain (t</w:t>
      </w:r>
      <w:r w:rsidR="003259DD" w:rsidRPr="00C50A39">
        <w:rPr>
          <w:rFonts w:ascii="Arial" w:hAnsi="Arial" w:cs="Arial"/>
        </w:rPr>
        <w:t>[</w:t>
      </w:r>
      <w:r w:rsidR="00070B13" w:rsidRPr="00C50A39">
        <w:rPr>
          <w:rFonts w:ascii="Arial" w:hAnsi="Arial" w:cs="Arial"/>
        </w:rPr>
        <w:t>270</w:t>
      </w:r>
      <w:r w:rsidR="003259DD" w:rsidRPr="00C50A39">
        <w:rPr>
          <w:rFonts w:ascii="Arial" w:hAnsi="Arial" w:cs="Arial"/>
        </w:rPr>
        <w:t>]</w:t>
      </w:r>
      <w:r w:rsidR="00070B13" w:rsidRPr="00C50A39">
        <w:rPr>
          <w:rFonts w:ascii="Arial" w:hAnsi="Arial" w:cs="Arial"/>
        </w:rPr>
        <w:t xml:space="preserve"> = 1.97, p</w:t>
      </w:r>
      <w:r w:rsidR="00BE5F95" w:rsidRPr="00C50A39">
        <w:rPr>
          <w:rFonts w:ascii="Arial" w:hAnsi="Arial" w:cs="Arial"/>
        </w:rPr>
        <w:t xml:space="preserve"> </w:t>
      </w:r>
      <w:r w:rsidR="00070B13" w:rsidRPr="00C50A39">
        <w:rPr>
          <w:rFonts w:ascii="Arial" w:hAnsi="Arial" w:cs="Arial"/>
        </w:rPr>
        <w:t>=</w:t>
      </w:r>
      <w:r w:rsidR="00BE5F95" w:rsidRPr="00C50A39">
        <w:rPr>
          <w:rFonts w:ascii="Arial" w:hAnsi="Arial" w:cs="Arial"/>
        </w:rPr>
        <w:t xml:space="preserve"> </w:t>
      </w:r>
      <w:r w:rsidR="00070B13" w:rsidRPr="00C50A39">
        <w:rPr>
          <w:rFonts w:ascii="Arial" w:hAnsi="Arial" w:cs="Arial"/>
        </w:rPr>
        <w:t>0.05</w:t>
      </w:r>
      <w:r w:rsidR="005F4E12" w:rsidRPr="00C50A39">
        <w:rPr>
          <w:rFonts w:ascii="Arial" w:hAnsi="Arial" w:cs="Arial"/>
        </w:rPr>
        <w:t>, d = 0.24</w:t>
      </w:r>
      <w:r w:rsidR="00070B13" w:rsidRPr="00C50A39">
        <w:rPr>
          <w:rFonts w:ascii="Arial" w:hAnsi="Arial" w:cs="Arial"/>
        </w:rPr>
        <w:t xml:space="preserve">) and </w:t>
      </w:r>
      <w:r w:rsidR="0068210C" w:rsidRPr="00C50A39">
        <w:rPr>
          <w:rFonts w:ascii="Arial" w:hAnsi="Arial" w:cs="Arial"/>
        </w:rPr>
        <w:t>pain</w:t>
      </w:r>
      <w:r w:rsidR="003930D3" w:rsidRPr="00C50A39">
        <w:rPr>
          <w:rFonts w:ascii="Arial" w:hAnsi="Arial" w:cs="Arial"/>
        </w:rPr>
        <w:t xml:space="preserve"> </w:t>
      </w:r>
      <w:r w:rsidR="0068210C" w:rsidRPr="00C50A39">
        <w:rPr>
          <w:rFonts w:ascii="Arial" w:hAnsi="Arial" w:cs="Arial"/>
        </w:rPr>
        <w:t>interference (t</w:t>
      </w:r>
      <w:r w:rsidR="003259DD" w:rsidRPr="00C50A39">
        <w:rPr>
          <w:rFonts w:ascii="Arial" w:hAnsi="Arial" w:cs="Arial"/>
        </w:rPr>
        <w:t>[</w:t>
      </w:r>
      <w:r w:rsidR="0068210C" w:rsidRPr="00C50A39">
        <w:rPr>
          <w:rFonts w:ascii="Arial" w:hAnsi="Arial" w:cs="Arial"/>
        </w:rPr>
        <w:t>2</w:t>
      </w:r>
      <w:r w:rsidR="003930D3" w:rsidRPr="00C50A39">
        <w:rPr>
          <w:rFonts w:ascii="Arial" w:hAnsi="Arial" w:cs="Arial"/>
        </w:rPr>
        <w:t>7</w:t>
      </w:r>
      <w:r w:rsidR="0068210C" w:rsidRPr="00C50A39">
        <w:rPr>
          <w:rFonts w:ascii="Arial" w:hAnsi="Arial" w:cs="Arial"/>
        </w:rPr>
        <w:t>0</w:t>
      </w:r>
      <w:r w:rsidR="003259DD" w:rsidRPr="00C50A39">
        <w:rPr>
          <w:rFonts w:ascii="Arial" w:hAnsi="Arial" w:cs="Arial"/>
        </w:rPr>
        <w:t>]</w:t>
      </w:r>
      <w:r w:rsidR="0068210C" w:rsidRPr="00C50A39">
        <w:rPr>
          <w:rFonts w:ascii="Arial" w:hAnsi="Arial" w:cs="Arial"/>
        </w:rPr>
        <w:t xml:space="preserve"> = </w:t>
      </w:r>
      <w:r w:rsidR="003930D3" w:rsidRPr="00C50A39">
        <w:rPr>
          <w:rFonts w:ascii="Arial" w:hAnsi="Arial" w:cs="Arial"/>
        </w:rPr>
        <w:t>2.90</w:t>
      </w:r>
      <w:r w:rsidR="0068210C" w:rsidRPr="00C50A39">
        <w:rPr>
          <w:rFonts w:ascii="Arial" w:hAnsi="Arial" w:cs="Arial"/>
        </w:rPr>
        <w:t>, p = 0.00</w:t>
      </w:r>
      <w:r w:rsidR="003930D3" w:rsidRPr="00C50A39">
        <w:rPr>
          <w:rFonts w:ascii="Arial" w:hAnsi="Arial" w:cs="Arial"/>
        </w:rPr>
        <w:t>4</w:t>
      </w:r>
      <w:r w:rsidR="005F4E12" w:rsidRPr="00C50A39">
        <w:rPr>
          <w:rFonts w:ascii="Arial" w:hAnsi="Arial" w:cs="Arial"/>
        </w:rPr>
        <w:t xml:space="preserve">, </w:t>
      </w:r>
      <w:r w:rsidR="00D63CA5" w:rsidRPr="00C50A39">
        <w:rPr>
          <w:rFonts w:ascii="Arial" w:hAnsi="Arial" w:cs="Arial"/>
        </w:rPr>
        <w:t xml:space="preserve">d = </w:t>
      </w:r>
      <w:r w:rsidR="005F4E12" w:rsidRPr="00C50A39">
        <w:rPr>
          <w:rFonts w:ascii="Arial" w:hAnsi="Arial" w:cs="Arial"/>
        </w:rPr>
        <w:t>0.35</w:t>
      </w:r>
      <w:r w:rsidR="0068210C" w:rsidRPr="00C50A39">
        <w:rPr>
          <w:rFonts w:ascii="Arial" w:hAnsi="Arial" w:cs="Arial"/>
        </w:rPr>
        <w:t xml:space="preserve">). </w:t>
      </w:r>
      <w:r w:rsidR="000E207F" w:rsidRPr="00C50A39">
        <w:rPr>
          <w:rFonts w:ascii="Arial" w:hAnsi="Arial" w:cs="Arial"/>
        </w:rPr>
        <w:t xml:space="preserve">Interaction effects of </w:t>
      </w:r>
      <w:r w:rsidR="00F85FBE" w:rsidRPr="00C50A39">
        <w:rPr>
          <w:rFonts w:ascii="Arial" w:hAnsi="Arial" w:cs="Arial"/>
        </w:rPr>
        <w:t>t</w:t>
      </w:r>
      <w:r w:rsidR="000E207F" w:rsidRPr="00C50A39">
        <w:rPr>
          <w:rFonts w:ascii="Arial" w:hAnsi="Arial" w:cs="Arial"/>
        </w:rPr>
        <w:t xml:space="preserve">reatment </w:t>
      </w:r>
      <w:r w:rsidR="00F85FBE" w:rsidRPr="00C50A39">
        <w:rPr>
          <w:rFonts w:ascii="Arial" w:hAnsi="Arial" w:cs="Arial"/>
        </w:rPr>
        <w:t xml:space="preserve">condition </w:t>
      </w:r>
      <w:r w:rsidR="000E207F" w:rsidRPr="00C50A39">
        <w:rPr>
          <w:rFonts w:ascii="Arial" w:hAnsi="Arial" w:cs="Arial"/>
        </w:rPr>
        <w:t>and</w:t>
      </w:r>
      <w:r w:rsidR="003D6800" w:rsidRPr="00C50A39">
        <w:rPr>
          <w:rFonts w:ascii="Arial" w:hAnsi="Arial" w:cs="Arial"/>
        </w:rPr>
        <w:t xml:space="preserve"> patient</w:t>
      </w:r>
      <w:r w:rsidR="005F2DD3" w:rsidRPr="00C50A39">
        <w:rPr>
          <w:rFonts w:ascii="Arial" w:hAnsi="Arial" w:cs="Arial"/>
        </w:rPr>
        <w:t xml:space="preserve"> </w:t>
      </w:r>
      <w:r w:rsidR="005D22D1" w:rsidRPr="00C50A39">
        <w:rPr>
          <w:rFonts w:ascii="Arial" w:hAnsi="Arial" w:cs="Arial"/>
        </w:rPr>
        <w:t>s</w:t>
      </w:r>
      <w:r w:rsidR="000E207F" w:rsidRPr="00C50A39">
        <w:rPr>
          <w:rFonts w:ascii="Arial" w:hAnsi="Arial" w:cs="Arial"/>
        </w:rPr>
        <w:t>ub</w:t>
      </w:r>
      <w:r w:rsidR="00585949" w:rsidRPr="00C50A39">
        <w:rPr>
          <w:rFonts w:ascii="Arial" w:hAnsi="Arial" w:cs="Arial"/>
        </w:rPr>
        <w:t>group</w:t>
      </w:r>
      <w:r w:rsidR="000E207F" w:rsidRPr="00C50A39">
        <w:rPr>
          <w:rFonts w:ascii="Arial" w:hAnsi="Arial" w:cs="Arial"/>
        </w:rPr>
        <w:t xml:space="preserve"> with age and </w:t>
      </w:r>
      <w:r w:rsidR="0089113E" w:rsidRPr="00C50A39">
        <w:rPr>
          <w:rFonts w:ascii="Arial" w:hAnsi="Arial" w:cs="Arial"/>
        </w:rPr>
        <w:t>sex</w:t>
      </w:r>
      <w:r w:rsidR="000E207F" w:rsidRPr="00C50A39">
        <w:rPr>
          <w:rFonts w:ascii="Arial" w:hAnsi="Arial" w:cs="Arial"/>
        </w:rPr>
        <w:t xml:space="preserve"> were not significant (all p’s &gt; .05).</w:t>
      </w:r>
      <w:r w:rsidR="00BE5F95" w:rsidRPr="00C50A39">
        <w:rPr>
          <w:rFonts w:ascii="Arial" w:hAnsi="Arial" w:cs="Arial"/>
        </w:rPr>
        <w:t xml:space="preserve"> </w:t>
      </w:r>
      <w:r w:rsidR="009D1633" w:rsidRPr="00C50A39">
        <w:rPr>
          <w:rFonts w:ascii="Arial" w:hAnsi="Arial" w:cs="Arial"/>
        </w:rPr>
        <w:t xml:space="preserve"> </w:t>
      </w:r>
    </w:p>
    <w:p w14:paraId="19E4EC02" w14:textId="4EF558A1" w:rsidR="009E7B75" w:rsidRPr="00C50A39" w:rsidRDefault="00D24D71" w:rsidP="00C50A39">
      <w:pPr>
        <w:spacing w:after="0" w:line="480" w:lineRule="auto"/>
        <w:rPr>
          <w:rFonts w:ascii="Arial" w:eastAsia="Times New Roman" w:hAnsi="Arial" w:cs="Arial"/>
          <w:lang w:val="en-US"/>
        </w:rPr>
      </w:pPr>
      <w:r w:rsidRPr="00C50A39">
        <w:rPr>
          <w:rFonts w:ascii="Arial" w:eastAsia="Times New Roman" w:hAnsi="Arial" w:cs="Arial"/>
          <w:b/>
          <w:bCs/>
          <w:lang w:val="en-US"/>
        </w:rPr>
        <w:t xml:space="preserve">Adverse </w:t>
      </w:r>
      <w:r w:rsidR="00E16FD4">
        <w:rPr>
          <w:rFonts w:ascii="Arial" w:eastAsia="Times New Roman" w:hAnsi="Arial" w:cs="Arial"/>
          <w:b/>
          <w:bCs/>
          <w:lang w:val="en-US"/>
        </w:rPr>
        <w:t>E</w:t>
      </w:r>
      <w:r w:rsidRPr="00C50A39">
        <w:rPr>
          <w:rFonts w:ascii="Arial" w:eastAsia="Times New Roman" w:hAnsi="Arial" w:cs="Arial"/>
          <w:b/>
          <w:bCs/>
          <w:lang w:val="en-US"/>
        </w:rPr>
        <w:t>vents</w:t>
      </w:r>
    </w:p>
    <w:p w14:paraId="5C2767A7" w14:textId="09E4E3C6" w:rsidR="00451B05" w:rsidRPr="00C50A39" w:rsidRDefault="00D24D71" w:rsidP="005D267E">
      <w:pPr>
        <w:spacing w:after="0" w:line="480" w:lineRule="auto"/>
        <w:ind w:firstLine="720"/>
        <w:rPr>
          <w:rFonts w:ascii="Arial" w:eastAsia="Times New Roman" w:hAnsi="Arial" w:cs="Arial"/>
          <w:lang w:val="en-US"/>
        </w:rPr>
      </w:pPr>
      <w:r w:rsidRPr="00C50A39">
        <w:rPr>
          <w:rFonts w:ascii="Arial" w:eastAsia="Times New Roman" w:hAnsi="Arial" w:cs="Arial"/>
          <w:lang w:val="en-US"/>
        </w:rPr>
        <w:t>No adverse events were reported.</w:t>
      </w:r>
    </w:p>
    <w:p w14:paraId="3B217908" w14:textId="0F031E06" w:rsidR="00507370" w:rsidRPr="00C50A39" w:rsidRDefault="0049460F" w:rsidP="00C50A39">
      <w:pPr>
        <w:spacing w:after="0" w:line="480" w:lineRule="auto"/>
        <w:jc w:val="center"/>
        <w:rPr>
          <w:rFonts w:ascii="Arial" w:eastAsia="Times New Roman" w:hAnsi="Arial" w:cs="Arial"/>
          <w:b/>
          <w:bCs/>
          <w:lang w:val="en-US"/>
        </w:rPr>
      </w:pPr>
      <w:r w:rsidRPr="00C50A39">
        <w:rPr>
          <w:rFonts w:ascii="Arial" w:eastAsia="Times New Roman" w:hAnsi="Arial" w:cs="Arial"/>
          <w:b/>
          <w:bCs/>
          <w:lang w:val="en-US"/>
        </w:rPr>
        <w:t>Discussion</w:t>
      </w:r>
      <w:r w:rsidR="007E36C0">
        <w:rPr>
          <w:rFonts w:ascii="Arial" w:eastAsia="Times New Roman" w:hAnsi="Arial" w:cs="Arial"/>
          <w:b/>
          <w:bCs/>
          <w:lang w:val="en-US"/>
        </w:rPr>
        <w:t xml:space="preserve"> </w:t>
      </w:r>
    </w:p>
    <w:p w14:paraId="1719EB70" w14:textId="525340FF" w:rsidR="009B2FCB" w:rsidRPr="00C50A39" w:rsidRDefault="002A445F"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The</w:t>
      </w:r>
      <w:r w:rsidR="00852403" w:rsidRPr="00C50A39">
        <w:rPr>
          <w:rFonts w:ascii="Arial" w:eastAsia="Times New Roman" w:hAnsi="Arial" w:cs="Arial"/>
          <w:lang w:val="en-US"/>
        </w:rPr>
        <w:t xml:space="preserve"> most important</w:t>
      </w:r>
      <w:r w:rsidR="000075F2" w:rsidRPr="00C50A39">
        <w:rPr>
          <w:rFonts w:ascii="Arial" w:eastAsia="Times New Roman" w:hAnsi="Arial" w:cs="Arial"/>
          <w:lang w:val="en-US"/>
        </w:rPr>
        <w:t>,</w:t>
      </w:r>
      <w:r w:rsidR="00852403" w:rsidRPr="00C50A39">
        <w:rPr>
          <w:rFonts w:ascii="Arial" w:eastAsia="Times New Roman" w:hAnsi="Arial" w:cs="Arial"/>
          <w:lang w:val="en-US"/>
        </w:rPr>
        <w:t xml:space="preserve"> novel finding </w:t>
      </w:r>
      <w:r w:rsidRPr="00C50A39">
        <w:rPr>
          <w:rFonts w:ascii="Arial" w:eastAsia="Times New Roman" w:hAnsi="Arial" w:cs="Arial"/>
          <w:lang w:val="en-US"/>
        </w:rPr>
        <w:t xml:space="preserve">of this RCT </w:t>
      </w:r>
      <w:r w:rsidR="00880040" w:rsidRPr="00C50A39">
        <w:rPr>
          <w:rFonts w:ascii="Arial" w:eastAsia="Times New Roman" w:hAnsi="Arial" w:cs="Arial"/>
          <w:lang w:val="en-US"/>
        </w:rPr>
        <w:t>wa</w:t>
      </w:r>
      <w:r w:rsidR="00852403" w:rsidRPr="00C50A39">
        <w:rPr>
          <w:rFonts w:ascii="Arial" w:eastAsia="Times New Roman" w:hAnsi="Arial" w:cs="Arial"/>
          <w:lang w:val="en-US"/>
        </w:rPr>
        <w:t>s</w:t>
      </w:r>
      <w:r w:rsidR="00F20A61" w:rsidRPr="00C50A39">
        <w:rPr>
          <w:rFonts w:ascii="Arial" w:eastAsia="Times New Roman" w:hAnsi="Arial" w:cs="Arial"/>
          <w:lang w:val="en-US"/>
        </w:rPr>
        <w:t xml:space="preserve"> that sub</w:t>
      </w:r>
      <w:r w:rsidR="00585949" w:rsidRPr="00C50A39">
        <w:rPr>
          <w:rFonts w:ascii="Arial" w:eastAsia="Times New Roman" w:hAnsi="Arial" w:cs="Arial"/>
          <w:lang w:val="en-US"/>
        </w:rPr>
        <w:t>grou</w:t>
      </w:r>
      <w:r w:rsidR="00F20A61" w:rsidRPr="00C50A39">
        <w:rPr>
          <w:rFonts w:ascii="Arial" w:eastAsia="Times New Roman" w:hAnsi="Arial" w:cs="Arial"/>
          <w:lang w:val="en-US"/>
        </w:rPr>
        <w:t>p</w:t>
      </w:r>
      <w:r w:rsidR="00AE0927" w:rsidRPr="00C50A39">
        <w:rPr>
          <w:rFonts w:ascii="Arial" w:eastAsia="Times New Roman" w:hAnsi="Arial" w:cs="Arial"/>
          <w:lang w:val="en-US"/>
        </w:rPr>
        <w:t>ing</w:t>
      </w:r>
      <w:r w:rsidR="00F20A61" w:rsidRPr="00C50A39">
        <w:rPr>
          <w:rFonts w:ascii="Arial" w:eastAsia="Times New Roman" w:hAnsi="Arial" w:cs="Arial"/>
          <w:lang w:val="en-US"/>
        </w:rPr>
        <w:t xml:space="preserve"> based on pain-related psychological characteristics moderated </w:t>
      </w:r>
      <w:r w:rsidR="00AE0927" w:rsidRPr="00C50A39">
        <w:rPr>
          <w:rFonts w:ascii="Arial" w:eastAsia="Times New Roman" w:hAnsi="Arial" w:cs="Arial"/>
          <w:lang w:val="en-US"/>
        </w:rPr>
        <w:t xml:space="preserve">patients’ </w:t>
      </w:r>
      <w:r w:rsidR="00F20A61" w:rsidRPr="00C50A39">
        <w:rPr>
          <w:rFonts w:ascii="Arial" w:eastAsia="Times New Roman" w:hAnsi="Arial" w:cs="Arial"/>
          <w:lang w:val="en-US"/>
        </w:rPr>
        <w:t>response</w:t>
      </w:r>
      <w:r w:rsidR="00AE0927" w:rsidRPr="00C50A39">
        <w:rPr>
          <w:rFonts w:ascii="Arial" w:eastAsia="Times New Roman" w:hAnsi="Arial" w:cs="Arial"/>
          <w:lang w:val="en-US"/>
        </w:rPr>
        <w:t>s</w:t>
      </w:r>
      <w:r w:rsidR="00F20A61" w:rsidRPr="00C50A39">
        <w:rPr>
          <w:rFonts w:ascii="Arial" w:eastAsia="Times New Roman" w:hAnsi="Arial" w:cs="Arial"/>
          <w:lang w:val="en-US"/>
        </w:rPr>
        <w:t xml:space="preserve"> t</w:t>
      </w:r>
      <w:r w:rsidR="000075F2" w:rsidRPr="00C50A39">
        <w:rPr>
          <w:rFonts w:ascii="Arial" w:eastAsia="Times New Roman" w:hAnsi="Arial" w:cs="Arial"/>
          <w:lang w:val="en-US"/>
        </w:rPr>
        <w:t>o</w:t>
      </w:r>
      <w:r w:rsidR="008527FC" w:rsidRPr="00C50A39">
        <w:rPr>
          <w:rFonts w:ascii="Arial" w:eastAsia="Times New Roman" w:hAnsi="Arial" w:cs="Arial"/>
          <w:lang w:val="en-US"/>
        </w:rPr>
        <w:t xml:space="preserve"> </w:t>
      </w:r>
      <w:r w:rsidR="00F20A61" w:rsidRPr="00C50A39">
        <w:rPr>
          <w:rFonts w:ascii="Arial" w:eastAsia="Times New Roman" w:hAnsi="Arial" w:cs="Arial"/>
          <w:lang w:val="en-US"/>
        </w:rPr>
        <w:t xml:space="preserve">psychological treatment for persistent </w:t>
      </w:r>
      <w:r w:rsidR="00A10142" w:rsidRPr="00C50A39">
        <w:rPr>
          <w:rFonts w:ascii="Arial" w:eastAsia="Times New Roman" w:hAnsi="Arial" w:cs="Arial"/>
          <w:lang w:val="en-US"/>
        </w:rPr>
        <w:t xml:space="preserve">abdominal </w:t>
      </w:r>
      <w:r w:rsidR="00F20A61" w:rsidRPr="00C50A39">
        <w:rPr>
          <w:rFonts w:ascii="Arial" w:eastAsia="Times New Roman" w:hAnsi="Arial" w:cs="Arial"/>
          <w:lang w:val="en-US"/>
        </w:rPr>
        <w:t xml:space="preserve">pain. </w:t>
      </w:r>
      <w:r w:rsidR="00F33EF0" w:rsidRPr="00C50A39">
        <w:rPr>
          <w:rFonts w:ascii="Arial" w:eastAsia="Times New Roman" w:hAnsi="Arial" w:cs="Arial"/>
          <w:lang w:val="en-US"/>
        </w:rPr>
        <w:t>A</w:t>
      </w:r>
      <w:r w:rsidR="00F20A61" w:rsidRPr="00C50A39">
        <w:rPr>
          <w:rFonts w:ascii="Arial" w:eastAsia="Times New Roman" w:hAnsi="Arial" w:cs="Arial"/>
          <w:lang w:val="en-US"/>
        </w:rPr>
        <w:t xml:space="preserve">mong </w:t>
      </w:r>
      <w:r w:rsidR="00F25A26" w:rsidRPr="00C50A39">
        <w:rPr>
          <w:rFonts w:ascii="Arial" w:eastAsia="Times New Roman" w:hAnsi="Arial" w:cs="Arial"/>
          <w:lang w:val="en-US"/>
        </w:rPr>
        <w:t>patients</w:t>
      </w:r>
      <w:r w:rsidR="00F33EF0" w:rsidRPr="00C50A39">
        <w:rPr>
          <w:rFonts w:ascii="Arial" w:eastAsia="Times New Roman" w:hAnsi="Arial" w:cs="Arial"/>
          <w:lang w:val="en-US"/>
        </w:rPr>
        <w:t xml:space="preserve"> in the HPD sub</w:t>
      </w:r>
      <w:r w:rsidR="00D21ACF" w:rsidRPr="00C50A39">
        <w:rPr>
          <w:rFonts w:ascii="Arial" w:eastAsia="Times New Roman" w:hAnsi="Arial" w:cs="Arial"/>
          <w:lang w:val="en-US"/>
        </w:rPr>
        <w:t>group</w:t>
      </w:r>
      <w:r w:rsidR="00833ED2" w:rsidRPr="00C50A39">
        <w:rPr>
          <w:rFonts w:ascii="Arial" w:eastAsia="Times New Roman" w:hAnsi="Arial" w:cs="Arial"/>
          <w:lang w:val="en-US"/>
        </w:rPr>
        <w:t xml:space="preserve"> –</w:t>
      </w:r>
      <w:r w:rsidR="00F0292D" w:rsidRPr="00C50A39">
        <w:rPr>
          <w:rFonts w:ascii="Arial" w:eastAsia="Times New Roman" w:hAnsi="Arial" w:cs="Arial"/>
          <w:lang w:val="en-US"/>
        </w:rPr>
        <w:t xml:space="preserve"> </w:t>
      </w:r>
      <w:r w:rsidR="00E07FF3" w:rsidRPr="00C50A39">
        <w:rPr>
          <w:rFonts w:ascii="Arial" w:eastAsia="Times New Roman" w:hAnsi="Arial" w:cs="Arial"/>
          <w:lang w:val="en-US"/>
        </w:rPr>
        <w:t>characterized by</w:t>
      </w:r>
      <w:r w:rsidR="00833ED2" w:rsidRPr="00C50A39">
        <w:rPr>
          <w:rFonts w:ascii="Arial" w:eastAsia="Times New Roman" w:hAnsi="Arial" w:cs="Arial"/>
          <w:lang w:val="en-US"/>
        </w:rPr>
        <w:t xml:space="preserve"> </w:t>
      </w:r>
      <w:r w:rsidR="000B5A62" w:rsidRPr="00C50A39">
        <w:rPr>
          <w:rFonts w:ascii="Arial" w:eastAsia="Times New Roman" w:hAnsi="Arial" w:cs="Arial"/>
          <w:lang w:val="en-US"/>
        </w:rPr>
        <w:t xml:space="preserve">high pain, </w:t>
      </w:r>
      <w:r w:rsidR="00833ED2" w:rsidRPr="00C50A39">
        <w:rPr>
          <w:rFonts w:ascii="Arial" w:eastAsia="Times New Roman" w:hAnsi="Arial" w:cs="Arial"/>
          <w:lang w:val="en-US"/>
        </w:rPr>
        <w:t>maladaptive pain characteristics</w:t>
      </w:r>
      <w:r w:rsidR="000B5A62" w:rsidRPr="00C50A39">
        <w:rPr>
          <w:rFonts w:ascii="Arial" w:eastAsia="Times New Roman" w:hAnsi="Arial" w:cs="Arial"/>
          <w:lang w:val="en-US"/>
        </w:rPr>
        <w:t>,</w:t>
      </w:r>
      <w:r w:rsidR="00833ED2" w:rsidRPr="00C50A39">
        <w:rPr>
          <w:rFonts w:ascii="Arial" w:eastAsia="Times New Roman" w:hAnsi="Arial" w:cs="Arial"/>
          <w:lang w:val="en-US"/>
        </w:rPr>
        <w:t xml:space="preserve"> </w:t>
      </w:r>
      <w:r w:rsidR="007F4956" w:rsidRPr="00C50A39">
        <w:rPr>
          <w:rFonts w:ascii="Arial" w:eastAsia="Times New Roman" w:hAnsi="Arial" w:cs="Arial"/>
          <w:lang w:val="en-US"/>
        </w:rPr>
        <w:t xml:space="preserve">and poor </w:t>
      </w:r>
      <w:r w:rsidR="00D4600A" w:rsidRPr="00C50A39">
        <w:rPr>
          <w:rFonts w:ascii="Arial" w:eastAsia="Times New Roman" w:hAnsi="Arial" w:cs="Arial"/>
          <w:lang w:val="en-US"/>
        </w:rPr>
        <w:t xml:space="preserve">long-term </w:t>
      </w:r>
      <w:r w:rsidR="007F4956" w:rsidRPr="00C50A39">
        <w:rPr>
          <w:rFonts w:ascii="Arial" w:eastAsia="Times New Roman" w:hAnsi="Arial" w:cs="Arial"/>
          <w:lang w:val="en-US"/>
        </w:rPr>
        <w:t>prognosis</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l2cti7c2h","properties":{"formattedCitation":"[35,48]","plainCitation":"[35,48]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[35,48]</w:t>
      </w:r>
      <w:r w:rsidR="00C9428F" w:rsidRPr="00C50A39">
        <w:rPr>
          <w:rFonts w:ascii="Arial" w:eastAsia="Times New Roman" w:hAnsi="Arial" w:cs="Arial"/>
          <w:lang w:val="en-US"/>
        </w:rPr>
        <w:fldChar w:fldCharType="end"/>
      </w:r>
      <w:r w:rsidR="007F4956" w:rsidRPr="00C50A39">
        <w:rPr>
          <w:rFonts w:ascii="Arial" w:eastAsia="Times New Roman" w:hAnsi="Arial" w:cs="Arial"/>
          <w:lang w:val="en-US"/>
        </w:rPr>
        <w:t xml:space="preserve"> </w:t>
      </w:r>
      <w:r w:rsidR="003930D3" w:rsidRPr="00C50A39">
        <w:rPr>
          <w:rFonts w:ascii="Arial" w:eastAsia="Times New Roman" w:hAnsi="Arial" w:cs="Arial"/>
          <w:lang w:val="en-US"/>
        </w:rPr>
        <w:t xml:space="preserve">– </w:t>
      </w:r>
      <w:r w:rsidR="00527774" w:rsidRPr="00C50A39">
        <w:rPr>
          <w:rFonts w:ascii="Arial" w:eastAsia="Times New Roman" w:hAnsi="Arial" w:cs="Arial"/>
          <w:lang w:val="en-US"/>
        </w:rPr>
        <w:t xml:space="preserve">those assigned to CBT </w:t>
      </w:r>
      <w:r w:rsidR="00257E30" w:rsidRPr="00C50A39">
        <w:rPr>
          <w:rFonts w:ascii="Arial" w:eastAsia="Times New Roman" w:hAnsi="Arial" w:cs="Arial"/>
          <w:lang w:val="en-US"/>
        </w:rPr>
        <w:t>exhibited</w:t>
      </w:r>
      <w:r w:rsidR="00527774" w:rsidRPr="00C50A39">
        <w:rPr>
          <w:rFonts w:ascii="Arial" w:eastAsia="Times New Roman" w:hAnsi="Arial" w:cs="Arial"/>
          <w:lang w:val="en-US"/>
        </w:rPr>
        <w:t xml:space="preserve"> significantly greater reduction</w:t>
      </w:r>
      <w:r w:rsidR="00450BAD" w:rsidRPr="00C50A39">
        <w:rPr>
          <w:rFonts w:ascii="Arial" w:eastAsia="Times New Roman" w:hAnsi="Arial" w:cs="Arial"/>
          <w:lang w:val="en-US"/>
        </w:rPr>
        <w:t>s</w:t>
      </w:r>
      <w:r w:rsidR="00527774" w:rsidRPr="00C50A39">
        <w:rPr>
          <w:rFonts w:ascii="Arial" w:eastAsia="Times New Roman" w:hAnsi="Arial" w:cs="Arial"/>
          <w:lang w:val="en-US"/>
        </w:rPr>
        <w:t xml:space="preserve"> </w:t>
      </w:r>
      <w:r w:rsidR="00833ED2" w:rsidRPr="00C50A39">
        <w:rPr>
          <w:rFonts w:ascii="Arial" w:eastAsia="Times New Roman" w:hAnsi="Arial" w:cs="Arial"/>
          <w:lang w:val="en-US"/>
        </w:rPr>
        <w:t>in</w:t>
      </w:r>
      <w:r w:rsidR="007C09E6" w:rsidRPr="00C50A39">
        <w:rPr>
          <w:rFonts w:ascii="Arial" w:eastAsia="Times New Roman" w:hAnsi="Arial" w:cs="Arial"/>
          <w:lang w:val="en-US"/>
        </w:rPr>
        <w:t xml:space="preserve"> </w:t>
      </w:r>
      <w:r w:rsidR="00FA5A20" w:rsidRPr="00C50A39">
        <w:rPr>
          <w:rFonts w:ascii="Arial" w:eastAsia="Times New Roman" w:hAnsi="Arial" w:cs="Arial"/>
          <w:lang w:val="en-US"/>
        </w:rPr>
        <w:t>GI symptoms</w:t>
      </w:r>
      <w:r w:rsidR="00852403" w:rsidRPr="00C50A39">
        <w:rPr>
          <w:rFonts w:ascii="Arial" w:eastAsia="Times New Roman" w:hAnsi="Arial" w:cs="Arial"/>
          <w:lang w:val="en-US"/>
        </w:rPr>
        <w:t xml:space="preserve"> </w:t>
      </w:r>
      <w:r w:rsidR="00FA5A20" w:rsidRPr="00C50A39">
        <w:rPr>
          <w:rFonts w:ascii="Arial" w:eastAsia="Times New Roman" w:hAnsi="Arial" w:cs="Arial"/>
          <w:lang w:val="en-US"/>
        </w:rPr>
        <w:t>(</w:t>
      </w:r>
      <w:r w:rsidR="00852403" w:rsidRPr="00C50A39">
        <w:rPr>
          <w:rFonts w:ascii="Arial" w:eastAsia="Times New Roman" w:hAnsi="Arial" w:cs="Arial"/>
          <w:lang w:val="en-US"/>
        </w:rPr>
        <w:t xml:space="preserve">the </w:t>
      </w:r>
      <w:r w:rsidR="00833ED2" w:rsidRPr="00C50A39">
        <w:rPr>
          <w:rFonts w:ascii="Arial" w:eastAsia="Times New Roman" w:hAnsi="Arial" w:cs="Arial"/>
          <w:lang w:val="en-US"/>
        </w:rPr>
        <w:t>primary outcome</w:t>
      </w:r>
      <w:r w:rsidR="00FA5A20" w:rsidRPr="00C50A39">
        <w:rPr>
          <w:rFonts w:ascii="Arial" w:eastAsia="Times New Roman" w:hAnsi="Arial" w:cs="Arial"/>
          <w:lang w:val="en-US"/>
        </w:rPr>
        <w:t xml:space="preserve">) </w:t>
      </w:r>
      <w:r w:rsidR="00F20A61" w:rsidRPr="00C50A39">
        <w:rPr>
          <w:rFonts w:ascii="Arial" w:eastAsia="Times New Roman" w:hAnsi="Arial" w:cs="Arial"/>
          <w:lang w:val="en-US"/>
        </w:rPr>
        <w:t xml:space="preserve">during the treatment period </w:t>
      </w:r>
      <w:r w:rsidR="00527774" w:rsidRPr="00C50A39">
        <w:rPr>
          <w:rFonts w:ascii="Arial" w:eastAsia="Times New Roman" w:hAnsi="Arial" w:cs="Arial"/>
          <w:lang w:val="en-US"/>
        </w:rPr>
        <w:t>as compared to those assigned to</w:t>
      </w:r>
      <w:r w:rsidR="000075F2" w:rsidRPr="00C50A39">
        <w:rPr>
          <w:rFonts w:ascii="Arial" w:eastAsia="Times New Roman" w:hAnsi="Arial" w:cs="Arial"/>
          <w:lang w:val="en-US"/>
        </w:rPr>
        <w:t xml:space="preserve"> the</w:t>
      </w:r>
      <w:r w:rsidR="00527774" w:rsidRPr="00C50A39">
        <w:rPr>
          <w:rFonts w:ascii="Arial" w:eastAsia="Times New Roman" w:hAnsi="Arial" w:cs="Arial"/>
          <w:lang w:val="en-US"/>
        </w:rPr>
        <w:t xml:space="preserve"> </w:t>
      </w:r>
      <w:r w:rsidR="0075449D" w:rsidRPr="00C50A39">
        <w:rPr>
          <w:rFonts w:ascii="Arial" w:eastAsia="Times New Roman" w:hAnsi="Arial" w:cs="Arial"/>
          <w:lang w:val="en-US"/>
        </w:rPr>
        <w:t>EDU</w:t>
      </w:r>
      <w:r w:rsidR="000075F2" w:rsidRPr="00C50A39">
        <w:rPr>
          <w:rFonts w:ascii="Arial" w:eastAsia="Times New Roman" w:hAnsi="Arial" w:cs="Arial"/>
          <w:lang w:val="en-US"/>
        </w:rPr>
        <w:t xml:space="preserve"> control condition</w:t>
      </w:r>
      <w:r w:rsidR="0075449D" w:rsidRPr="00C50A39">
        <w:rPr>
          <w:rFonts w:ascii="Arial" w:eastAsia="Times New Roman" w:hAnsi="Arial" w:cs="Arial"/>
          <w:lang w:val="en-US"/>
        </w:rPr>
        <w:t xml:space="preserve">. </w:t>
      </w:r>
      <w:r w:rsidR="00D4600A" w:rsidRPr="00C50A39">
        <w:rPr>
          <w:rFonts w:ascii="Arial" w:eastAsia="Times New Roman" w:hAnsi="Arial" w:cs="Arial"/>
          <w:lang w:val="en-US"/>
        </w:rPr>
        <w:t>Moreover, th</w:t>
      </w:r>
      <w:r w:rsidR="00FA5A20" w:rsidRPr="00C50A39">
        <w:rPr>
          <w:rFonts w:ascii="Arial" w:eastAsia="Times New Roman" w:hAnsi="Arial" w:cs="Arial"/>
          <w:lang w:val="en-US"/>
        </w:rPr>
        <w:t xml:space="preserve">ese </w:t>
      </w:r>
      <w:proofErr w:type="gramStart"/>
      <w:r w:rsidR="00FA5A20" w:rsidRPr="00C50A39">
        <w:rPr>
          <w:rFonts w:ascii="Arial" w:eastAsia="Times New Roman" w:hAnsi="Arial" w:cs="Arial"/>
          <w:lang w:val="en-US"/>
        </w:rPr>
        <w:t>patients</w:t>
      </w:r>
      <w:r w:rsidR="00D4600A" w:rsidRPr="00C50A39">
        <w:rPr>
          <w:rFonts w:ascii="Arial" w:eastAsia="Times New Roman" w:hAnsi="Arial" w:cs="Arial"/>
          <w:lang w:val="en-US"/>
        </w:rPr>
        <w:t xml:space="preserve"> maintained</w:t>
      </w:r>
      <w:proofErr w:type="gramEnd"/>
      <w:r w:rsidR="00D4600A" w:rsidRPr="00C50A39">
        <w:rPr>
          <w:rFonts w:ascii="Arial" w:eastAsia="Times New Roman" w:hAnsi="Arial" w:cs="Arial"/>
          <w:lang w:val="en-US"/>
        </w:rPr>
        <w:t xml:space="preserve"> symptom reductions at 6- and 12-month follow-up, providing more evidence of the efficacy of internet-delivered CBT for th</w:t>
      </w:r>
      <w:r w:rsidR="000075F2" w:rsidRPr="00C50A39">
        <w:rPr>
          <w:rFonts w:ascii="Arial" w:eastAsia="Times New Roman" w:hAnsi="Arial" w:cs="Arial"/>
          <w:lang w:val="en-US"/>
        </w:rPr>
        <w:t>e HPD</w:t>
      </w:r>
      <w:r w:rsidR="00D4600A" w:rsidRPr="00C50A39">
        <w:rPr>
          <w:rFonts w:ascii="Arial" w:eastAsia="Times New Roman" w:hAnsi="Arial" w:cs="Arial"/>
          <w:lang w:val="en-US"/>
        </w:rPr>
        <w:t xml:space="preserve"> subgroup. </w:t>
      </w:r>
      <w:r w:rsidR="0075449D" w:rsidRPr="00C50A39">
        <w:rPr>
          <w:rFonts w:ascii="Arial" w:eastAsia="Times New Roman" w:hAnsi="Arial" w:cs="Arial"/>
          <w:lang w:val="en-US"/>
        </w:rPr>
        <w:t xml:space="preserve">In contrast, youth in the </w:t>
      </w:r>
      <w:r w:rsidR="00B25BEE" w:rsidRPr="00C50A39">
        <w:rPr>
          <w:rFonts w:ascii="Arial" w:eastAsia="Times New Roman" w:hAnsi="Arial" w:cs="Arial"/>
          <w:lang w:val="en-US"/>
        </w:rPr>
        <w:t xml:space="preserve">HPA and LPA </w:t>
      </w:r>
      <w:r w:rsidR="0075449D" w:rsidRPr="00C50A39">
        <w:rPr>
          <w:rFonts w:ascii="Arial" w:eastAsia="Times New Roman" w:hAnsi="Arial" w:cs="Arial"/>
          <w:lang w:val="en-US"/>
        </w:rPr>
        <w:t>sub</w:t>
      </w:r>
      <w:r w:rsidR="00D21ACF" w:rsidRPr="00C50A39">
        <w:rPr>
          <w:rFonts w:ascii="Arial" w:eastAsia="Times New Roman" w:hAnsi="Arial" w:cs="Arial"/>
          <w:lang w:val="en-US"/>
        </w:rPr>
        <w:t>group</w:t>
      </w:r>
      <w:r w:rsidR="0075449D" w:rsidRPr="00C50A39">
        <w:rPr>
          <w:rFonts w:ascii="Arial" w:eastAsia="Times New Roman" w:hAnsi="Arial" w:cs="Arial"/>
          <w:lang w:val="en-US"/>
        </w:rPr>
        <w:t xml:space="preserve">s </w:t>
      </w:r>
      <w:r w:rsidR="007F4956" w:rsidRPr="00C50A39">
        <w:rPr>
          <w:rFonts w:ascii="Arial" w:eastAsia="Times New Roman" w:hAnsi="Arial" w:cs="Arial"/>
          <w:lang w:val="en-US"/>
        </w:rPr>
        <w:t xml:space="preserve">– </w:t>
      </w:r>
      <w:r w:rsidR="00574065" w:rsidRPr="00C50A39">
        <w:rPr>
          <w:rFonts w:ascii="Arial" w:eastAsia="Times New Roman" w:hAnsi="Arial" w:cs="Arial"/>
          <w:lang w:val="en-US"/>
        </w:rPr>
        <w:t>characterized by</w:t>
      </w:r>
      <w:r w:rsidR="007F4956" w:rsidRPr="00C50A39">
        <w:rPr>
          <w:rFonts w:ascii="Arial" w:eastAsia="Times New Roman" w:hAnsi="Arial" w:cs="Arial"/>
          <w:lang w:val="en-US"/>
        </w:rPr>
        <w:t xml:space="preserve"> more adaptive pain characteristics </w:t>
      </w:r>
      <w:r w:rsidR="00070B13" w:rsidRPr="00C50A39">
        <w:rPr>
          <w:rFonts w:ascii="Arial" w:eastAsia="Times New Roman" w:hAnsi="Arial" w:cs="Arial"/>
          <w:lang w:val="en-US"/>
        </w:rPr>
        <w:t xml:space="preserve">– </w:t>
      </w:r>
      <w:r w:rsidR="00392B7E" w:rsidRPr="00C50A39">
        <w:rPr>
          <w:rFonts w:ascii="Arial" w:eastAsia="Times New Roman" w:hAnsi="Arial" w:cs="Arial"/>
          <w:lang w:val="en-US"/>
        </w:rPr>
        <w:t>showed</w:t>
      </w:r>
      <w:r w:rsidR="0075449D" w:rsidRPr="00C50A39">
        <w:rPr>
          <w:rFonts w:ascii="Arial" w:eastAsia="Times New Roman" w:hAnsi="Arial" w:cs="Arial"/>
          <w:lang w:val="en-US"/>
        </w:rPr>
        <w:t xml:space="preserve"> significant </w:t>
      </w:r>
      <w:r w:rsidR="002B2DF6" w:rsidRPr="00C50A39">
        <w:rPr>
          <w:rFonts w:ascii="Arial" w:eastAsia="Times New Roman" w:hAnsi="Arial" w:cs="Arial"/>
          <w:lang w:val="en-US"/>
        </w:rPr>
        <w:t xml:space="preserve">GI </w:t>
      </w:r>
      <w:r w:rsidR="0075449D" w:rsidRPr="00C50A39">
        <w:rPr>
          <w:rFonts w:ascii="Arial" w:eastAsia="Times New Roman" w:hAnsi="Arial" w:cs="Arial"/>
          <w:lang w:val="en-US"/>
        </w:rPr>
        <w:t xml:space="preserve">symptom reduction </w:t>
      </w:r>
      <w:r w:rsidR="000075F2" w:rsidRPr="00C50A39">
        <w:rPr>
          <w:rFonts w:ascii="Arial" w:eastAsia="Times New Roman" w:hAnsi="Arial" w:cs="Arial"/>
          <w:lang w:val="en-US"/>
        </w:rPr>
        <w:t>that w</w:t>
      </w:r>
      <w:r w:rsidRPr="00C50A39">
        <w:rPr>
          <w:rFonts w:ascii="Arial" w:eastAsia="Times New Roman" w:hAnsi="Arial" w:cs="Arial"/>
          <w:lang w:val="en-US"/>
        </w:rPr>
        <w:t>as</w:t>
      </w:r>
      <w:r w:rsidR="000075F2" w:rsidRPr="00C50A39">
        <w:rPr>
          <w:rFonts w:ascii="Arial" w:eastAsia="Times New Roman" w:hAnsi="Arial" w:cs="Arial"/>
          <w:lang w:val="en-US"/>
        </w:rPr>
        <w:t xml:space="preserve"> no greater in CBT than EDU.</w:t>
      </w:r>
      <w:r w:rsidR="00F20A61" w:rsidRPr="00C50A39">
        <w:rPr>
          <w:rFonts w:ascii="Arial" w:eastAsia="Times New Roman" w:hAnsi="Arial" w:cs="Arial"/>
          <w:lang w:val="en-US"/>
        </w:rPr>
        <w:t xml:space="preserve"> </w:t>
      </w:r>
    </w:p>
    <w:p w14:paraId="06A0D59A" w14:textId="7A20EB35" w:rsidR="0003482A" w:rsidRPr="00C50A39" w:rsidRDefault="00C75569"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 xml:space="preserve">The superiority of CBT </w:t>
      </w:r>
      <w:r w:rsidR="00BA3F68" w:rsidRPr="00C50A39">
        <w:rPr>
          <w:rFonts w:ascii="Arial" w:eastAsia="Times New Roman" w:hAnsi="Arial" w:cs="Arial"/>
          <w:lang w:val="en-US"/>
        </w:rPr>
        <w:t>over</w:t>
      </w:r>
      <w:r w:rsidRPr="00C50A39">
        <w:rPr>
          <w:rFonts w:ascii="Arial" w:eastAsia="Times New Roman" w:hAnsi="Arial" w:cs="Arial"/>
          <w:lang w:val="en-US"/>
        </w:rPr>
        <w:t xml:space="preserve"> EDU for the HPD subgroup but not for the other subgroups may be explained by d</w:t>
      </w:r>
      <w:r w:rsidR="00856023" w:rsidRPr="00C50A39">
        <w:rPr>
          <w:rFonts w:ascii="Arial" w:eastAsia="Times New Roman" w:hAnsi="Arial" w:cs="Arial"/>
          <w:lang w:val="en-US"/>
        </w:rPr>
        <w:t>ifferences in subgroup characteristics</w:t>
      </w:r>
      <w:r w:rsidR="000075F2" w:rsidRPr="00C50A39">
        <w:rPr>
          <w:rFonts w:ascii="Arial" w:eastAsia="Times New Roman" w:hAnsi="Arial" w:cs="Arial"/>
          <w:lang w:val="en-US"/>
        </w:rPr>
        <w:t xml:space="preserve">. </w:t>
      </w:r>
      <w:r w:rsidR="00BD70AA" w:rsidRPr="00C50A39">
        <w:rPr>
          <w:rFonts w:ascii="Arial" w:eastAsia="Times New Roman" w:hAnsi="Arial" w:cs="Arial"/>
          <w:lang w:val="en-US"/>
        </w:rPr>
        <w:t xml:space="preserve"> </w:t>
      </w:r>
      <w:r w:rsidR="000075F2" w:rsidRPr="00C50A39">
        <w:rPr>
          <w:rFonts w:ascii="Arial" w:eastAsia="Times New Roman" w:hAnsi="Arial" w:cs="Arial"/>
          <w:lang w:val="en-US"/>
        </w:rPr>
        <w:t>As reported elsewhere</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erfpqjj2v","properties":{"formattedCitation":"[35,48]","plainCitation":"[35,48]","noteIndex":0},"citationItems":[{"id":235,"uris":["http://zotero.org/users/7139165/items/32JFCTKH"],"uri":["http://zotero.org/users/7139165/items/32JFCTKH"],"itemData":{"id":235,"type":"article-journal","abstract":"Although pediatric functional abdominal pain (FAP) has been linked to abdominal pain later in life, childhood predictors of long-term outcomes have not been identified. This study evaluated whether distinct FAP profiles based on patterns of pain and adaptation in childhood could be identified and whether these profiles predicted differences in clinical outcomes and central sensitization (wind-up) on average 9 years later. In 843 pediatric FAP patients, cluster analysis was used to identify subgroups at initial FAP evaluation based on profiles of pain severity, gastrointestinal (GI) and non-GI symptoms, pain threat appraisal, pain coping efficacy, catastrophizing, negative affect, and activity impairment. Three profiles were identified: high pain dysfunctional, high pain adaptive, and low pain adaptive. Logistic regression analyses controlling for age and sex showed that, compared with pediatric patients with the low pain adaptive profile, those with the high pain dysfunctional profile were significantly more likely at long-term follow- up to meet criteria for pain-related functional gastrointestinal disorder (FGID) (odds ratio: 3.45, confidence interval: 1.95 to 6.11), FGID with comorbid nonabdominal chronic pain (odds ratio: 2.6, confidence interval: 1.45 to 4.66), and FGID with comorbid anxiety or depressive psychiatric disorder (odds ratio: 2.84, confidence interval: 1.35 to 6.00). Pediatric patients with the high pain adaptive profile had baseline pain severity comparable to that of the high pain dysfunctional profile, but had outcomes as favorable as the low pain adaptive profile. In laboratory pain testing at follow-up, high pain dysfunctional patients showed significantly greater thermal wind-up than low pain adaptive patients, suggesting that a subgroup of FAP patients has outcomes consistent with widespread effects of heightened central sensitization. (PsycINFO Database Record (c) 2016 APA, all rights reserved)","container-title":"Pain","DOI":"10.1016/j.pain.2012.03.026","ISSN":"1872-6623(Electronic),0304-3959(Print)","issue":"9","note":"publisher-place: Netherlands\npublisher: Elsevier Science","page":"1798-1806","source":"APA PsycNET","title":"Functional abdominal pain patient subtypes in childhood predict functional gastrointestinal disorders with chronic pain and psychiatric comorbidities in adolescence and adulthood","volume":"153","author":[{"family":"Walker","given":"Lynn S."},{"family":"Sherman","given":"Amanda L."},{"family":"Bruehl","given":"Stephen"},{"family":"Garber","given":"Judy"},{"family":"Smith","given":"Craig A."}],"issued":{"date-parts":[["2012"]]}}},{"id":241,"uris":["http://zotero.org/users/7139165/items/H4TMK9R4"],"uri":["http://zotero.org/users/7139165/items/H4TMK9R4"],"itemData":{"id":241,"type":"article-journal","container-title":"The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[35,48]</w:t>
      </w:r>
      <w:r w:rsidR="00C9428F" w:rsidRPr="00C50A39">
        <w:rPr>
          <w:rFonts w:ascii="Arial" w:eastAsia="Times New Roman" w:hAnsi="Arial" w:cs="Arial"/>
          <w:lang w:val="en-US"/>
        </w:rPr>
        <w:fldChar w:fldCharType="end"/>
      </w:r>
      <w:r w:rsidR="00283C5F">
        <w:rPr>
          <w:rFonts w:ascii="Arial" w:eastAsia="Times New Roman" w:hAnsi="Arial" w:cs="Arial"/>
          <w:lang w:val="en-US"/>
        </w:rPr>
        <w:t>,</w:t>
      </w:r>
      <w:r w:rsidR="00F4649A" w:rsidRPr="00C50A39">
        <w:rPr>
          <w:rFonts w:ascii="Arial" w:eastAsia="Times New Roman" w:hAnsi="Arial" w:cs="Arial"/>
          <w:lang w:val="en-US"/>
        </w:rPr>
        <w:t xml:space="preserve"> </w:t>
      </w:r>
      <w:r w:rsidR="003F065E" w:rsidRPr="00C50A39">
        <w:rPr>
          <w:rFonts w:ascii="Arial" w:eastAsia="Times New Roman" w:hAnsi="Arial" w:cs="Arial"/>
          <w:lang w:val="en-US"/>
        </w:rPr>
        <w:t>the HPD subgroup, compared to</w:t>
      </w:r>
      <w:r w:rsidR="00856023" w:rsidRPr="00C50A39">
        <w:rPr>
          <w:rFonts w:ascii="Arial" w:eastAsia="Times New Roman" w:hAnsi="Arial" w:cs="Arial"/>
          <w:lang w:val="en-US"/>
        </w:rPr>
        <w:t xml:space="preserve"> </w:t>
      </w:r>
      <w:r w:rsidR="0060089D" w:rsidRPr="00C50A39">
        <w:rPr>
          <w:rFonts w:ascii="Arial" w:eastAsia="Times New Roman" w:hAnsi="Arial" w:cs="Arial"/>
          <w:lang w:val="en-US"/>
        </w:rPr>
        <w:t xml:space="preserve">both </w:t>
      </w:r>
      <w:r w:rsidR="00856023" w:rsidRPr="00C50A39">
        <w:rPr>
          <w:rFonts w:ascii="Arial" w:eastAsia="Times New Roman" w:hAnsi="Arial" w:cs="Arial"/>
          <w:lang w:val="en-US"/>
        </w:rPr>
        <w:t>the</w:t>
      </w:r>
      <w:r w:rsidR="003F065E" w:rsidRPr="00C50A39">
        <w:rPr>
          <w:rFonts w:ascii="Arial" w:eastAsia="Times New Roman" w:hAnsi="Arial" w:cs="Arial"/>
          <w:lang w:val="en-US"/>
        </w:rPr>
        <w:t xml:space="preserve"> HPA and LPA</w:t>
      </w:r>
      <w:r w:rsidR="00856023" w:rsidRPr="00C50A39">
        <w:rPr>
          <w:rFonts w:ascii="Arial" w:eastAsia="Times New Roman" w:hAnsi="Arial" w:cs="Arial"/>
          <w:lang w:val="en-US"/>
        </w:rPr>
        <w:t xml:space="preserve"> subgroups</w:t>
      </w:r>
      <w:r w:rsidR="003F065E" w:rsidRPr="00C50A39">
        <w:rPr>
          <w:rFonts w:ascii="Arial" w:eastAsia="Times New Roman" w:hAnsi="Arial" w:cs="Arial"/>
          <w:lang w:val="en-US"/>
        </w:rPr>
        <w:t xml:space="preserve">, exhibited significantly higher levels </w:t>
      </w:r>
      <w:r w:rsidR="00856023" w:rsidRPr="00C50A39">
        <w:rPr>
          <w:rFonts w:ascii="Arial" w:eastAsia="Times New Roman" w:hAnsi="Arial" w:cs="Arial"/>
          <w:lang w:val="en-US"/>
        </w:rPr>
        <w:t xml:space="preserve">of </w:t>
      </w:r>
      <w:r w:rsidR="0033729C" w:rsidRPr="00C50A39">
        <w:rPr>
          <w:rFonts w:ascii="Arial" w:eastAsia="Times New Roman" w:hAnsi="Arial" w:cs="Arial"/>
          <w:lang w:val="en-US"/>
        </w:rPr>
        <w:t xml:space="preserve">pain </w:t>
      </w:r>
      <w:r w:rsidR="00623F9E" w:rsidRPr="00C50A39">
        <w:rPr>
          <w:rFonts w:ascii="Arial" w:eastAsia="Times New Roman" w:hAnsi="Arial" w:cs="Arial"/>
          <w:lang w:val="en-US"/>
        </w:rPr>
        <w:t>catastrophizing, poor</w:t>
      </w:r>
      <w:r w:rsidR="00FA5A20" w:rsidRPr="00C50A39">
        <w:rPr>
          <w:rFonts w:ascii="Arial" w:eastAsia="Times New Roman" w:hAnsi="Arial" w:cs="Arial"/>
          <w:lang w:val="en-US"/>
        </w:rPr>
        <w:t>er</w:t>
      </w:r>
      <w:r w:rsidR="00623F9E" w:rsidRPr="00C50A39">
        <w:rPr>
          <w:rFonts w:ascii="Arial" w:eastAsia="Times New Roman" w:hAnsi="Arial" w:cs="Arial"/>
          <w:lang w:val="en-US"/>
        </w:rPr>
        <w:t xml:space="preserve"> pain self-efficacy, and</w:t>
      </w:r>
      <w:r w:rsidR="00FA5A20" w:rsidRPr="00C50A39">
        <w:rPr>
          <w:rFonts w:ascii="Arial" w:eastAsia="Times New Roman" w:hAnsi="Arial" w:cs="Arial"/>
          <w:lang w:val="en-US"/>
        </w:rPr>
        <w:t xml:space="preserve"> greater</w:t>
      </w:r>
      <w:r w:rsidR="00623F9E" w:rsidRPr="00C50A39">
        <w:rPr>
          <w:rFonts w:ascii="Arial" w:eastAsia="Times New Roman" w:hAnsi="Arial" w:cs="Arial"/>
          <w:lang w:val="en-US"/>
        </w:rPr>
        <w:t xml:space="preserve"> impairment in daily activities.</w:t>
      </w:r>
      <w:r w:rsidR="003F065E" w:rsidRPr="00C50A39">
        <w:rPr>
          <w:rFonts w:ascii="Arial" w:eastAsia="Times New Roman" w:hAnsi="Arial" w:cs="Arial"/>
          <w:color w:val="111111"/>
          <w:shd w:val="clear" w:color="auto" w:fill="FFFFFF"/>
          <w:lang w:val="en-US"/>
        </w:rPr>
        <w:t xml:space="preserve"> CBT</w:t>
      </w:r>
      <w:r w:rsidR="002A445F" w:rsidRPr="00C50A39">
        <w:rPr>
          <w:rFonts w:ascii="Arial" w:eastAsia="Times New Roman" w:hAnsi="Arial" w:cs="Arial"/>
          <w:color w:val="111111"/>
          <w:shd w:val="clear" w:color="auto" w:fill="FFFFFF"/>
          <w:lang w:val="en-US"/>
        </w:rPr>
        <w:t>’s</w:t>
      </w:r>
      <w:r w:rsidR="003F065E" w:rsidRPr="00C50A39">
        <w:rPr>
          <w:rFonts w:ascii="Arial" w:eastAsia="Times New Roman" w:hAnsi="Arial" w:cs="Arial"/>
          <w:color w:val="111111"/>
          <w:shd w:val="clear" w:color="auto" w:fill="FFFFFF"/>
          <w:lang w:val="en-US"/>
        </w:rPr>
        <w:t xml:space="preserve"> focus on pain coping skills (involving weekly skills practice) may have matched these patients’ needs.</w:t>
      </w:r>
      <w:r w:rsidR="008E3B68">
        <w:rPr>
          <w:rFonts w:ascii="Arial" w:eastAsia="Times New Roman" w:hAnsi="Arial" w:cs="Arial"/>
          <w:color w:val="111111"/>
          <w:shd w:val="clear" w:color="auto" w:fill="FFFFFF"/>
          <w:lang w:val="en-US"/>
        </w:rPr>
        <w:t xml:space="preserve"> </w:t>
      </w:r>
      <w:r w:rsidR="0060522C" w:rsidRPr="00C50A39">
        <w:rPr>
          <w:rFonts w:ascii="Arial" w:eastAsia="Times New Roman" w:hAnsi="Arial" w:cs="Arial"/>
          <w:lang w:val="en-US"/>
        </w:rPr>
        <w:t>Moreover,</w:t>
      </w:r>
      <w:r w:rsidR="00856023" w:rsidRPr="00C50A39">
        <w:rPr>
          <w:rFonts w:ascii="Arial" w:eastAsia="Times New Roman" w:hAnsi="Arial" w:cs="Arial"/>
          <w:lang w:val="en-US"/>
        </w:rPr>
        <w:t xml:space="preserve"> CBT parent modules </w:t>
      </w:r>
      <w:r w:rsidR="00BA3F68" w:rsidRPr="00C50A39">
        <w:rPr>
          <w:rFonts w:ascii="Arial" w:eastAsia="Times New Roman" w:hAnsi="Arial" w:cs="Arial"/>
          <w:lang w:val="en-US"/>
        </w:rPr>
        <w:t xml:space="preserve">focused </w:t>
      </w:r>
      <w:r w:rsidR="00856023" w:rsidRPr="00C50A39">
        <w:rPr>
          <w:rFonts w:ascii="Arial" w:eastAsia="Times New Roman" w:hAnsi="Arial" w:cs="Arial"/>
          <w:lang w:val="en-US"/>
        </w:rPr>
        <w:t xml:space="preserve">on effective responding to </w:t>
      </w:r>
      <w:r w:rsidR="00856023" w:rsidRPr="00C50A39">
        <w:rPr>
          <w:rFonts w:ascii="Arial" w:eastAsia="Times New Roman" w:hAnsi="Arial" w:cs="Arial"/>
          <w:lang w:val="en-US"/>
        </w:rPr>
        <w:lastRenderedPageBreak/>
        <w:t>children’s pain</w:t>
      </w:r>
      <w:r w:rsidR="002B319F">
        <w:rPr>
          <w:rFonts w:ascii="Arial" w:eastAsia="Times New Roman" w:hAnsi="Arial" w:cs="Arial"/>
          <w:lang w:val="en-US"/>
        </w:rPr>
        <w:t xml:space="preserve"> and were</w:t>
      </w:r>
      <w:r w:rsidR="00856023" w:rsidRPr="00C50A39">
        <w:rPr>
          <w:rFonts w:ascii="Arial" w:eastAsia="Times New Roman" w:hAnsi="Arial" w:cs="Arial"/>
          <w:lang w:val="en-US"/>
        </w:rPr>
        <w:t xml:space="preserve"> a good match for the HPD subgroup </w:t>
      </w:r>
      <w:r w:rsidR="007C09E6" w:rsidRPr="00C50A39">
        <w:rPr>
          <w:rFonts w:ascii="Arial" w:eastAsia="Times New Roman" w:hAnsi="Arial" w:cs="Arial"/>
          <w:lang w:val="en-US"/>
        </w:rPr>
        <w:t>in that</w:t>
      </w:r>
      <w:r w:rsidR="00856023" w:rsidRPr="00C50A39">
        <w:rPr>
          <w:rFonts w:ascii="Arial" w:eastAsia="Times New Roman" w:hAnsi="Arial" w:cs="Arial"/>
          <w:lang w:val="en-US"/>
        </w:rPr>
        <w:t xml:space="preserve"> p</w:t>
      </w:r>
      <w:r w:rsidR="003F065E" w:rsidRPr="00C50A39">
        <w:rPr>
          <w:rFonts w:ascii="Arial" w:eastAsia="Times New Roman" w:hAnsi="Arial" w:cs="Arial"/>
          <w:lang w:val="en-US"/>
        </w:rPr>
        <w:t xml:space="preserve">arents in the </w:t>
      </w:r>
      <w:r w:rsidR="00BA3F68" w:rsidRPr="00C50A39">
        <w:rPr>
          <w:rFonts w:ascii="Arial" w:eastAsia="Times New Roman" w:hAnsi="Arial" w:cs="Arial"/>
          <w:lang w:val="en-US"/>
        </w:rPr>
        <w:t>HPD</w:t>
      </w:r>
      <w:r w:rsidR="003F065E" w:rsidRPr="00C50A39">
        <w:rPr>
          <w:rFonts w:ascii="Arial" w:eastAsia="Times New Roman" w:hAnsi="Arial" w:cs="Arial"/>
          <w:lang w:val="en-US"/>
        </w:rPr>
        <w:t xml:space="preserve"> subgroup, compared to those in </w:t>
      </w:r>
      <w:r w:rsidR="008D7028" w:rsidRPr="00C50A39">
        <w:rPr>
          <w:rFonts w:ascii="Arial" w:eastAsia="Times New Roman" w:hAnsi="Arial" w:cs="Arial"/>
          <w:lang w:val="en-US"/>
        </w:rPr>
        <w:t>the HPA and LPA subgroups, exhibited</w:t>
      </w:r>
      <w:r w:rsidR="003F7F9A" w:rsidRPr="00C50A39">
        <w:rPr>
          <w:rFonts w:ascii="Arial" w:eastAsia="Times New Roman" w:hAnsi="Arial" w:cs="Arial"/>
          <w:lang w:val="en-US"/>
        </w:rPr>
        <w:t xml:space="preserve"> </w:t>
      </w:r>
      <w:r w:rsidR="008D7028" w:rsidRPr="00C50A39">
        <w:rPr>
          <w:rFonts w:ascii="Arial" w:eastAsia="Times New Roman" w:hAnsi="Arial" w:cs="Arial"/>
          <w:lang w:val="en-US"/>
        </w:rPr>
        <w:t>significantly higher levels of</w:t>
      </w:r>
      <w:r w:rsidR="00856023" w:rsidRPr="00C50A39">
        <w:rPr>
          <w:rFonts w:ascii="Arial" w:eastAsia="Times New Roman" w:hAnsi="Arial" w:cs="Arial"/>
          <w:lang w:val="en-US"/>
        </w:rPr>
        <w:t xml:space="preserve"> </w:t>
      </w:r>
      <w:r w:rsidR="0060522C" w:rsidRPr="00C50A39">
        <w:rPr>
          <w:rFonts w:ascii="Arial" w:eastAsia="Times New Roman" w:hAnsi="Arial" w:cs="Arial"/>
          <w:lang w:val="en-US"/>
        </w:rPr>
        <w:t xml:space="preserve">catastrophizing about </w:t>
      </w:r>
      <w:r w:rsidR="002B2DF6" w:rsidRPr="00C50A39">
        <w:rPr>
          <w:rFonts w:ascii="Arial" w:eastAsia="Times New Roman" w:hAnsi="Arial" w:cs="Arial"/>
          <w:lang w:val="en-US"/>
        </w:rPr>
        <w:t xml:space="preserve">their </w:t>
      </w:r>
      <w:r w:rsidR="0060522C" w:rsidRPr="00C50A39">
        <w:rPr>
          <w:rFonts w:ascii="Arial" w:eastAsia="Times New Roman" w:hAnsi="Arial" w:cs="Arial"/>
          <w:lang w:val="en-US"/>
        </w:rPr>
        <w:t>child</w:t>
      </w:r>
      <w:r w:rsidR="002B2DF6" w:rsidRPr="00C50A39">
        <w:rPr>
          <w:rFonts w:ascii="Arial" w:eastAsia="Times New Roman" w:hAnsi="Arial" w:cs="Arial"/>
          <w:lang w:val="en-US"/>
        </w:rPr>
        <w:t xml:space="preserve">’s pain, responding solicitously to their child’s pain behavior, and </w:t>
      </w:r>
      <w:r w:rsidR="00FA5A20" w:rsidRPr="00C50A39">
        <w:rPr>
          <w:rFonts w:ascii="Arial" w:eastAsia="Times New Roman" w:hAnsi="Arial" w:cs="Arial"/>
          <w:lang w:val="en-US"/>
        </w:rPr>
        <w:t>displaying their own</w:t>
      </w:r>
      <w:r w:rsidR="002B2DF6" w:rsidRPr="00C50A39">
        <w:rPr>
          <w:rFonts w:ascii="Arial" w:eastAsia="Times New Roman" w:hAnsi="Arial" w:cs="Arial"/>
          <w:lang w:val="en-US"/>
        </w:rPr>
        <w:t xml:space="preserve"> </w:t>
      </w:r>
      <w:r w:rsidR="00C74E73" w:rsidRPr="00C50A39">
        <w:rPr>
          <w:rFonts w:ascii="Arial" w:eastAsia="Times New Roman" w:hAnsi="Arial" w:cs="Arial"/>
          <w:lang w:val="en-US"/>
        </w:rPr>
        <w:t xml:space="preserve">pain behavior that </w:t>
      </w:r>
      <w:r w:rsidR="000B5A62" w:rsidRPr="00C50A39">
        <w:rPr>
          <w:rFonts w:ascii="Arial" w:eastAsia="Times New Roman" w:hAnsi="Arial" w:cs="Arial"/>
          <w:lang w:val="en-US"/>
        </w:rPr>
        <w:t>can</w:t>
      </w:r>
      <w:r w:rsidR="00C74E73" w:rsidRPr="00C50A39">
        <w:rPr>
          <w:rFonts w:ascii="Arial" w:eastAsia="Times New Roman" w:hAnsi="Arial" w:cs="Arial"/>
          <w:lang w:val="en-US"/>
        </w:rPr>
        <w:t xml:space="preserve"> serve as a model for children</w:t>
      </w:r>
      <w:r w:rsidR="001128D2" w:rsidRPr="00C50A39">
        <w:rPr>
          <w:rFonts w:ascii="Arial" w:eastAsia="Times New Roman" w:hAnsi="Arial" w:cs="Arial"/>
          <w:lang w:val="en-US"/>
        </w:rPr>
        <w:t>’s pain-related impairment</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mv37bbnd4","properties":{"formattedCitation":"[35]","plainCitation":"[35]","noteIndex":0},"citationItems":[{"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[35]</w:t>
      </w:r>
      <w:r w:rsidR="00C9428F" w:rsidRPr="00C50A39">
        <w:rPr>
          <w:rFonts w:ascii="Arial" w:eastAsia="Times New Roman" w:hAnsi="Arial" w:cs="Arial"/>
          <w:lang w:val="en-US"/>
        </w:rPr>
        <w:fldChar w:fldCharType="end"/>
      </w:r>
      <w:r w:rsidR="00283C5F">
        <w:rPr>
          <w:rFonts w:ascii="Arial" w:eastAsia="Times New Roman" w:hAnsi="Arial" w:cs="Arial"/>
          <w:lang w:val="en-US"/>
        </w:rPr>
        <w:t>.</w:t>
      </w:r>
      <w:r w:rsidR="005C491C" w:rsidRPr="00C50A39">
        <w:rPr>
          <w:rFonts w:ascii="Arial" w:eastAsia="Times New Roman" w:hAnsi="Arial" w:cs="Arial"/>
          <w:lang w:val="en-US"/>
        </w:rPr>
        <w:t xml:space="preserve"> </w:t>
      </w:r>
      <w:r w:rsidR="00111A29" w:rsidRPr="00C50A39">
        <w:rPr>
          <w:rFonts w:ascii="Arial" w:eastAsia="Times New Roman" w:hAnsi="Arial" w:cs="Arial"/>
          <w:lang w:val="en-US"/>
        </w:rPr>
        <w:t xml:space="preserve"> </w:t>
      </w:r>
      <w:r w:rsidR="00805853" w:rsidRPr="00C50A39">
        <w:rPr>
          <w:rFonts w:ascii="Arial" w:eastAsia="Times New Roman" w:hAnsi="Arial" w:cs="Arial"/>
          <w:lang w:val="en-US"/>
        </w:rPr>
        <w:t xml:space="preserve">In contrast to the HPD subgroup, </w:t>
      </w:r>
      <w:r w:rsidR="00856023" w:rsidRPr="00C50A39">
        <w:rPr>
          <w:rFonts w:ascii="Arial" w:eastAsia="Times New Roman" w:hAnsi="Arial" w:cs="Arial"/>
          <w:lang w:val="en-US"/>
        </w:rPr>
        <w:t xml:space="preserve">while </w:t>
      </w:r>
      <w:r w:rsidR="00805853" w:rsidRPr="00C50A39">
        <w:rPr>
          <w:rFonts w:ascii="Arial" w:eastAsia="Times New Roman" w:hAnsi="Arial" w:cs="Arial"/>
          <w:lang w:val="en-US"/>
        </w:rPr>
        <w:t>p</w:t>
      </w:r>
      <w:r w:rsidR="00151ACA" w:rsidRPr="00C50A39">
        <w:rPr>
          <w:rFonts w:ascii="Arial" w:eastAsia="Times New Roman" w:hAnsi="Arial" w:cs="Arial"/>
          <w:lang w:val="en-US"/>
        </w:rPr>
        <w:t xml:space="preserve">atients </w:t>
      </w:r>
      <w:r w:rsidR="00B13654" w:rsidRPr="00C50A39">
        <w:rPr>
          <w:rFonts w:ascii="Arial" w:eastAsia="Times New Roman" w:hAnsi="Arial" w:cs="Arial"/>
          <w:lang w:val="en-US"/>
        </w:rPr>
        <w:t>in the HPA</w:t>
      </w:r>
      <w:r w:rsidR="00B06C83" w:rsidRPr="00C50A39">
        <w:rPr>
          <w:rFonts w:ascii="Arial" w:eastAsia="Times New Roman" w:hAnsi="Arial" w:cs="Arial"/>
          <w:lang w:val="en-US"/>
        </w:rPr>
        <w:t xml:space="preserve"> </w:t>
      </w:r>
      <w:r w:rsidR="00111A29" w:rsidRPr="00C50A39">
        <w:rPr>
          <w:rFonts w:ascii="Arial" w:eastAsia="Times New Roman" w:hAnsi="Arial" w:cs="Arial"/>
          <w:lang w:val="en-US"/>
        </w:rPr>
        <w:t>subgroup</w:t>
      </w:r>
      <w:r w:rsidR="00805853" w:rsidRPr="00C50A39">
        <w:rPr>
          <w:rFonts w:ascii="Arial" w:eastAsia="Times New Roman" w:hAnsi="Arial" w:cs="Arial"/>
          <w:lang w:val="en-US"/>
        </w:rPr>
        <w:t xml:space="preserve"> had </w:t>
      </w:r>
      <w:r w:rsidR="00856023" w:rsidRPr="00C50A39">
        <w:rPr>
          <w:rFonts w:ascii="Arial" w:eastAsia="Times New Roman" w:hAnsi="Arial" w:cs="Arial"/>
          <w:lang w:val="en-US"/>
        </w:rPr>
        <w:t>frequent pain</w:t>
      </w:r>
      <w:r w:rsidR="00805853" w:rsidRPr="00C50A39">
        <w:rPr>
          <w:rFonts w:ascii="Arial" w:eastAsia="Times New Roman" w:hAnsi="Arial" w:cs="Arial"/>
          <w:lang w:val="en-US"/>
        </w:rPr>
        <w:t xml:space="preserve"> </w:t>
      </w:r>
      <w:r w:rsidR="00856023" w:rsidRPr="00C50A39">
        <w:rPr>
          <w:rFonts w:ascii="Arial" w:eastAsia="Times New Roman" w:hAnsi="Arial" w:cs="Arial"/>
          <w:lang w:val="en-US"/>
        </w:rPr>
        <w:t xml:space="preserve">they also had </w:t>
      </w:r>
      <w:r w:rsidR="00A23DB3" w:rsidRPr="00C50A39">
        <w:rPr>
          <w:rFonts w:ascii="Arial" w:eastAsia="Times New Roman" w:hAnsi="Arial" w:cs="Arial"/>
          <w:lang w:val="en-US"/>
        </w:rPr>
        <w:t xml:space="preserve">significantly </w:t>
      </w:r>
      <w:r w:rsidR="006E2591" w:rsidRPr="00C50A39">
        <w:rPr>
          <w:rFonts w:ascii="Arial" w:eastAsia="Times New Roman" w:hAnsi="Arial" w:cs="Arial"/>
          <w:lang w:val="en-US"/>
        </w:rPr>
        <w:t>higher pain self-efficacy</w:t>
      </w:r>
      <w:r w:rsidR="00C74E73" w:rsidRPr="00C50A39">
        <w:rPr>
          <w:rFonts w:ascii="Arial" w:eastAsia="Times New Roman" w:hAnsi="Arial" w:cs="Arial"/>
          <w:lang w:val="en-US"/>
        </w:rPr>
        <w:t xml:space="preserve"> </w:t>
      </w:r>
      <w:r w:rsidR="000B7AD7" w:rsidRPr="00C50A39">
        <w:rPr>
          <w:rFonts w:ascii="Arial" w:eastAsia="Times New Roman" w:hAnsi="Arial" w:cs="Arial"/>
          <w:lang w:val="en-US"/>
        </w:rPr>
        <w:t>and</w:t>
      </w:r>
      <w:r w:rsidR="00111A29" w:rsidRPr="00C50A39">
        <w:rPr>
          <w:rFonts w:ascii="Arial" w:eastAsia="Times New Roman" w:hAnsi="Arial" w:cs="Arial"/>
          <w:lang w:val="en-US"/>
        </w:rPr>
        <w:t xml:space="preserve"> their parents had more</w:t>
      </w:r>
      <w:r w:rsidR="003559A8" w:rsidRPr="00C50A39">
        <w:rPr>
          <w:rFonts w:ascii="Arial" w:eastAsia="Times New Roman" w:hAnsi="Arial" w:cs="Arial"/>
          <w:lang w:val="en-US"/>
        </w:rPr>
        <w:t xml:space="preserve"> adaptive </w:t>
      </w:r>
      <w:r w:rsidR="00A708AD" w:rsidRPr="00C50A39">
        <w:rPr>
          <w:rFonts w:ascii="Arial" w:eastAsia="Times New Roman" w:hAnsi="Arial" w:cs="Arial"/>
          <w:lang w:val="en-US"/>
        </w:rPr>
        <w:t>behavior</w:t>
      </w:r>
      <w:r w:rsidR="003559A8" w:rsidRPr="00C50A39">
        <w:rPr>
          <w:rFonts w:ascii="Arial" w:eastAsia="Times New Roman" w:hAnsi="Arial" w:cs="Arial"/>
          <w:lang w:val="en-US"/>
        </w:rPr>
        <w:t xml:space="preserve">al responses to </w:t>
      </w:r>
      <w:r w:rsidR="00111A29" w:rsidRPr="00C50A39">
        <w:rPr>
          <w:rFonts w:ascii="Arial" w:eastAsia="Times New Roman" w:hAnsi="Arial" w:cs="Arial"/>
          <w:lang w:val="en-US"/>
        </w:rPr>
        <w:t xml:space="preserve">their children’s </w:t>
      </w:r>
      <w:r w:rsidR="003559A8" w:rsidRPr="00C50A39">
        <w:rPr>
          <w:rFonts w:ascii="Arial" w:eastAsia="Times New Roman" w:hAnsi="Arial" w:cs="Arial"/>
          <w:lang w:val="en-US"/>
        </w:rPr>
        <w:t>pain</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jkrvlhu2a","properties":{"formattedCitation":"[35]","plainCitation":"[35]","noteIndex":0},"citationItems":[{"id":241,"uris":["http://zotero.org/users/7139165/items/H4TMK9R4"],"uri":["http://zotero.org/users/7139165/items/H4TMK9R4"],"itemData":{"id":241,"type":"article-journal","container-title":"The Clinical Journal of Pain","DOI":"10.1097/AJP.0000000000000882","issue":"12","page":"897-906","title":"Subgroups of pediatric patients with functional abdominal pain: Replication, parental characteristics, and health service use","volume":"36","author":[{"family":"Stone","given":"Amanda L."},{"family":"Han","given":"Gloria T."},{"family":"Bruehl","given":"Stephen"},{"family":"Garber","given":"Judy"},{"family":"Smith","given":"Craig A."},{"family":"Palermo","given":"Tonya M."},{"family":"Walker","given":"Lynn S."}],"issued":{"date-parts":[["2020"]]}}}],"schema":"https://github.com/citation-style-language/schema/raw/master/csl-citation.json"}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[35]</w:t>
      </w:r>
      <w:r w:rsidR="00C9428F" w:rsidRPr="00C50A39">
        <w:rPr>
          <w:rFonts w:ascii="Arial" w:eastAsia="Times New Roman" w:hAnsi="Arial" w:cs="Arial"/>
          <w:lang w:val="en-US"/>
        </w:rPr>
        <w:fldChar w:fldCharType="end"/>
      </w:r>
      <w:r w:rsidR="00283C5F">
        <w:rPr>
          <w:rFonts w:ascii="Arial" w:eastAsia="Times New Roman" w:hAnsi="Arial" w:cs="Arial"/>
          <w:lang w:val="en-US"/>
        </w:rPr>
        <w:t>.</w:t>
      </w:r>
      <w:r w:rsidR="00625676" w:rsidRPr="00C50A39">
        <w:rPr>
          <w:rFonts w:ascii="Arial" w:eastAsia="Times New Roman" w:hAnsi="Arial" w:cs="Arial"/>
          <w:lang w:val="en-US"/>
        </w:rPr>
        <w:t xml:space="preserve"> </w:t>
      </w:r>
      <w:r w:rsidR="00C74E73" w:rsidRPr="00C50A39">
        <w:rPr>
          <w:rFonts w:ascii="Arial" w:eastAsia="Times New Roman" w:hAnsi="Arial" w:cs="Arial"/>
          <w:lang w:val="en-US"/>
        </w:rPr>
        <w:t>Thus, youth</w:t>
      </w:r>
      <w:r w:rsidR="001313D5" w:rsidRPr="00C50A39">
        <w:rPr>
          <w:rFonts w:ascii="Arial" w:eastAsia="Times New Roman" w:hAnsi="Arial" w:cs="Arial"/>
          <w:lang w:val="en-US"/>
        </w:rPr>
        <w:t xml:space="preserve"> </w:t>
      </w:r>
      <w:r w:rsidR="00C74E73" w:rsidRPr="00C50A39">
        <w:rPr>
          <w:rFonts w:ascii="Arial" w:eastAsia="Times New Roman" w:hAnsi="Arial" w:cs="Arial"/>
          <w:lang w:val="en-US"/>
        </w:rPr>
        <w:t>and parents in</w:t>
      </w:r>
      <w:r w:rsidR="00625676" w:rsidRPr="00C50A39">
        <w:rPr>
          <w:rFonts w:ascii="Arial" w:eastAsia="Times New Roman" w:hAnsi="Arial" w:cs="Arial"/>
          <w:lang w:val="en-US"/>
        </w:rPr>
        <w:t xml:space="preserve"> </w:t>
      </w:r>
      <w:r w:rsidR="00C74E73" w:rsidRPr="00C50A39">
        <w:rPr>
          <w:rFonts w:ascii="Arial" w:eastAsia="Times New Roman" w:hAnsi="Arial" w:cs="Arial"/>
          <w:lang w:val="en-US"/>
        </w:rPr>
        <w:t>the HPA sub</w:t>
      </w:r>
      <w:r w:rsidR="00D21ACF" w:rsidRPr="00C50A39">
        <w:rPr>
          <w:rFonts w:ascii="Arial" w:eastAsia="Times New Roman" w:hAnsi="Arial" w:cs="Arial"/>
          <w:lang w:val="en-US"/>
        </w:rPr>
        <w:t>group</w:t>
      </w:r>
      <w:r w:rsidR="000B7AD7" w:rsidRPr="00C50A39">
        <w:rPr>
          <w:rFonts w:ascii="Arial" w:eastAsia="Times New Roman" w:hAnsi="Arial" w:cs="Arial"/>
          <w:lang w:val="en-US"/>
        </w:rPr>
        <w:t xml:space="preserve"> </w:t>
      </w:r>
      <w:r w:rsidR="00F6574E" w:rsidRPr="00C50A39">
        <w:rPr>
          <w:rFonts w:ascii="Arial" w:eastAsia="Times New Roman" w:hAnsi="Arial" w:cs="Arial"/>
          <w:lang w:val="en-US"/>
        </w:rPr>
        <w:t>may</w:t>
      </w:r>
      <w:r w:rsidR="00625676" w:rsidRPr="00C50A39">
        <w:rPr>
          <w:rFonts w:ascii="Arial" w:eastAsia="Times New Roman" w:hAnsi="Arial" w:cs="Arial"/>
          <w:lang w:val="en-US"/>
        </w:rPr>
        <w:t xml:space="preserve"> </w:t>
      </w:r>
      <w:r w:rsidR="002721D5" w:rsidRPr="00C50A39">
        <w:rPr>
          <w:rFonts w:ascii="Arial" w:eastAsia="Times New Roman" w:hAnsi="Arial" w:cs="Arial"/>
          <w:lang w:val="en-US"/>
        </w:rPr>
        <w:t xml:space="preserve">have </w:t>
      </w:r>
      <w:r w:rsidR="000B7AD7" w:rsidRPr="00C50A39">
        <w:rPr>
          <w:rFonts w:ascii="Arial" w:eastAsia="Times New Roman" w:hAnsi="Arial" w:cs="Arial"/>
          <w:lang w:val="en-US"/>
        </w:rPr>
        <w:t>been</w:t>
      </w:r>
      <w:r w:rsidR="003559A8" w:rsidRPr="00C50A39">
        <w:rPr>
          <w:rFonts w:ascii="Arial" w:eastAsia="Times New Roman" w:hAnsi="Arial" w:cs="Arial"/>
          <w:lang w:val="en-US"/>
        </w:rPr>
        <w:t xml:space="preserve"> </w:t>
      </w:r>
      <w:r w:rsidR="002721D5" w:rsidRPr="00C50A39">
        <w:rPr>
          <w:rFonts w:ascii="Arial" w:eastAsia="Times New Roman" w:hAnsi="Arial" w:cs="Arial"/>
          <w:lang w:val="en-US"/>
        </w:rPr>
        <w:t xml:space="preserve">prepared to benefit </w:t>
      </w:r>
      <w:r w:rsidR="00805853" w:rsidRPr="00C50A39">
        <w:rPr>
          <w:rFonts w:ascii="Arial" w:eastAsia="Times New Roman" w:hAnsi="Arial" w:cs="Arial"/>
          <w:lang w:val="en-US"/>
        </w:rPr>
        <w:t xml:space="preserve">as much </w:t>
      </w:r>
      <w:r w:rsidR="002721D5" w:rsidRPr="00C50A39">
        <w:rPr>
          <w:rFonts w:ascii="Arial" w:eastAsia="Times New Roman" w:hAnsi="Arial" w:cs="Arial"/>
          <w:lang w:val="en-US"/>
        </w:rPr>
        <w:t>from</w:t>
      </w:r>
      <w:r w:rsidR="00805853" w:rsidRPr="00C50A39">
        <w:rPr>
          <w:rFonts w:ascii="Arial" w:eastAsia="Times New Roman" w:hAnsi="Arial" w:cs="Arial"/>
          <w:lang w:val="en-US"/>
        </w:rPr>
        <w:t xml:space="preserve"> low intensity</w:t>
      </w:r>
      <w:r w:rsidR="002721D5" w:rsidRPr="00C50A39">
        <w:rPr>
          <w:rFonts w:ascii="Arial" w:eastAsia="Times New Roman" w:hAnsi="Arial" w:cs="Arial"/>
          <w:lang w:val="en-US"/>
        </w:rPr>
        <w:t xml:space="preserve"> </w:t>
      </w:r>
      <w:r w:rsidR="00805853" w:rsidRPr="00C50A39">
        <w:rPr>
          <w:rFonts w:ascii="Arial" w:eastAsia="Times New Roman" w:hAnsi="Arial" w:cs="Arial"/>
          <w:lang w:val="en-US"/>
        </w:rPr>
        <w:t xml:space="preserve">EDU </w:t>
      </w:r>
      <w:r w:rsidR="008D7028" w:rsidRPr="00C50A39">
        <w:rPr>
          <w:rFonts w:ascii="Arial" w:eastAsia="Times New Roman" w:hAnsi="Arial" w:cs="Arial"/>
          <w:lang w:val="en-US"/>
        </w:rPr>
        <w:t>pain</w:t>
      </w:r>
      <w:r w:rsidR="003559A8" w:rsidRPr="00C50A39">
        <w:rPr>
          <w:rFonts w:ascii="Arial" w:eastAsia="Times New Roman" w:hAnsi="Arial" w:cs="Arial"/>
          <w:lang w:val="en-US"/>
        </w:rPr>
        <w:t xml:space="preserve"> education </w:t>
      </w:r>
      <w:r w:rsidR="002614E0" w:rsidRPr="00C50A39">
        <w:rPr>
          <w:rFonts w:ascii="Arial" w:eastAsia="Times New Roman" w:hAnsi="Arial" w:cs="Arial"/>
          <w:lang w:val="en-US"/>
        </w:rPr>
        <w:t xml:space="preserve">as </w:t>
      </w:r>
      <w:r w:rsidR="00805853" w:rsidRPr="00C50A39">
        <w:rPr>
          <w:rFonts w:ascii="Arial" w:eastAsia="Times New Roman" w:hAnsi="Arial" w:cs="Arial"/>
          <w:lang w:val="en-US"/>
        </w:rPr>
        <w:t xml:space="preserve">from </w:t>
      </w:r>
      <w:r w:rsidR="002614E0" w:rsidRPr="00C50A39">
        <w:rPr>
          <w:rFonts w:ascii="Arial" w:eastAsia="Times New Roman" w:hAnsi="Arial" w:cs="Arial"/>
          <w:lang w:val="en-US"/>
        </w:rPr>
        <w:t>CBT</w:t>
      </w:r>
      <w:r w:rsidR="00625676" w:rsidRPr="00C50A39">
        <w:rPr>
          <w:rFonts w:ascii="Arial" w:eastAsia="Times New Roman" w:hAnsi="Arial" w:cs="Arial"/>
          <w:lang w:val="en-US"/>
        </w:rPr>
        <w:t xml:space="preserve">. </w:t>
      </w:r>
      <w:r w:rsidR="003736BD" w:rsidRPr="00C50A39">
        <w:rPr>
          <w:rFonts w:ascii="Arial" w:eastAsia="Times New Roman" w:hAnsi="Arial" w:cs="Arial"/>
          <w:lang w:val="en-US"/>
        </w:rPr>
        <w:t>Final</w:t>
      </w:r>
      <w:r w:rsidR="006E0F77" w:rsidRPr="00C50A39">
        <w:rPr>
          <w:rFonts w:ascii="Arial" w:eastAsia="Times New Roman" w:hAnsi="Arial" w:cs="Arial"/>
          <w:lang w:val="en-US"/>
        </w:rPr>
        <w:t xml:space="preserve">ly, youth in the </w:t>
      </w:r>
      <w:r w:rsidR="00625676" w:rsidRPr="00C50A39">
        <w:rPr>
          <w:rFonts w:ascii="Arial" w:eastAsia="Times New Roman" w:hAnsi="Arial" w:cs="Arial"/>
          <w:lang w:val="en-US"/>
        </w:rPr>
        <w:t xml:space="preserve">LPA </w:t>
      </w:r>
      <w:r w:rsidR="006E0F77" w:rsidRPr="00C50A39">
        <w:rPr>
          <w:rFonts w:ascii="Arial" w:eastAsia="Times New Roman" w:hAnsi="Arial" w:cs="Arial"/>
          <w:lang w:val="en-US"/>
        </w:rPr>
        <w:t>subg</w:t>
      </w:r>
      <w:r w:rsidR="00D21ACF" w:rsidRPr="00C50A39">
        <w:rPr>
          <w:rFonts w:ascii="Arial" w:eastAsia="Times New Roman" w:hAnsi="Arial" w:cs="Arial"/>
          <w:lang w:val="en-US"/>
        </w:rPr>
        <w:t>roup</w:t>
      </w:r>
      <w:r w:rsidR="000B7AD7" w:rsidRPr="00C50A39">
        <w:rPr>
          <w:rFonts w:ascii="Arial" w:eastAsia="Times New Roman" w:hAnsi="Arial" w:cs="Arial"/>
          <w:lang w:val="en-US"/>
        </w:rPr>
        <w:t xml:space="preserve"> – with </w:t>
      </w:r>
      <w:r w:rsidR="00C74E73" w:rsidRPr="00C50A39">
        <w:rPr>
          <w:rFonts w:ascii="Arial" w:eastAsia="Times New Roman" w:hAnsi="Arial" w:cs="Arial"/>
          <w:lang w:val="en-US"/>
        </w:rPr>
        <w:t xml:space="preserve">the </w:t>
      </w:r>
      <w:r w:rsidR="00625676" w:rsidRPr="00C50A39">
        <w:rPr>
          <w:rFonts w:ascii="Arial" w:eastAsia="Times New Roman" w:hAnsi="Arial" w:cs="Arial"/>
          <w:lang w:val="en-US"/>
        </w:rPr>
        <w:t xml:space="preserve">lowest pain and </w:t>
      </w:r>
      <w:r w:rsidR="000920E3" w:rsidRPr="00C50A39">
        <w:rPr>
          <w:rFonts w:ascii="Arial" w:eastAsia="Times New Roman" w:hAnsi="Arial" w:cs="Arial"/>
          <w:lang w:val="en-US"/>
        </w:rPr>
        <w:t>most adaptive pain-related characteristics</w:t>
      </w:r>
      <w:r w:rsidR="000B7AD7" w:rsidRPr="00C50A39">
        <w:rPr>
          <w:rFonts w:ascii="Arial" w:eastAsia="Times New Roman" w:hAnsi="Arial" w:cs="Arial"/>
          <w:lang w:val="en-US"/>
        </w:rPr>
        <w:t xml:space="preserve"> – </w:t>
      </w:r>
      <w:r w:rsidR="003736BD" w:rsidRPr="00C50A39">
        <w:rPr>
          <w:rFonts w:ascii="Arial" w:eastAsia="Times New Roman" w:hAnsi="Arial" w:cs="Arial"/>
          <w:lang w:val="en-US"/>
        </w:rPr>
        <w:t xml:space="preserve">may have had little need for </w:t>
      </w:r>
      <w:r w:rsidR="007C09E6" w:rsidRPr="00C50A39">
        <w:rPr>
          <w:rFonts w:ascii="Arial" w:eastAsia="Times New Roman" w:hAnsi="Arial" w:cs="Arial"/>
          <w:lang w:val="en-US"/>
        </w:rPr>
        <w:t xml:space="preserve">adjunctive psychological </w:t>
      </w:r>
      <w:r w:rsidR="0055330A" w:rsidRPr="00C50A39">
        <w:rPr>
          <w:rFonts w:ascii="Arial" w:eastAsia="Times New Roman" w:hAnsi="Arial" w:cs="Arial"/>
          <w:lang w:val="en-US"/>
        </w:rPr>
        <w:t>treatment</w:t>
      </w:r>
      <w:r w:rsidR="0003482A" w:rsidRPr="00C50A39">
        <w:rPr>
          <w:rFonts w:ascii="Arial" w:eastAsia="Times New Roman" w:hAnsi="Arial" w:cs="Arial"/>
          <w:lang w:val="en-US"/>
        </w:rPr>
        <w:t>.</w:t>
      </w:r>
      <w:r w:rsidR="000B7AD7" w:rsidRPr="00C50A39">
        <w:rPr>
          <w:rFonts w:ascii="Arial" w:eastAsia="Times New Roman" w:hAnsi="Arial" w:cs="Arial"/>
          <w:lang w:val="en-US"/>
        </w:rPr>
        <w:t xml:space="preserve"> </w:t>
      </w:r>
      <w:r w:rsidR="00BD70AA" w:rsidRPr="00C50A39">
        <w:rPr>
          <w:rFonts w:ascii="Arial" w:eastAsia="Times New Roman" w:hAnsi="Arial" w:cs="Arial"/>
          <w:lang w:val="en-US"/>
        </w:rPr>
        <w:t xml:space="preserve"> This is supported by findings that </w:t>
      </w:r>
      <w:r w:rsidR="00BD70AA" w:rsidRPr="00C50A39">
        <w:rPr>
          <w:rFonts w:ascii="Arial" w:hAnsi="Arial" w:cs="Arial"/>
          <w:lang w:val="en-US"/>
        </w:rPr>
        <w:t xml:space="preserve">among all patients randomized to CBT, HPD youth displayed significantly greater reductions in both GI symptoms and abdominal pain (secondary outcome) than did LPA youth, </w:t>
      </w:r>
      <w:r w:rsidR="00C74BDB" w:rsidRPr="00C50A39">
        <w:rPr>
          <w:rFonts w:ascii="Arial" w:hAnsi="Arial" w:cs="Arial"/>
          <w:lang w:val="en-US"/>
        </w:rPr>
        <w:t xml:space="preserve">consistent </w:t>
      </w:r>
      <w:proofErr w:type="gramStart"/>
      <w:r w:rsidR="00C74BDB" w:rsidRPr="00C50A39">
        <w:rPr>
          <w:rFonts w:ascii="Arial" w:hAnsi="Arial" w:cs="Arial"/>
          <w:lang w:val="en-US"/>
        </w:rPr>
        <w:t xml:space="preserve">with </w:t>
      </w:r>
      <w:r w:rsidR="00BD70AA" w:rsidRPr="00C50A39">
        <w:rPr>
          <w:rFonts w:ascii="Arial" w:hAnsi="Arial" w:cs="Arial"/>
          <w:lang w:val="en-US"/>
        </w:rPr>
        <w:t xml:space="preserve"> floor</w:t>
      </w:r>
      <w:proofErr w:type="gramEnd"/>
      <w:r w:rsidR="00BD70AA" w:rsidRPr="00C50A39">
        <w:rPr>
          <w:rFonts w:ascii="Arial" w:hAnsi="Arial" w:cs="Arial"/>
          <w:lang w:val="en-US"/>
        </w:rPr>
        <w:t xml:space="preserve"> effects in the LPA group. </w:t>
      </w:r>
    </w:p>
    <w:p w14:paraId="2CB6B408" w14:textId="38861649" w:rsidR="00CC535A" w:rsidRPr="00C50A39" w:rsidRDefault="008D7028"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 xml:space="preserve">Although the HPD subgroup </w:t>
      </w:r>
      <w:r w:rsidR="0055330A" w:rsidRPr="00C50A39">
        <w:rPr>
          <w:rFonts w:ascii="Arial" w:eastAsia="Times New Roman" w:hAnsi="Arial" w:cs="Arial"/>
          <w:lang w:val="en-US"/>
        </w:rPr>
        <w:t xml:space="preserve">in this RCT </w:t>
      </w:r>
      <w:r w:rsidRPr="00C50A39">
        <w:rPr>
          <w:rFonts w:ascii="Arial" w:eastAsia="Times New Roman" w:hAnsi="Arial" w:cs="Arial"/>
          <w:lang w:val="en-US"/>
        </w:rPr>
        <w:t xml:space="preserve">benefitted </w:t>
      </w:r>
      <w:r w:rsidR="00BA3F68" w:rsidRPr="00C50A39">
        <w:rPr>
          <w:rFonts w:ascii="Arial" w:eastAsia="Times New Roman" w:hAnsi="Arial" w:cs="Arial"/>
          <w:lang w:val="en-US"/>
        </w:rPr>
        <w:t xml:space="preserve">more </w:t>
      </w:r>
      <w:r w:rsidRPr="00C50A39">
        <w:rPr>
          <w:rFonts w:ascii="Arial" w:eastAsia="Times New Roman" w:hAnsi="Arial" w:cs="Arial"/>
          <w:lang w:val="en-US"/>
        </w:rPr>
        <w:t xml:space="preserve">from </w:t>
      </w:r>
      <w:r w:rsidR="00BA3F68" w:rsidRPr="00C50A39">
        <w:rPr>
          <w:rFonts w:ascii="Arial" w:eastAsia="Times New Roman" w:hAnsi="Arial" w:cs="Arial"/>
          <w:lang w:val="en-US"/>
        </w:rPr>
        <w:t>CBT</w:t>
      </w:r>
      <w:r w:rsidRPr="00C50A39">
        <w:rPr>
          <w:rFonts w:ascii="Arial" w:eastAsia="Times New Roman" w:hAnsi="Arial" w:cs="Arial"/>
          <w:lang w:val="en-US"/>
        </w:rPr>
        <w:t xml:space="preserve"> than </w:t>
      </w:r>
      <w:r w:rsidR="007E5144" w:rsidRPr="00C50A39">
        <w:rPr>
          <w:rFonts w:ascii="Arial" w:eastAsia="Times New Roman" w:hAnsi="Arial" w:cs="Arial"/>
          <w:lang w:val="en-US"/>
        </w:rPr>
        <w:t xml:space="preserve">from </w:t>
      </w:r>
      <w:r w:rsidR="00BA3F68" w:rsidRPr="00C50A39">
        <w:rPr>
          <w:rFonts w:ascii="Arial" w:eastAsia="Times New Roman" w:hAnsi="Arial" w:cs="Arial"/>
          <w:lang w:val="en-US"/>
        </w:rPr>
        <w:t>EDU</w:t>
      </w:r>
      <w:r w:rsidR="007E5144" w:rsidRPr="00C50A39">
        <w:rPr>
          <w:rFonts w:ascii="Arial" w:eastAsia="Times New Roman" w:hAnsi="Arial" w:cs="Arial"/>
          <w:lang w:val="en-US"/>
        </w:rPr>
        <w:t>,</w:t>
      </w:r>
      <w:r w:rsidRPr="00C50A39">
        <w:rPr>
          <w:rFonts w:ascii="Arial" w:eastAsia="Times New Roman" w:hAnsi="Arial" w:cs="Arial"/>
          <w:lang w:val="en-US"/>
        </w:rPr>
        <w:t xml:space="preserve"> </w:t>
      </w:r>
      <w:r w:rsidRPr="000D55B4">
        <w:rPr>
          <w:rFonts w:ascii="Arial" w:eastAsia="Times New Roman" w:hAnsi="Arial" w:cs="Arial"/>
          <w:lang w:val="en-US"/>
        </w:rPr>
        <w:t>all three subgroups</w:t>
      </w:r>
      <w:r w:rsidR="003F065E" w:rsidRPr="000D55B4">
        <w:rPr>
          <w:rFonts w:ascii="Arial" w:eastAsia="Times New Roman" w:hAnsi="Arial" w:cs="Arial"/>
          <w:lang w:val="en-US"/>
        </w:rPr>
        <w:t xml:space="preserve"> </w:t>
      </w:r>
      <w:r w:rsidRPr="000D55B4">
        <w:rPr>
          <w:rFonts w:ascii="Arial" w:eastAsia="Times New Roman" w:hAnsi="Arial" w:cs="Arial"/>
          <w:lang w:val="en-US"/>
        </w:rPr>
        <w:t>assigned to the</w:t>
      </w:r>
      <w:r w:rsidR="003F065E" w:rsidRPr="000D55B4">
        <w:rPr>
          <w:rFonts w:ascii="Arial" w:eastAsia="Times New Roman" w:hAnsi="Arial" w:cs="Arial"/>
          <w:lang w:val="en-US"/>
        </w:rPr>
        <w:t xml:space="preserve"> EDU control condition made significant gains</w:t>
      </w:r>
      <w:r w:rsidR="003F065E" w:rsidRPr="00C50A39">
        <w:rPr>
          <w:rFonts w:ascii="Arial" w:eastAsia="Times New Roman" w:hAnsi="Arial" w:cs="Arial"/>
          <w:lang w:val="en-US"/>
        </w:rPr>
        <w:t xml:space="preserve">, likely due in part to attention, parent involvement, and other nonspecific treatment effects. </w:t>
      </w:r>
      <w:r w:rsidR="00FA5A20" w:rsidRPr="00C50A39">
        <w:rPr>
          <w:rFonts w:ascii="Arial" w:eastAsia="Times New Roman" w:hAnsi="Arial" w:cs="Arial"/>
          <w:lang w:val="en-US"/>
        </w:rPr>
        <w:t>Moreo</w:t>
      </w:r>
      <w:r w:rsidR="003F065E" w:rsidRPr="00C50A39">
        <w:rPr>
          <w:rFonts w:ascii="Arial" w:eastAsia="Times New Roman" w:hAnsi="Arial" w:cs="Arial"/>
          <w:lang w:val="en-US"/>
        </w:rPr>
        <w:t>ver, pain education has demonstrated significant benefit as an active intervention in other RCT’s</w:t>
      </w:r>
      <w:r w:rsidR="00283C5F">
        <w:rPr>
          <w:rFonts w:ascii="Arial" w:eastAsia="Times New Roman" w:hAnsi="Arial" w:cs="Arial"/>
          <w:lang w:val="en-US"/>
        </w:rPr>
        <w:t xml:space="preserve"> </w:t>
      </w:r>
      <w:r w:rsidR="003F065E"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erhb9bvl2","properties":{"formattedCitation":"[18,24]","plainCitation":"[18,24]","noteIndex":0},"citationItems":[{"id":164,"uris":["http://zotero.org/users/7139165/items/LU7I8VZV"],"uri":["http://zotero.org/users/7139165/items/LU7I8VZV"],"itemData":{"id":164,"type":"article-journal","abstract":"OBJECTIVES: Unexplained abdominal pain in children has been shown to be related to parental responses to symptoms. This randomized controlled trial tested the efficacy of an intervention designed to improve outcomes in idiopathic childhood abdominal pain by altering parental responses to pain and children's ways of coping and thinking about their symptoms.\nMETHODS: Two hundred children with persistent functional abdominal pain and their parents were randomly assigned to one of two conditions-a three-session intervention of cognitive-behavioral treatment targeting parents' responses to their children's pain complaints and children's coping responses, or a three-session educational intervention that controlled for time and attention. Parents and children were assessed at pretreatment, and 1 week, 3 months, and 6 months post-treatment. Outcome measures were child and parent reports of child pain levels, function, and adjustment. Process measures included parental protective responses to children's symptom reports and child coping methods.\nRESULTS: Children in the cognitive-behavioral condition showed greater baseline to follow-up decreases in pain and gastrointestinal symptom severity (as reported by parents) than children in the comparison condition (time x treatment interaction, P&lt;0.01). Also, parents in the cognitive-behavioral condition reported greater decreases in solicitous responses to their child's symptoms compared with parents in the comparison condition (time x treatment interaction, P&lt;0.0001).\nCONCLUSIONS: An intervention aimed at reducing protective parental responses and increasing child coping skills is effective in reducing children's pain and symptom levels compared with an educational control condition.","container-title":"The American Journal of Gastroenterology","DOI":"10.1038/ajg.2010.106","ISSN":"1572-0241","issue":"4","journalAbbreviation":"Am. J. Gastroenterol.","language":"eng","note":"PMID: 20216531\nPMCID: PMC2887246","page":"946-956","source":"PubMed","title":"Cognitive-behavioral therapy for children with functional abdominal pain and their parents decreases pain and other symptoms","volume":"105","author":[{"family":"Levy","given":"Rona L."},{"family":"Langer","given":"Shelby L."},{"family":"Walker","given":"Lynn S."},{"family":"Romano","given":"Joan M."},{"family":"Christie","given":"Dennis L."},{"family":"Youssef","given":"Nader"},{"family":"DuPen","given":"Melissa M."},{"family":"Feld","given":"Andrew D."},{"family":"Ballard","given":"Sheri A."},{"family":"Welsh","given":"Ericka M."},{"family":"Jeffery","given":"Robert W."},{"family":"Young","given":"Melissa"},{"family":"Coffey","given":"Melissa J."},{"family":"Whitehead","given":"William E."}],"issued":{"date-parts":[["2010",4]]}}},{"id":184,"uris":["http://zotero.org/users/7139165/items/V38ZELWR"],"uri":["http://zotero.org/users/7139165/items/V38ZELWR"],"itemData":{"id":184,"type":"article-journal","abstract":"Internet-delivered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3F065E" w:rsidRPr="00C50A39">
        <w:rPr>
          <w:rFonts w:ascii="Arial" w:eastAsia="Times New Roman" w:hAnsi="Arial" w:cs="Arial"/>
          <w:lang w:val="en-US"/>
        </w:rPr>
        <w:fldChar w:fldCharType="separate"/>
      </w:r>
      <w:r w:rsidR="00F30351" w:rsidRPr="00F30351">
        <w:rPr>
          <w:rFonts w:ascii="Arial" w:hAnsi="Arial" w:cs="Arial"/>
        </w:rPr>
        <w:t>[18,24]</w:t>
      </w:r>
      <w:r w:rsidR="003F065E" w:rsidRPr="00C50A39">
        <w:rPr>
          <w:rFonts w:ascii="Arial" w:eastAsia="Times New Roman" w:hAnsi="Arial" w:cs="Arial"/>
          <w:lang w:val="en-US"/>
        </w:rPr>
        <w:fldChar w:fldCharType="end"/>
      </w:r>
      <w:r w:rsidR="003F065E" w:rsidRPr="00C50A39">
        <w:rPr>
          <w:rFonts w:ascii="Arial" w:eastAsia="Times New Roman" w:hAnsi="Arial" w:cs="Arial"/>
          <w:lang w:val="en-US"/>
        </w:rPr>
        <w:t xml:space="preserve"> and shows potential for treatment of pediatric chronic pain</w:t>
      </w:r>
      <w:r w:rsidR="00283C5F">
        <w:rPr>
          <w:rFonts w:ascii="Arial" w:eastAsia="Times New Roman" w:hAnsi="Arial" w:cs="Arial"/>
          <w:lang w:val="en-US"/>
        </w:rPr>
        <w:t xml:space="preserve"> </w:t>
      </w:r>
      <w:r w:rsidR="003F065E"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sntnn615m","properties":{"formattedCitation":"[30]","plainCitation":"[30]","noteIndex":0},"citationItems":[{"id":197,"uris":["http://zotero.org/users/7139165/items/QYNJPKUQ"],"uri":["http://zotero.org/users/7139165/items/QYNJPKUQ"],"itemData":{"id":197,"type":"article-journal","container-title":"Children","DOI":"10.3390/children3040043","ISSN":"2227-9067","issue":"4","journalAbbreviation":"Children","language":"en","page":"43","source":"DOI.org (Crossref)","title":"Pain neuroscience education: State of the art and application in pediatrics","title-short":"Pain Neuroscience Education","volume":"3","author":[{"family":"Robins","given":"Hannah"},{"family":"Perron","given":"Victoria"},{"family":"Heathcote","given":"Lauren"},{"family":"Simons","given":"Laura"}],"issued":{"date-parts":[["2016",12,21]]}}}],"schema":"https://github.com/citation-style-language/schema/raw/master/csl-citation.json"} </w:instrText>
      </w:r>
      <w:r w:rsidR="003F065E" w:rsidRPr="00C50A39">
        <w:rPr>
          <w:rFonts w:ascii="Arial" w:eastAsia="Times New Roman" w:hAnsi="Arial" w:cs="Arial"/>
          <w:lang w:val="en-US"/>
        </w:rPr>
        <w:fldChar w:fldCharType="separate"/>
      </w:r>
      <w:r w:rsidR="00F30351" w:rsidRPr="00F30351">
        <w:rPr>
          <w:rFonts w:ascii="Arial" w:hAnsi="Arial" w:cs="Arial"/>
        </w:rPr>
        <w:t>[30]</w:t>
      </w:r>
      <w:r w:rsidR="003F065E" w:rsidRPr="00C50A39">
        <w:rPr>
          <w:rFonts w:ascii="Arial" w:eastAsia="Times New Roman" w:hAnsi="Arial" w:cs="Arial"/>
          <w:lang w:val="en-US"/>
        </w:rPr>
        <w:fldChar w:fldCharType="end"/>
      </w:r>
      <w:r w:rsidR="00283C5F">
        <w:rPr>
          <w:rFonts w:ascii="Arial" w:eastAsia="Times New Roman" w:hAnsi="Arial" w:cs="Arial"/>
          <w:lang w:val="en-US"/>
        </w:rPr>
        <w:t>.</w:t>
      </w:r>
      <w:r w:rsidR="003F065E" w:rsidRPr="00C50A39">
        <w:rPr>
          <w:rFonts w:ascii="Arial" w:eastAsia="Times New Roman" w:hAnsi="Arial" w:cs="Arial"/>
          <w:lang w:val="en-US"/>
        </w:rPr>
        <w:t xml:space="preserve"> Our results imply that pain education might be sufficient for HPA and LPA patient subgroups, although a comparison to a treatment-as-usual control condition would be needed to support that assertion.</w:t>
      </w:r>
    </w:p>
    <w:p w14:paraId="658E4500" w14:textId="0ADE9744" w:rsidR="001C682A" w:rsidRPr="00C50A39" w:rsidRDefault="007C09E6"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RCT’s comparing</w:t>
      </w:r>
      <w:r w:rsidR="0003482A" w:rsidRPr="00C50A39">
        <w:rPr>
          <w:rFonts w:ascii="Arial" w:eastAsia="Times New Roman" w:hAnsi="Arial" w:cs="Arial"/>
          <w:lang w:val="en-US"/>
        </w:rPr>
        <w:t xml:space="preserve"> CBT </w:t>
      </w:r>
      <w:r w:rsidRPr="00C50A39">
        <w:rPr>
          <w:rFonts w:ascii="Arial" w:eastAsia="Times New Roman" w:hAnsi="Arial" w:cs="Arial"/>
          <w:lang w:val="en-US"/>
        </w:rPr>
        <w:t xml:space="preserve">to an active control condition </w:t>
      </w:r>
      <w:r w:rsidR="0003482A" w:rsidRPr="00C50A39">
        <w:rPr>
          <w:rFonts w:ascii="Arial" w:eastAsia="Times New Roman" w:hAnsi="Arial" w:cs="Arial"/>
          <w:lang w:val="en-US"/>
        </w:rPr>
        <w:t xml:space="preserve">may miss </w:t>
      </w:r>
      <w:r w:rsidR="003C125E" w:rsidRPr="00C50A39">
        <w:rPr>
          <w:rFonts w:ascii="Arial" w:eastAsia="Times New Roman" w:hAnsi="Arial" w:cs="Arial"/>
          <w:lang w:val="en-US"/>
        </w:rPr>
        <w:t xml:space="preserve">a </w:t>
      </w:r>
      <w:r w:rsidR="0003482A" w:rsidRPr="00C50A39">
        <w:rPr>
          <w:rFonts w:ascii="Arial" w:eastAsia="Times New Roman" w:hAnsi="Arial" w:cs="Arial"/>
          <w:lang w:val="en-US"/>
        </w:rPr>
        <w:t>significant moderating effect of patient subgro</w:t>
      </w:r>
      <w:r w:rsidR="003C125E" w:rsidRPr="00C50A39">
        <w:rPr>
          <w:rFonts w:ascii="Arial" w:eastAsia="Times New Roman" w:hAnsi="Arial" w:cs="Arial"/>
          <w:lang w:val="en-US"/>
        </w:rPr>
        <w:t>u</w:t>
      </w:r>
      <w:r w:rsidR="0003482A" w:rsidRPr="00C50A39">
        <w:rPr>
          <w:rFonts w:ascii="Arial" w:eastAsia="Times New Roman" w:hAnsi="Arial" w:cs="Arial"/>
          <w:lang w:val="en-US"/>
        </w:rPr>
        <w:t>p if they</w:t>
      </w:r>
      <w:r w:rsidR="00FF5CE4" w:rsidRPr="00C50A39">
        <w:rPr>
          <w:rFonts w:ascii="Arial" w:eastAsia="Times New Roman" w:hAnsi="Arial" w:cs="Arial"/>
          <w:lang w:val="en-US"/>
        </w:rPr>
        <w:t xml:space="preserve"> only</w:t>
      </w:r>
      <w:r w:rsidR="0003482A" w:rsidRPr="00C50A39">
        <w:rPr>
          <w:rFonts w:ascii="Arial" w:eastAsia="Times New Roman" w:hAnsi="Arial" w:cs="Arial"/>
          <w:lang w:val="en-US"/>
        </w:rPr>
        <w:t xml:space="preserve"> test for treatment main effects. </w:t>
      </w:r>
      <w:r w:rsidR="00031C45">
        <w:rPr>
          <w:rFonts w:ascii="Arial" w:eastAsia="Times New Roman" w:hAnsi="Arial" w:cs="Arial"/>
          <w:lang w:val="en-US"/>
        </w:rPr>
        <w:t>In this RCT</w:t>
      </w:r>
      <w:r w:rsidR="001D3B95">
        <w:rPr>
          <w:rFonts w:ascii="Arial" w:eastAsia="Times New Roman" w:hAnsi="Arial" w:cs="Arial"/>
          <w:lang w:val="en-US"/>
        </w:rPr>
        <w:t xml:space="preserve"> comparing CBT to EDU</w:t>
      </w:r>
      <w:r w:rsidR="00031C45">
        <w:rPr>
          <w:rFonts w:ascii="Arial" w:eastAsia="Times New Roman" w:hAnsi="Arial" w:cs="Arial"/>
          <w:lang w:val="en-US"/>
        </w:rPr>
        <w:t xml:space="preserve">, </w:t>
      </w:r>
      <w:r w:rsidR="00E416DE">
        <w:rPr>
          <w:rFonts w:ascii="Arial" w:eastAsia="Times New Roman" w:hAnsi="Arial" w:cs="Arial"/>
          <w:lang w:val="en-US"/>
        </w:rPr>
        <w:t>CBT did not have a significant treatment main effect</w:t>
      </w:r>
      <w:r w:rsidR="00966D6D">
        <w:rPr>
          <w:rFonts w:ascii="Arial" w:eastAsia="Times New Roman" w:hAnsi="Arial" w:cs="Arial"/>
          <w:lang w:val="en-US"/>
        </w:rPr>
        <w:t>:</w:t>
      </w:r>
      <w:r w:rsidR="00E416DE">
        <w:rPr>
          <w:rFonts w:ascii="Arial" w:eastAsia="Times New Roman" w:hAnsi="Arial" w:cs="Arial"/>
          <w:lang w:val="en-US"/>
        </w:rPr>
        <w:t xml:space="preserve"> average, group-level effects </w:t>
      </w:r>
      <w:r w:rsidR="00966D6D">
        <w:rPr>
          <w:rFonts w:ascii="Arial" w:eastAsia="Times New Roman" w:hAnsi="Arial" w:cs="Arial"/>
          <w:lang w:val="en-US"/>
        </w:rPr>
        <w:t>indicated</w:t>
      </w:r>
      <w:r w:rsidR="00E416DE">
        <w:rPr>
          <w:rFonts w:ascii="Arial" w:eastAsia="Times New Roman" w:hAnsi="Arial" w:cs="Arial"/>
          <w:lang w:val="en-US"/>
        </w:rPr>
        <w:t xml:space="preserve"> </w:t>
      </w:r>
      <w:r w:rsidR="00966D6D">
        <w:rPr>
          <w:rFonts w:ascii="Arial" w:eastAsia="Times New Roman" w:hAnsi="Arial" w:cs="Arial"/>
          <w:lang w:val="en-US"/>
        </w:rPr>
        <w:t>similar benefits for CBT and EDU</w:t>
      </w:r>
      <w:r w:rsidR="001D3B95">
        <w:rPr>
          <w:rFonts w:ascii="Arial" w:eastAsia="Times New Roman" w:hAnsi="Arial" w:cs="Arial"/>
          <w:lang w:val="en-US"/>
        </w:rPr>
        <w:t xml:space="preserve">. </w:t>
      </w:r>
      <w:r w:rsidR="00966D6D">
        <w:rPr>
          <w:rFonts w:ascii="Arial" w:eastAsia="Times New Roman" w:hAnsi="Arial" w:cs="Arial"/>
          <w:lang w:val="en-US"/>
        </w:rPr>
        <w:t xml:space="preserve"> </w:t>
      </w:r>
      <w:r w:rsidR="001D3B95">
        <w:rPr>
          <w:rFonts w:ascii="Arial" w:eastAsia="Times New Roman" w:hAnsi="Arial" w:cs="Arial"/>
          <w:lang w:val="en-US"/>
        </w:rPr>
        <w:t xml:space="preserve">However, </w:t>
      </w:r>
      <w:r w:rsidR="00031C45">
        <w:rPr>
          <w:rFonts w:ascii="Arial" w:eastAsia="Times New Roman" w:hAnsi="Arial" w:cs="Arial"/>
          <w:lang w:val="en-US"/>
        </w:rPr>
        <w:t>the</w:t>
      </w:r>
      <w:r w:rsidR="00966D6D">
        <w:rPr>
          <w:rFonts w:ascii="Arial" w:eastAsia="Times New Roman" w:hAnsi="Arial" w:cs="Arial"/>
          <w:lang w:val="en-US"/>
        </w:rPr>
        <w:t xml:space="preserve"> moderating effect of patient subgroup</w:t>
      </w:r>
      <w:r w:rsidR="008A5463">
        <w:rPr>
          <w:rFonts w:ascii="Arial" w:eastAsia="Times New Roman" w:hAnsi="Arial" w:cs="Arial"/>
          <w:lang w:val="en-US"/>
        </w:rPr>
        <w:t xml:space="preserve"> demonstrated that CBT was superior to EDU for nearly 40% of the sample – those in the HPD subgroup. </w:t>
      </w:r>
      <w:r w:rsidR="00966D6D">
        <w:rPr>
          <w:rFonts w:ascii="Arial" w:eastAsia="Times New Roman" w:hAnsi="Arial" w:cs="Arial"/>
          <w:lang w:val="en-US"/>
        </w:rPr>
        <w:t xml:space="preserve">  </w:t>
      </w:r>
      <w:r w:rsidR="00031C45">
        <w:rPr>
          <w:rFonts w:ascii="Arial" w:eastAsia="Times New Roman" w:hAnsi="Arial" w:cs="Arial"/>
          <w:lang w:val="en-US"/>
        </w:rPr>
        <w:t>Other RCTs t</w:t>
      </w:r>
      <w:r w:rsidR="00CE6349">
        <w:rPr>
          <w:rFonts w:ascii="Arial" w:eastAsia="Times New Roman" w:hAnsi="Arial" w:cs="Arial"/>
          <w:lang w:val="en-US"/>
        </w:rPr>
        <w:t xml:space="preserve">ested only treatment main effects and </w:t>
      </w:r>
      <w:r w:rsidR="00031C45">
        <w:rPr>
          <w:rFonts w:ascii="Arial" w:eastAsia="Times New Roman" w:hAnsi="Arial" w:cs="Arial"/>
          <w:lang w:val="en-US"/>
        </w:rPr>
        <w:t xml:space="preserve">found minimal effects </w:t>
      </w:r>
      <w:r w:rsidR="00031C45">
        <w:rPr>
          <w:rFonts w:ascii="Arial" w:eastAsia="Times New Roman" w:hAnsi="Arial" w:cs="Arial"/>
          <w:lang w:val="en-US"/>
        </w:rPr>
        <w:lastRenderedPageBreak/>
        <w:t>of CBT for pediatric pain</w:t>
      </w:r>
      <w:r w:rsidR="00CE6349">
        <w:rPr>
          <w:rFonts w:ascii="Arial" w:eastAsia="Times New Roman" w:hAnsi="Arial" w:cs="Arial"/>
          <w:lang w:val="en-US"/>
        </w:rPr>
        <w:t>, but</w:t>
      </w:r>
      <w:r w:rsidR="00031C45">
        <w:rPr>
          <w:rFonts w:ascii="Arial" w:eastAsia="Times New Roman" w:hAnsi="Arial" w:cs="Arial"/>
          <w:lang w:val="en-US"/>
        </w:rPr>
        <w:t xml:space="preserve"> may have missed the moderating effect of patient subgroup.</w:t>
      </w:r>
      <w:r w:rsidR="003C125E" w:rsidRPr="00C50A39">
        <w:rPr>
          <w:rFonts w:ascii="Arial" w:eastAsia="Times New Roman" w:hAnsi="Arial" w:cs="Arial"/>
          <w:lang w:val="en-US"/>
        </w:rPr>
        <w:t xml:space="preserve"> </w:t>
      </w:r>
      <w:r w:rsidR="008E5EF5">
        <w:rPr>
          <w:rFonts w:ascii="Arial" w:eastAsia="Times New Roman" w:hAnsi="Arial" w:cs="Arial"/>
          <w:lang w:val="en-US"/>
        </w:rPr>
        <w:t xml:space="preserve">For example, </w:t>
      </w:r>
      <w:r w:rsidR="003C125E" w:rsidRPr="00C50A39">
        <w:rPr>
          <w:rFonts w:ascii="Arial" w:eastAsia="Times New Roman" w:hAnsi="Arial" w:cs="Arial"/>
          <w:lang w:val="en-US"/>
        </w:rPr>
        <w:t>comparisons of CBT versus Intensive Medical Care</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9ss3688ft","properties":{"formattedCitation":"[43]","plainCitation":"[43]","noteIndex":0},"citationItems":[{"id":218,"uris":["http://zotero.org/users/7139165/items/NMQ9RLIQ"],"uri":["http://zotero.org/users/7139165/items/NMQ9RLIQ"],"itemData":{"id":218,"type":"article-journal","abstract":"OBJECTIVE: This randomized controlled trial investigated the effectiveness of a 6-session protocolized cognitive behavior therapy (CBT) compared with 6 visits to a pediatrician (intensive medical care; IMC) for the treatment of pediatric functional abdominal pain (FAP).\nMETHODS: One hundred four children aged 7 to 18 were randomized to CBT or IMC. CBT was delivered primarily by trained master's degree students in psychology; IMC was delivered by pediatricians or pediatric gastroenterologists. Assessments were performed pretreatment, posttreatment, and at 6- and 12-month follow-up. Primary outcomes were level of abdominal pain (AP) as reported on questionnaires and diaries. Secondary outcomes were other gastrointestinal complaints, functional disability, other somatic complaints, anxiety, depression, and quality of life.\nRESULTS: Both CBT and IMC resulted in a significant decrease in AP (P &lt; .001), but no significant difference was found between the treatments in their effectiveness (P &gt; .05 for all end points). According to the questionnaire-derived data, 1 year after treatment, 60% of children that received CBT had significantly improved or recovered, versus 56.4% of children receiving IMC, which did not significantly differ (P = .47). These percentages were 65.8% versus 62.8% according to the diary-derived data, which also did not significantly differ (P = .14). Additionally, nearly all secondary outcomes improved after treatment.\nCONCLUSIONS: CBT was equally effective as IMC in reducing AP in children with FAP. More research into the specific working mechanisms of CBT for pediatric FAP is needed.","container-title":"Pediatrics","DOI":"10.1542/peds.2013-0242","ISSN":"1098-4275","issue":"5","journalAbbreviation":"Pediatrics","language":"eng","note":"PMID: 24127467","page":"e1163-1172","source":"PubMed","title":"Cognitive behavior therapy for pediatric functional abdominal pain: a randomized controlled trial","title-short":"Cognitive behavior therapy for pediatric functional abdominal pain","volume":"132","author":[{"family":"Veek","given":"Shelley M. C.","non-dropping-particle":"van der"},{"family":"Derkx","given":"Bert H. F."},{"family":"Benninga","given":"Marc A."},{"family":"Boer","given":"Frits"},{"family":"Haan","given":"Else","non-dropping-particle":"de"}],"issued":{"date-parts":[["2013",11]]}}}],"schema":"https://github.com/citation-style-language/schema/raw/master/csl-citation.json"}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[43]</w:t>
      </w:r>
      <w:r w:rsidR="00C9428F" w:rsidRPr="00C50A39">
        <w:rPr>
          <w:rFonts w:ascii="Arial" w:eastAsia="Times New Roman" w:hAnsi="Arial" w:cs="Arial"/>
          <w:lang w:val="en-US"/>
        </w:rPr>
        <w:fldChar w:fldCharType="end"/>
      </w:r>
      <w:r w:rsidR="003C125E" w:rsidRPr="00C50A39">
        <w:rPr>
          <w:rFonts w:ascii="Arial" w:eastAsia="Times New Roman" w:hAnsi="Arial" w:cs="Arial"/>
          <w:lang w:val="en-US"/>
        </w:rPr>
        <w:t xml:space="preserve"> and </w:t>
      </w:r>
      <w:r w:rsidR="00824739" w:rsidRPr="00C50A39">
        <w:rPr>
          <w:rFonts w:ascii="Arial" w:eastAsia="Times New Roman" w:hAnsi="Arial" w:cs="Arial"/>
          <w:lang w:val="en-US"/>
        </w:rPr>
        <w:t>D</w:t>
      </w:r>
      <w:r w:rsidR="003C125E" w:rsidRPr="00C50A39">
        <w:rPr>
          <w:rFonts w:ascii="Arial" w:eastAsia="Times New Roman" w:hAnsi="Arial" w:cs="Arial"/>
          <w:lang w:val="en-US"/>
        </w:rPr>
        <w:t xml:space="preserve">isease </w:t>
      </w:r>
      <w:r w:rsidR="00824739" w:rsidRPr="00C50A39">
        <w:rPr>
          <w:rFonts w:ascii="Arial" w:eastAsia="Times New Roman" w:hAnsi="Arial" w:cs="Arial"/>
          <w:lang w:val="en-US"/>
        </w:rPr>
        <w:t>E</w:t>
      </w:r>
      <w:r w:rsidR="003C125E" w:rsidRPr="00C50A39">
        <w:rPr>
          <w:rFonts w:ascii="Arial" w:eastAsia="Times New Roman" w:hAnsi="Arial" w:cs="Arial"/>
          <w:lang w:val="en-US"/>
        </w:rPr>
        <w:t>ducation</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fi49774qv","properties":{"formattedCitation":"[4]","plainCitation":"[4]","noteIndex":0},"citationItems":[{"id":132,"uris":["http://zotero.org/users/7139165/items/9BT2GCSC"],"uri":["http://zotero.org/users/7139165/items/9BT2GCSC"],"itemData":{"id":132,"type":"article-journal","abstract":"OBJECTIVE: To determine the efficacy in improving pain and health-related quality of life (HRQOL) of an online self-management program for adolescents with juvenile idiopathic arthritis (JIA).\nMETHODS: Youth ages 12-18 years with JIA were recruited from 10 rheumatology clinics across the United States and randomized to complete an online self-management program (n = 144) or an online disease education program (n = 145). Participants in the self-management group worked through multimedia-based modules comprising psychoeducation, training in cognitive-behavioral coping skills and stress management, and other self-management topics over a 12-week period. Participants in the control group viewed a series of preselected quality educational websites about JIA over the same interval. Online content for both groups was made available in English and Spanish to facilitate inclusion of Hispanic participants. Blinded assessment of main outcomes (pain intensity, pain interference, and HRQOL) and process outcomes (disease knowledge, self-efficacy, pain coping, and emotional adjustment) occurred at baseline, posttreatment, and at 6- and 12-month postrandomization follow-up visits.\nRESULTS: Participants on average demonstrated significant improvements over the study period in the main outcomes, with no significant group differences in the degree of improvement. Effect sizes for these improvements were small. The amount of improvement in self-efficacy, emotional avoidance coping, disease knowledge, and emotional functioning in part predicted improvement in pain and HRQOL outcomes.\nCONCLUSIONS: Primarily self-directed online self-management training and online disease education comparably and modestly improve pain and HRQOL in youth with JIA.","container-title":"Journal of Pediatric Psychology","DOI":"10.1093/jpepsy/jsy066","ISSN":"1465-735X","issue":"3","journalAbbreviation":"J Pediatr Psychol","language":"eng","note":"PMID: 30204919\nPMCID: PMC6415659","page":"363-374","source":"PubMed","title":"Multisite randomized clinical trial evaluating an online self-management program for adolescents with juvenile idiopathic arthritis","volume":"44","author":[{"family":"Connelly","given":"Mark"},{"family":"Schanberg","given":"Laura E."},{"family":"Ardoin","given":"Stacy"},{"family":"Blakley","given":"Michael"},{"family":"Carrasco","given":"Ruy"},{"family":"Chira","given":"Peter"},{"family":"Hayward","given":"Kristen"},{"family":"Ibarra","given":"Maria"},{"family":"Kimura","given":"Yukiko"},{"family":"Kingsbury","given":"Daniel J."},{"family":"Klein-Gitelman","given":"Marisa S."},{"family":"Lawson","given":"Erica"},{"family":"Stinson","given":"Jennifer"}],"issued":{"date-parts":[["2019"]],"season":"01"}}}],"schema":"https://github.com/citation-style-language/schema/raw/master/csl-citation.json"} </w:instrText>
      </w:r>
      <w:r w:rsidR="00C9428F" w:rsidRPr="00C50A39">
        <w:rPr>
          <w:rFonts w:ascii="Arial" w:eastAsia="Times New Roman" w:hAnsi="Arial" w:cs="Arial"/>
          <w:lang w:val="en-US"/>
        </w:rPr>
        <w:fldChar w:fldCharType="separate"/>
      </w:r>
      <w:r w:rsidR="00283C5F" w:rsidRPr="00283C5F">
        <w:rPr>
          <w:rFonts w:ascii="Arial" w:hAnsi="Arial" w:cs="Arial"/>
        </w:rPr>
        <w:t>[4]</w:t>
      </w:r>
      <w:r w:rsidR="00C9428F" w:rsidRPr="00C50A39">
        <w:rPr>
          <w:rFonts w:ascii="Arial" w:eastAsia="Times New Roman" w:hAnsi="Arial" w:cs="Arial"/>
          <w:lang w:val="en-US"/>
        </w:rPr>
        <w:fldChar w:fldCharType="end"/>
      </w:r>
      <w:r w:rsidR="00B72437" w:rsidRPr="00C50A39">
        <w:rPr>
          <w:rFonts w:ascii="Arial" w:eastAsia="Times New Roman" w:hAnsi="Arial" w:cs="Arial"/>
          <w:lang w:val="en-US"/>
        </w:rPr>
        <w:t xml:space="preserve"> </w:t>
      </w:r>
      <w:r w:rsidR="003C125E" w:rsidRPr="00C50A39">
        <w:rPr>
          <w:rFonts w:ascii="Arial" w:eastAsia="Times New Roman" w:hAnsi="Arial" w:cs="Arial"/>
          <w:lang w:val="en-US"/>
        </w:rPr>
        <w:t xml:space="preserve">found no </w:t>
      </w:r>
      <w:r w:rsidR="00156EFE" w:rsidRPr="00C50A39">
        <w:rPr>
          <w:rFonts w:ascii="Arial" w:eastAsia="Times New Roman" w:hAnsi="Arial" w:cs="Arial"/>
          <w:lang w:val="en-US"/>
        </w:rPr>
        <w:t xml:space="preserve">main </w:t>
      </w:r>
      <w:r w:rsidR="003C125E" w:rsidRPr="00C50A39">
        <w:rPr>
          <w:rFonts w:ascii="Arial" w:eastAsia="Times New Roman" w:hAnsi="Arial" w:cs="Arial"/>
          <w:lang w:val="en-US"/>
        </w:rPr>
        <w:t>effect</w:t>
      </w:r>
      <w:r w:rsidR="00156EFE" w:rsidRPr="00C50A39">
        <w:rPr>
          <w:rFonts w:ascii="Arial" w:eastAsia="Times New Roman" w:hAnsi="Arial" w:cs="Arial"/>
          <w:lang w:val="en-US"/>
        </w:rPr>
        <w:t>s</w:t>
      </w:r>
      <w:r w:rsidR="003C125E" w:rsidRPr="00C50A39">
        <w:rPr>
          <w:rFonts w:ascii="Arial" w:eastAsia="Times New Roman" w:hAnsi="Arial" w:cs="Arial"/>
          <w:lang w:val="en-US"/>
        </w:rPr>
        <w:t xml:space="preserve"> of treatment </w:t>
      </w:r>
      <w:r w:rsidR="000B5A62" w:rsidRPr="00C50A39">
        <w:rPr>
          <w:rFonts w:ascii="Arial" w:eastAsia="Times New Roman" w:hAnsi="Arial" w:cs="Arial"/>
          <w:lang w:val="en-US"/>
        </w:rPr>
        <w:t xml:space="preserve">for pediatric pain </w:t>
      </w:r>
      <w:r w:rsidR="008E5EF5">
        <w:rPr>
          <w:rFonts w:ascii="Arial" w:eastAsia="Times New Roman" w:hAnsi="Arial" w:cs="Arial"/>
          <w:lang w:val="en-US"/>
        </w:rPr>
        <w:t>and a</w:t>
      </w:r>
      <w:r w:rsidR="00966D6D">
        <w:rPr>
          <w:rFonts w:ascii="Arial" w:eastAsia="Times New Roman" w:hAnsi="Arial" w:cs="Arial"/>
          <w:lang w:val="en-US"/>
        </w:rPr>
        <w:t xml:space="preserve"> </w:t>
      </w:r>
      <w:r w:rsidR="003C125E" w:rsidRPr="00C50A39">
        <w:rPr>
          <w:rFonts w:ascii="Arial" w:eastAsia="Times New Roman" w:hAnsi="Arial" w:cs="Arial"/>
          <w:lang w:val="en-US"/>
        </w:rPr>
        <w:t xml:space="preserve">comparison to </w:t>
      </w:r>
      <w:r w:rsidR="008F60DD" w:rsidRPr="00C50A39">
        <w:rPr>
          <w:rFonts w:ascii="Arial" w:eastAsia="Times New Roman" w:hAnsi="Arial" w:cs="Arial"/>
          <w:lang w:val="en-US"/>
        </w:rPr>
        <w:t>N</w:t>
      </w:r>
      <w:r w:rsidR="006648D1" w:rsidRPr="00C50A39">
        <w:rPr>
          <w:rFonts w:ascii="Arial" w:eastAsia="Times New Roman" w:hAnsi="Arial" w:cs="Arial"/>
          <w:lang w:val="en-US"/>
        </w:rPr>
        <w:t xml:space="preserve">utrition </w:t>
      </w:r>
      <w:r w:rsidR="008F60DD" w:rsidRPr="00C50A39">
        <w:rPr>
          <w:rFonts w:ascii="Arial" w:eastAsia="Times New Roman" w:hAnsi="Arial" w:cs="Arial"/>
          <w:lang w:val="en-US"/>
        </w:rPr>
        <w:t>E</w:t>
      </w:r>
      <w:r w:rsidR="006648D1" w:rsidRPr="00C50A39">
        <w:rPr>
          <w:rFonts w:ascii="Arial" w:eastAsia="Times New Roman" w:hAnsi="Arial" w:cs="Arial"/>
          <w:lang w:val="en-US"/>
        </w:rPr>
        <w:t xml:space="preserve">ducation for youth with </w:t>
      </w:r>
      <w:r w:rsidR="000B5A62" w:rsidRPr="00C50A39">
        <w:rPr>
          <w:rFonts w:ascii="Arial" w:eastAsia="Times New Roman" w:hAnsi="Arial" w:cs="Arial"/>
          <w:lang w:val="en-US"/>
        </w:rPr>
        <w:t>FAP</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custreim1","properties":{"formattedCitation":"[18]","plainCitation":"[18]","noteIndex":0},"citationItems":[{"id":164,"uris":["http://zotero.org/users/7139165/items/LU7I8VZV"],"uri":["http://zotero.org/users/7139165/items/LU7I8VZV"],"itemData":{"id":164,"type":"article-journal","abstract":"OBJECTIVES: Unexplained abdominal pain in children has been shown to be related to parental responses to symptoms. This randomized controlled trial tested the efficacy of an intervention designed to improve outcomes in idiopathic childhood abdominal pain by altering parental responses to pain and children's ways of coping and thinking about their symptoms.\nMETHODS: Two hundred children with persistent functional abdominal pain and their parents were randomly assigned to one of two conditions-a three-session intervention of cognitive-behavioral treatment targeting parents' responses to their children's pain complaints and children's coping responses, or a three-session educational intervention that controlled for time and attention. Parents and children were assessed at pretreatment, and 1 week, 3 months, and 6 months post-treatment. Outcome measures were child and parent reports of child pain levels, function, and adjustment. Process measures included parental protective responses to children's symptom reports and child coping methods.\nRESULTS: Children in the cognitive-behavioral condition showed greater baseline to follow-up decreases in pain and gastrointestinal symptom severity (as reported by parents) than children in the comparison condition (time x treatment interaction, P&lt;0.01). Also, parents in the cognitive-behavioral condition reported greater decreases in solicitous responses to their child's symptoms compared with parents in the comparison condition (time x treatment interaction, P&lt;0.0001).\nCONCLUSIONS: An intervention aimed at reducing protective parental responses and increasing child coping skills is effective in reducing children's pain and symptom levels compared with an educational control condition.","container-title":"The American Journal of Gastroenterology","DOI":"10.1038/ajg.2010.106","ISSN":"1572-0241","issue":"4","journalAbbreviation":"Am. J. Gastroenterol.","language":"eng","note":"PMID: 20216531\nPMCID: PMC2887246","page":"946-956","source":"PubMed","title":"Cognitive-behavioral therapy for children with functional abdominal pain and their parents decreases pain and other symptoms","volume":"105","author":[{"family":"Levy","given":"Rona L."},{"family":"Langer","given":"Shelby L."},{"family":"Walker","given":"Lynn S."},{"family":"Romano","given":"Joan M."},{"family":"Christie","given":"Dennis L."},{"family":"Youssef","given":"Nader"},{"family":"DuPen","given":"Melissa M."},{"family":"Feld","given":"Andrew D."},{"family":"Ballard","given":"Sheri A."},{"family":"Welsh","given":"Ericka M."},{"family":"Jeffery","given":"Robert W."},{"family":"Young","given":"Melissa"},{"family":"Coffey","given":"Melissa J."},{"family":"Whitehead","given":"William E."}],"issued":{"date-parts":[["2010",4]]}}}],"schema":"https://github.com/citation-style-language/schema/raw/master/csl-citation.json"} </w:instrText>
      </w:r>
      <w:r w:rsidR="00C9428F" w:rsidRPr="00C50A39">
        <w:rPr>
          <w:rFonts w:ascii="Arial" w:eastAsia="Times New Roman" w:hAnsi="Arial" w:cs="Arial"/>
          <w:lang w:val="en-US"/>
        </w:rPr>
        <w:fldChar w:fldCharType="separate"/>
      </w:r>
      <w:r w:rsidR="007346C0" w:rsidRPr="007346C0">
        <w:rPr>
          <w:rFonts w:ascii="Arial" w:hAnsi="Arial" w:cs="Arial"/>
        </w:rPr>
        <w:t>[18]</w:t>
      </w:r>
      <w:r w:rsidR="00C9428F" w:rsidRPr="00C50A39">
        <w:rPr>
          <w:rFonts w:ascii="Arial" w:eastAsia="Times New Roman" w:hAnsi="Arial" w:cs="Arial"/>
          <w:lang w:val="en-US"/>
        </w:rPr>
        <w:fldChar w:fldCharType="end"/>
      </w:r>
      <w:r w:rsidR="00576DAC" w:rsidRPr="00C50A39">
        <w:rPr>
          <w:rFonts w:ascii="Arial" w:eastAsia="Times New Roman" w:hAnsi="Arial" w:cs="Arial"/>
          <w:lang w:val="en-US"/>
        </w:rPr>
        <w:t xml:space="preserve"> </w:t>
      </w:r>
      <w:r w:rsidR="006648D1" w:rsidRPr="00C50A39">
        <w:rPr>
          <w:rFonts w:ascii="Arial" w:eastAsia="Times New Roman" w:hAnsi="Arial" w:cs="Arial"/>
          <w:lang w:val="en-US"/>
        </w:rPr>
        <w:t xml:space="preserve">found a </w:t>
      </w:r>
      <w:r w:rsidR="008A5463">
        <w:rPr>
          <w:rFonts w:ascii="Arial" w:eastAsia="Times New Roman" w:hAnsi="Arial" w:cs="Arial"/>
          <w:lang w:val="en-US"/>
        </w:rPr>
        <w:t>main effect of</w:t>
      </w:r>
      <w:r w:rsidR="006648D1" w:rsidRPr="00C50A39">
        <w:rPr>
          <w:rFonts w:ascii="Arial" w:eastAsia="Times New Roman" w:hAnsi="Arial" w:cs="Arial"/>
          <w:lang w:val="en-US"/>
        </w:rPr>
        <w:t xml:space="preserve"> CBT </w:t>
      </w:r>
      <w:r w:rsidR="008E5EF5">
        <w:rPr>
          <w:rFonts w:ascii="Arial" w:eastAsia="Times New Roman" w:hAnsi="Arial" w:cs="Arial"/>
          <w:lang w:val="en-US"/>
        </w:rPr>
        <w:t xml:space="preserve">on abdominal pain </w:t>
      </w:r>
      <w:r w:rsidR="006648D1" w:rsidRPr="00C50A39">
        <w:rPr>
          <w:rFonts w:ascii="Arial" w:eastAsia="Times New Roman" w:hAnsi="Arial" w:cs="Arial"/>
          <w:lang w:val="en-US"/>
        </w:rPr>
        <w:t>by parent but not youth report</w:t>
      </w:r>
      <w:r w:rsidR="008A5463">
        <w:rPr>
          <w:rFonts w:ascii="Arial" w:eastAsia="Times New Roman" w:hAnsi="Arial" w:cs="Arial"/>
          <w:lang w:val="en-US"/>
        </w:rPr>
        <w:t xml:space="preserve"> </w:t>
      </w:r>
      <w:r w:rsidR="006648D1" w:rsidRPr="00C50A39">
        <w:rPr>
          <w:rFonts w:ascii="Arial" w:eastAsia="Times New Roman" w:hAnsi="Arial" w:cs="Arial"/>
          <w:lang w:val="en-US"/>
        </w:rPr>
        <w:t>and no effect on functional</w:t>
      </w:r>
      <w:r w:rsidR="00966D6D">
        <w:rPr>
          <w:rFonts w:ascii="Arial" w:eastAsia="Times New Roman" w:hAnsi="Arial" w:cs="Arial"/>
          <w:lang w:val="en-US"/>
        </w:rPr>
        <w:t xml:space="preserve"> </w:t>
      </w:r>
      <w:r w:rsidR="006648D1" w:rsidRPr="00C50A39">
        <w:rPr>
          <w:rFonts w:ascii="Arial" w:eastAsia="Times New Roman" w:hAnsi="Arial" w:cs="Arial"/>
          <w:lang w:val="en-US"/>
        </w:rPr>
        <w:t>disabilit</w:t>
      </w:r>
      <w:r w:rsidR="00966D6D">
        <w:rPr>
          <w:rFonts w:ascii="Arial" w:eastAsia="Times New Roman" w:hAnsi="Arial" w:cs="Arial"/>
          <w:lang w:val="en-US"/>
        </w:rPr>
        <w:t>y</w:t>
      </w:r>
      <w:r w:rsidR="006648D1" w:rsidRPr="00C50A39">
        <w:rPr>
          <w:rFonts w:ascii="Arial" w:eastAsia="Times New Roman" w:hAnsi="Arial" w:cs="Arial"/>
          <w:lang w:val="en-US"/>
        </w:rPr>
        <w:t xml:space="preserve">. </w:t>
      </w:r>
      <w:r w:rsidR="00D74DFF" w:rsidRPr="00C50A39">
        <w:rPr>
          <w:rFonts w:ascii="Arial" w:eastAsia="Times New Roman" w:hAnsi="Arial" w:cs="Arial"/>
          <w:lang w:val="en-US"/>
        </w:rPr>
        <w:t>O</w:t>
      </w:r>
      <w:r w:rsidR="006648D1" w:rsidRPr="00C50A39">
        <w:rPr>
          <w:rFonts w:ascii="Arial" w:eastAsia="Times New Roman" w:hAnsi="Arial" w:cs="Arial"/>
          <w:lang w:val="en-US"/>
        </w:rPr>
        <w:t xml:space="preserve">f note, </w:t>
      </w:r>
      <w:r w:rsidR="00D74DFF" w:rsidRPr="00C50A39">
        <w:rPr>
          <w:rFonts w:ascii="Arial" w:eastAsia="Times New Roman" w:hAnsi="Arial" w:cs="Arial"/>
          <w:lang w:val="en-US"/>
        </w:rPr>
        <w:t xml:space="preserve">however, </w:t>
      </w:r>
      <w:r w:rsidR="006648D1" w:rsidRPr="00C50A39">
        <w:rPr>
          <w:rFonts w:ascii="Arial" w:eastAsia="Times New Roman" w:hAnsi="Arial" w:cs="Arial"/>
          <w:lang w:val="en-US"/>
        </w:rPr>
        <w:t>Palermo</w:t>
      </w:r>
      <w:r w:rsidR="00283C5F">
        <w:rPr>
          <w:rFonts w:ascii="Arial" w:eastAsia="Times New Roman" w:hAnsi="Arial" w:cs="Arial"/>
          <w:lang w:val="en-US"/>
        </w:rPr>
        <w:t xml:space="preserve"> et al.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1uan14d739","properties":{"formattedCitation":"[24]","plainCitation":"[24]","noteIndex":0},"citationItems":[{"id":184,"uris":["http://zotero.org/users/7139165/items/V38ZELWR"],"uri":["http://zotero.org/users/7139165/items/V38ZELWR"],"itemData":{"id":184,"type":"article-journal","abstract":"Internet-delivered interventions are emerging as a strategy to address barriers to care for individuals with chronic pain. This is the first large multicenter randomized controlled trial of Internet-delivered cognitive-behavioral therapy (CBT) for pediatric chronic pain. Participants included were 273 adolescents (205 females and 68 males), aged 11 to 17 years with mixed chronic pain conditions and their parents, who were randomly assigned in a parallel-group design to Internet-delivered CBT (n = 138) or Internet-delivered Education (n = 135). Assessments were completed before treatment, immediately after treatment, and at 6-month follow-up. All data collection and procedures took place online. The primary analysis used linear growth models. Results demonstrated significantly greater reduction on the primary outcome of activity limitations from baseline to 6-month follow-up for Internet CBT compared with Internet education (b = −1.13, P = 0.03). On secondary outcomes, significant beneficial effects of Internet CBT were found on sleep quality (b = 0.14, P = 0.04), on reducing parent miscarried helping (b = −2.66, P = 0.007) and protective behaviors (b = −0.19, P = 0.001), and on treatment satisfaction (P values &lt; 0.05). On exploratory outcomes, benefits of Internet CBT were found for parent-perceived impact (ie, reductions in depression, anxiety, self-blame about their adolescent’s pain, and improvement in parent behavioral responses to pain). In conclusion, our Internet-delivered CBT intervention produced a number of beneficial effects on adolescent and parent outcomes, and could ultimately lead to wide dissemination of evidence-based psychological pain treatment for youth and their families.","container-title":"Pain","DOI":"10.1097/j.pain.0000000000000348","ISSN":"0304-3959","issue":"1","journalAbbreviation":"Pain","note":"PMID: 26335910\nPMCID: PMC4852469","page":"174-185","source":"PubMed Central","title":"Internet-delivered cognitive-behavioral treatment for adolescents with chronic pain and their parents: a randomized controlled multicenter trial","title-short":"Internet-delivered cognitive-behavioral treatment for adolescents with chronic pain and their parents","volume":"157","author":[{"family":"Palermo","given":"Tonya M."},{"family":"Law","given":"Emily F."},{"family":"Fales","given":"Jessica"},{"family":"Bromberg","given":"Maggie H."},{"family":"Jessen-Fiddick","given":"Tricia"},{"family":"Tai","given":"Gabrielle"}],"issued":{"date-parts":[["2016",1]]}}}],"schema":"https://github.com/citation-style-language/schema/raw/master/csl-citation.json"}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[24]</w:t>
      </w:r>
      <w:r w:rsidR="00C9428F" w:rsidRPr="00C50A39">
        <w:rPr>
          <w:rFonts w:ascii="Arial" w:eastAsia="Times New Roman" w:hAnsi="Arial" w:cs="Arial"/>
          <w:lang w:val="en-US"/>
        </w:rPr>
        <w:fldChar w:fldCharType="end"/>
      </w:r>
      <w:r w:rsidR="006648D1" w:rsidRPr="00C50A39">
        <w:rPr>
          <w:rFonts w:ascii="Arial" w:eastAsia="Times New Roman" w:hAnsi="Arial" w:cs="Arial"/>
          <w:lang w:val="en-US"/>
        </w:rPr>
        <w:t xml:space="preserve"> found a small </w:t>
      </w:r>
      <w:r w:rsidR="006C18DB" w:rsidRPr="00C50A39">
        <w:rPr>
          <w:rFonts w:ascii="Arial" w:eastAsia="Times New Roman" w:hAnsi="Arial" w:cs="Arial"/>
          <w:lang w:val="en-US"/>
        </w:rPr>
        <w:t xml:space="preserve">but significant </w:t>
      </w:r>
      <w:r w:rsidR="004D320B">
        <w:rPr>
          <w:rFonts w:ascii="Arial" w:eastAsia="Times New Roman" w:hAnsi="Arial" w:cs="Arial"/>
          <w:lang w:val="en-US"/>
        </w:rPr>
        <w:t xml:space="preserve">main </w:t>
      </w:r>
      <w:r w:rsidR="006648D1" w:rsidRPr="00C50A39">
        <w:rPr>
          <w:rFonts w:ascii="Arial" w:eastAsia="Times New Roman" w:hAnsi="Arial" w:cs="Arial"/>
          <w:lang w:val="en-US"/>
        </w:rPr>
        <w:t xml:space="preserve">effect of </w:t>
      </w:r>
      <w:proofErr w:type="spellStart"/>
      <w:r w:rsidR="006648D1" w:rsidRPr="00C50A39">
        <w:rPr>
          <w:rFonts w:ascii="Arial" w:eastAsia="Times New Roman" w:hAnsi="Arial" w:cs="Arial"/>
          <w:lang w:val="en-US"/>
        </w:rPr>
        <w:t>WebMAP</w:t>
      </w:r>
      <w:proofErr w:type="spellEnd"/>
      <w:r w:rsidR="006648D1" w:rsidRPr="00C50A39">
        <w:rPr>
          <w:rFonts w:ascii="Arial" w:eastAsia="Times New Roman" w:hAnsi="Arial" w:cs="Arial"/>
          <w:lang w:val="en-US"/>
        </w:rPr>
        <w:t xml:space="preserve"> CBT versus education </w:t>
      </w:r>
      <w:r w:rsidR="004D320B">
        <w:rPr>
          <w:rFonts w:ascii="Arial" w:eastAsia="Times New Roman" w:hAnsi="Arial" w:cs="Arial"/>
          <w:lang w:val="en-US"/>
        </w:rPr>
        <w:t xml:space="preserve">on activity limitations </w:t>
      </w:r>
      <w:r w:rsidRPr="00C50A39">
        <w:rPr>
          <w:rFonts w:ascii="Arial" w:eastAsia="Times New Roman" w:hAnsi="Arial" w:cs="Arial"/>
          <w:lang w:val="en-US"/>
        </w:rPr>
        <w:t xml:space="preserve">in her sample of </w:t>
      </w:r>
      <w:r w:rsidR="006648D1" w:rsidRPr="00C50A39">
        <w:rPr>
          <w:rFonts w:ascii="Arial" w:eastAsia="Times New Roman" w:hAnsi="Arial" w:cs="Arial"/>
          <w:lang w:val="en-US"/>
        </w:rPr>
        <w:t xml:space="preserve">adolescents </w:t>
      </w:r>
      <w:r w:rsidR="00E23106" w:rsidRPr="00C50A39">
        <w:rPr>
          <w:rFonts w:ascii="Arial" w:eastAsia="Times New Roman" w:hAnsi="Arial" w:cs="Arial"/>
          <w:lang w:val="en-US"/>
        </w:rPr>
        <w:t>from specialty</w:t>
      </w:r>
      <w:r w:rsidR="006648D1" w:rsidRPr="00C50A39">
        <w:rPr>
          <w:rFonts w:ascii="Arial" w:eastAsia="Times New Roman" w:hAnsi="Arial" w:cs="Arial"/>
          <w:lang w:val="en-US"/>
        </w:rPr>
        <w:t xml:space="preserve"> pain </w:t>
      </w:r>
      <w:r w:rsidR="00E23106" w:rsidRPr="00C50A39">
        <w:rPr>
          <w:rFonts w:ascii="Arial" w:eastAsia="Times New Roman" w:hAnsi="Arial" w:cs="Arial"/>
          <w:lang w:val="en-US"/>
        </w:rPr>
        <w:t xml:space="preserve">clinics </w:t>
      </w:r>
      <w:r w:rsidR="00CE6349">
        <w:rPr>
          <w:rFonts w:ascii="Arial" w:eastAsia="Times New Roman" w:hAnsi="Arial" w:cs="Arial"/>
          <w:lang w:val="en-US"/>
        </w:rPr>
        <w:t xml:space="preserve">-- </w:t>
      </w:r>
      <w:r w:rsidR="008E5EF5">
        <w:rPr>
          <w:rFonts w:ascii="Arial" w:eastAsia="Times New Roman" w:hAnsi="Arial" w:cs="Arial"/>
          <w:lang w:val="en-US"/>
        </w:rPr>
        <w:t xml:space="preserve"> patients </w:t>
      </w:r>
      <w:r w:rsidR="00E23106" w:rsidRPr="00C50A39">
        <w:rPr>
          <w:rFonts w:ascii="Arial" w:eastAsia="Times New Roman" w:hAnsi="Arial" w:cs="Arial"/>
          <w:lang w:val="en-US"/>
        </w:rPr>
        <w:t xml:space="preserve">whose </w:t>
      </w:r>
      <w:r w:rsidR="00B06C83" w:rsidRPr="00C50A39">
        <w:rPr>
          <w:rFonts w:ascii="Arial" w:eastAsia="Times New Roman" w:hAnsi="Arial" w:cs="Arial"/>
          <w:lang w:val="en-US"/>
        </w:rPr>
        <w:t>high level</w:t>
      </w:r>
      <w:r w:rsidR="00880040" w:rsidRPr="00C50A39">
        <w:rPr>
          <w:rFonts w:ascii="Arial" w:eastAsia="Times New Roman" w:hAnsi="Arial" w:cs="Arial"/>
          <w:lang w:val="en-US"/>
        </w:rPr>
        <w:t>s</w:t>
      </w:r>
      <w:r w:rsidR="00B06C83" w:rsidRPr="00C50A39">
        <w:rPr>
          <w:rFonts w:ascii="Arial" w:eastAsia="Times New Roman" w:hAnsi="Arial" w:cs="Arial"/>
          <w:lang w:val="en-US"/>
        </w:rPr>
        <w:t xml:space="preserve"> of pain severity and disability</w:t>
      </w:r>
      <w:r w:rsidR="00E23106" w:rsidRPr="00C50A39">
        <w:rPr>
          <w:rFonts w:ascii="Arial" w:eastAsia="Times New Roman" w:hAnsi="Arial" w:cs="Arial"/>
          <w:lang w:val="en-US"/>
        </w:rPr>
        <w:t xml:space="preserve"> may have been similar to </w:t>
      </w:r>
      <w:r w:rsidR="00B06C83" w:rsidRPr="00C50A39">
        <w:rPr>
          <w:rFonts w:ascii="Arial" w:eastAsia="Times New Roman" w:hAnsi="Arial" w:cs="Arial"/>
          <w:lang w:val="en-US"/>
        </w:rPr>
        <w:t>th</w:t>
      </w:r>
      <w:r w:rsidR="008819FC">
        <w:rPr>
          <w:rFonts w:ascii="Arial" w:eastAsia="Times New Roman" w:hAnsi="Arial" w:cs="Arial"/>
          <w:lang w:val="en-US"/>
        </w:rPr>
        <w:t>ose</w:t>
      </w:r>
      <w:r w:rsidR="00E23106" w:rsidRPr="00C50A39">
        <w:rPr>
          <w:rFonts w:ascii="Arial" w:eastAsia="Times New Roman" w:hAnsi="Arial" w:cs="Arial"/>
          <w:lang w:val="en-US"/>
        </w:rPr>
        <w:t xml:space="preserve"> </w:t>
      </w:r>
      <w:r w:rsidR="00B06C83" w:rsidRPr="00C50A39">
        <w:rPr>
          <w:rFonts w:ascii="Arial" w:eastAsia="Times New Roman" w:hAnsi="Arial" w:cs="Arial"/>
          <w:lang w:val="en-US"/>
        </w:rPr>
        <w:t xml:space="preserve">of </w:t>
      </w:r>
      <w:r w:rsidR="00E23106" w:rsidRPr="00C50A39">
        <w:rPr>
          <w:rFonts w:ascii="Arial" w:eastAsia="Times New Roman" w:hAnsi="Arial" w:cs="Arial"/>
          <w:lang w:val="en-US"/>
        </w:rPr>
        <w:t xml:space="preserve">the </w:t>
      </w:r>
      <w:r w:rsidR="00156EFE" w:rsidRPr="00C50A39">
        <w:rPr>
          <w:rFonts w:ascii="Arial" w:eastAsia="Times New Roman" w:hAnsi="Arial" w:cs="Arial"/>
          <w:lang w:val="en-US"/>
        </w:rPr>
        <w:t xml:space="preserve">HPD patient </w:t>
      </w:r>
      <w:r w:rsidR="00E23106" w:rsidRPr="00C50A39">
        <w:rPr>
          <w:rFonts w:ascii="Arial" w:eastAsia="Times New Roman" w:hAnsi="Arial" w:cs="Arial"/>
          <w:lang w:val="en-US"/>
        </w:rPr>
        <w:t>subgroup</w:t>
      </w:r>
      <w:r w:rsidR="003E27BD" w:rsidRPr="00C50A39">
        <w:rPr>
          <w:rFonts w:ascii="Arial" w:eastAsia="Times New Roman" w:hAnsi="Arial" w:cs="Arial"/>
          <w:lang w:val="en-US"/>
        </w:rPr>
        <w:t xml:space="preserve"> </w:t>
      </w:r>
      <w:r w:rsidR="00E23106" w:rsidRPr="00C50A39">
        <w:rPr>
          <w:rFonts w:ascii="Arial" w:eastAsia="Times New Roman" w:hAnsi="Arial" w:cs="Arial"/>
          <w:lang w:val="en-US"/>
        </w:rPr>
        <w:t>in th</w:t>
      </w:r>
      <w:r w:rsidR="0045509D" w:rsidRPr="00C50A39">
        <w:rPr>
          <w:rFonts w:ascii="Arial" w:eastAsia="Times New Roman" w:hAnsi="Arial" w:cs="Arial"/>
          <w:lang w:val="en-US"/>
        </w:rPr>
        <w:t>e present</w:t>
      </w:r>
      <w:r w:rsidR="00E23106" w:rsidRPr="00C50A39">
        <w:rPr>
          <w:rFonts w:ascii="Arial" w:eastAsia="Times New Roman" w:hAnsi="Arial" w:cs="Arial"/>
          <w:lang w:val="en-US"/>
        </w:rPr>
        <w:t xml:space="preserve"> study that benefitted </w:t>
      </w:r>
      <w:r w:rsidR="00E65D8C" w:rsidRPr="00C50A39">
        <w:rPr>
          <w:rFonts w:ascii="Arial" w:eastAsia="Times New Roman" w:hAnsi="Arial" w:cs="Arial"/>
          <w:lang w:val="en-US"/>
        </w:rPr>
        <w:t xml:space="preserve">significantly </w:t>
      </w:r>
      <w:r w:rsidR="00E23106" w:rsidRPr="00C50A39">
        <w:rPr>
          <w:rFonts w:ascii="Arial" w:eastAsia="Times New Roman" w:hAnsi="Arial" w:cs="Arial"/>
          <w:lang w:val="en-US"/>
        </w:rPr>
        <w:t xml:space="preserve">more from CBT than </w:t>
      </w:r>
      <w:r w:rsidR="00E65D8C" w:rsidRPr="00C50A39">
        <w:rPr>
          <w:rFonts w:ascii="Arial" w:eastAsia="Times New Roman" w:hAnsi="Arial" w:cs="Arial"/>
          <w:lang w:val="en-US"/>
        </w:rPr>
        <w:t xml:space="preserve">from </w:t>
      </w:r>
      <w:r w:rsidR="00E23106" w:rsidRPr="00C50A39">
        <w:rPr>
          <w:rFonts w:ascii="Arial" w:eastAsia="Times New Roman" w:hAnsi="Arial" w:cs="Arial"/>
          <w:lang w:val="en-US"/>
        </w:rPr>
        <w:t xml:space="preserve">EDU. </w:t>
      </w:r>
    </w:p>
    <w:p w14:paraId="06D5EB3B" w14:textId="5F4A0845" w:rsidR="009C1F5F" w:rsidRPr="00C50A39" w:rsidRDefault="001C682A"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A</w:t>
      </w:r>
      <w:r w:rsidR="00E65D8C" w:rsidRPr="00C50A39">
        <w:rPr>
          <w:rFonts w:ascii="Arial" w:eastAsia="Times New Roman" w:hAnsi="Arial" w:cs="Arial"/>
          <w:lang w:val="en-US"/>
        </w:rPr>
        <w:t xml:space="preserve"> recent</w:t>
      </w:r>
      <w:r w:rsidRPr="00C50A39">
        <w:rPr>
          <w:rFonts w:ascii="Arial" w:eastAsia="Times New Roman" w:hAnsi="Arial" w:cs="Arial"/>
          <w:lang w:val="en-US"/>
        </w:rPr>
        <w:t xml:space="preserve"> RCT comparing </w:t>
      </w:r>
      <w:r w:rsidR="00DE44BA" w:rsidRPr="00C50A39">
        <w:rPr>
          <w:rFonts w:ascii="Arial" w:eastAsia="Times New Roman" w:hAnsi="Arial" w:cs="Arial"/>
          <w:lang w:val="en-US"/>
        </w:rPr>
        <w:t>internet</w:t>
      </w:r>
      <w:r w:rsidR="00FA5A20" w:rsidRPr="00C50A39">
        <w:rPr>
          <w:rFonts w:ascii="Arial" w:eastAsia="Times New Roman" w:hAnsi="Arial" w:cs="Arial"/>
          <w:lang w:val="en-US"/>
        </w:rPr>
        <w:t>-delivered</w:t>
      </w:r>
      <w:r w:rsidRPr="00C50A39">
        <w:rPr>
          <w:rFonts w:ascii="Arial" w:eastAsia="Times New Roman" w:hAnsi="Arial" w:cs="Arial"/>
          <w:lang w:val="en-US"/>
        </w:rPr>
        <w:t xml:space="preserve"> CBT</w:t>
      </w:r>
      <w:r w:rsidR="00DE44BA" w:rsidRPr="00C50A39">
        <w:rPr>
          <w:rFonts w:ascii="Arial" w:eastAsia="Times New Roman" w:hAnsi="Arial" w:cs="Arial"/>
          <w:lang w:val="en-US"/>
        </w:rPr>
        <w:t xml:space="preserve"> </w:t>
      </w:r>
      <w:r w:rsidRPr="00C50A39">
        <w:rPr>
          <w:rFonts w:ascii="Arial" w:eastAsia="Times New Roman" w:hAnsi="Arial" w:cs="Arial"/>
          <w:lang w:val="en-US"/>
        </w:rPr>
        <w:t>to treatment</w:t>
      </w:r>
      <w:r w:rsidR="00F43444" w:rsidRPr="00C50A39">
        <w:rPr>
          <w:rFonts w:ascii="Arial" w:eastAsia="Times New Roman" w:hAnsi="Arial" w:cs="Arial"/>
          <w:lang w:val="en-US"/>
        </w:rPr>
        <w:t>-</w:t>
      </w:r>
      <w:r w:rsidRPr="00C50A39">
        <w:rPr>
          <w:rFonts w:ascii="Arial" w:eastAsia="Times New Roman" w:hAnsi="Arial" w:cs="Arial"/>
          <w:lang w:val="en-US"/>
        </w:rPr>
        <w:t>as</w:t>
      </w:r>
      <w:r w:rsidR="00F43444" w:rsidRPr="00C50A39">
        <w:rPr>
          <w:rFonts w:ascii="Arial" w:eastAsia="Times New Roman" w:hAnsi="Arial" w:cs="Arial"/>
          <w:lang w:val="en-US"/>
        </w:rPr>
        <w:t>-</w:t>
      </w:r>
      <w:r w:rsidRPr="00C50A39">
        <w:rPr>
          <w:rFonts w:ascii="Arial" w:eastAsia="Times New Roman" w:hAnsi="Arial" w:cs="Arial"/>
          <w:lang w:val="en-US"/>
        </w:rPr>
        <w:t>usual</w:t>
      </w:r>
      <w:r w:rsidR="00B52B7A">
        <w:rPr>
          <w:rFonts w:ascii="Arial" w:eastAsia="Times New Roman" w:hAnsi="Arial" w:cs="Arial"/>
          <w:lang w:val="en-US"/>
        </w:rPr>
        <w:t>, rather than an active control condition,</w:t>
      </w:r>
      <w:r w:rsidRPr="00C50A39">
        <w:rPr>
          <w:rFonts w:ascii="Arial" w:eastAsia="Times New Roman" w:hAnsi="Arial" w:cs="Arial"/>
          <w:lang w:val="en-US"/>
        </w:rPr>
        <w:t xml:space="preserve"> </w:t>
      </w:r>
      <w:r w:rsidR="0003482A" w:rsidRPr="00C50A39">
        <w:rPr>
          <w:rFonts w:ascii="Arial" w:eastAsia="Times New Roman" w:hAnsi="Arial" w:cs="Arial"/>
          <w:lang w:val="en-US"/>
        </w:rPr>
        <w:t xml:space="preserve">found that CBT </w:t>
      </w:r>
      <w:r w:rsidR="008F60DD" w:rsidRPr="00C50A39">
        <w:rPr>
          <w:rFonts w:ascii="Arial" w:eastAsia="Times New Roman" w:hAnsi="Arial" w:cs="Arial"/>
          <w:lang w:val="en-US"/>
        </w:rPr>
        <w:t xml:space="preserve">yielded </w:t>
      </w:r>
      <w:r w:rsidR="0003482A" w:rsidRPr="00C50A39">
        <w:rPr>
          <w:rFonts w:ascii="Arial" w:eastAsia="Times New Roman" w:hAnsi="Arial" w:cs="Arial"/>
          <w:lang w:val="en-US"/>
        </w:rPr>
        <w:t>sig</w:t>
      </w:r>
      <w:r w:rsidR="008F60DD" w:rsidRPr="00C50A39">
        <w:rPr>
          <w:rFonts w:ascii="Arial" w:eastAsia="Times New Roman" w:hAnsi="Arial" w:cs="Arial"/>
          <w:lang w:val="en-US"/>
        </w:rPr>
        <w:t>nificantly</w:t>
      </w:r>
      <w:r w:rsidR="0003482A" w:rsidRPr="00C50A39">
        <w:rPr>
          <w:rFonts w:ascii="Arial" w:eastAsia="Times New Roman" w:hAnsi="Arial" w:cs="Arial"/>
          <w:lang w:val="en-US"/>
        </w:rPr>
        <w:t xml:space="preserve"> greater reduction</w:t>
      </w:r>
      <w:r w:rsidR="00694459" w:rsidRPr="00C50A39">
        <w:rPr>
          <w:rFonts w:ascii="Arial" w:eastAsia="Times New Roman" w:hAnsi="Arial" w:cs="Arial"/>
          <w:lang w:val="en-US"/>
        </w:rPr>
        <w:t>s</w:t>
      </w:r>
      <w:r w:rsidR="0003482A" w:rsidRPr="00C50A39">
        <w:rPr>
          <w:rFonts w:ascii="Arial" w:eastAsia="Times New Roman" w:hAnsi="Arial" w:cs="Arial"/>
          <w:lang w:val="en-US"/>
        </w:rPr>
        <w:t xml:space="preserve"> in GI </w:t>
      </w:r>
      <w:r w:rsidR="008F60DD" w:rsidRPr="00C50A39">
        <w:rPr>
          <w:rFonts w:ascii="Arial" w:eastAsia="Times New Roman" w:hAnsi="Arial" w:cs="Arial"/>
          <w:lang w:val="en-US"/>
        </w:rPr>
        <w:t>symptoms</w:t>
      </w:r>
      <w:r w:rsidR="00B52B7A">
        <w:rPr>
          <w:rFonts w:ascii="Arial" w:eastAsia="Times New Roman" w:hAnsi="Arial" w:cs="Arial"/>
          <w:lang w:val="en-US"/>
        </w:rPr>
        <w:t xml:space="preserve"> </w:t>
      </w:r>
      <w:r w:rsidR="00B52B7A" w:rsidRPr="00C50A39">
        <w:rPr>
          <w:rFonts w:ascii="Arial" w:eastAsia="Times New Roman" w:hAnsi="Arial" w:cs="Arial"/>
          <w:lang w:val="en-US"/>
        </w:rPr>
        <w:t>for children with FAP</w:t>
      </w:r>
      <w:r w:rsidR="00B52B7A">
        <w:rPr>
          <w:rFonts w:ascii="Arial" w:eastAsia="Times New Roman" w:hAnsi="Arial" w:cs="Arial"/>
          <w:lang w:val="en-US"/>
        </w:rPr>
        <w:t xml:space="preserve"> </w:t>
      </w:r>
      <w:r w:rsidR="00B52B7A"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2mkf27q4pg","properties":{"formattedCitation":"[16]","plainCitation":"[16]","noteIndex":0},"citationItems":[{"id":161,"uris":["http://zotero.org/users/7139165/items/WBLAV3CE"],"uri":["http://zotero.org/users/7139165/items/WBLAV3CE"],"itemData":{"id":161,"type":"article-journal","abstract":"BACKGROUND &amp; AIMS: Scalable and effective treatments are needed for children with functional abdominal pain disorders (FAPDs). We performed a randomized controlled trial of the efficacy and cost effectiveness of cognitive behavioral therapy delivered online (Internet-CBT) compared with usual therapy.\nMETHODS: We studied children (age, 8-12 y) diagnosed with FAPDs, based on the Rome IV criteria, in Sweden from September 2016 through April 2017. The patients were assigned randomly to groups that received 10 weeks of therapist-guided, internet-delivered cognitive behavioral therapy (Internet-CBT, n = 46) or treatment as usual (treatments within the health care and school systems, including medications and visits to doctors and other health care professionals; n = 44). The primary outcome was global child-rated gastrointestinal symptom severity assessed using the Pediatric Quality of Life Gastrointestinal Symptom scale. All outcomes were collected from September 2016 through January 2018. Secondary outcomes included quality of life, gastrointestinal-specific anxiety, avoidance behaviors, and parental responses to children's symptoms. Societal costs and costs for health care consumption were collected during the treatment.\nRESULTS: Children who received Internet-CBT had a significantly larger improvement in gastrointestinal symptom severity with a medium effect size (Cohen's d = 0.46; 95% CI, 0.05-0.88; number needed to treat, 3.8) compared with children who received the treatment as usual. The children's quality of life, gastrointestinal-specific anxiety, avoidance behaviors, and parental responses to children's symptoms also improved significantly in the Internet-CBT group compared with the treatment as usual group. The effects of Internet-CBT persisted through 36 weeks of follow-up evaluation. Children who received Internet-CBT had significantly less health care use than children who received treatment as usual, with an average cost difference of US $137 (P = .011). We calculated a cost savings of US $1050 for every child treated with Internet-CBT compared with treatment as usual.\nCONCLUSIONS: In a randomized trial of pediatric patients with FAPDs, we found Internet-CBT to be clinically cost effective compared with treatment as usual. Internet-CBT has the potential to increase the availability of treatment for a number of patients and reduce health care costs. ClinicalTrials.gov: NCT02873078.","container-title":"Clinical Gastroenterology and Hepatology: The Official Clinical Practice Journal of the American Gastroenterological Association","DOI":"10.1016/j.cgh.2018.11.043","ISSN":"1542-7714","issue":"11","journalAbbreviation":"Clin. Gastroenterol. Hepatol.","language":"eng","note":"PMID: 30502501","page":"2236-2244.e11","source":"PubMed","title":"Clinical and cost effectiveness of online cognitive behavioral therapy in children with functional abdominal pain disorders","volume":"17","author":[{"family":"Lalouni","given":"Maria"},{"family":"Ljótsson","given":"Brjánn"},{"family":"Bonnert","given":"Marianne"},{"family":"Ssegonja","given":"Richard"},{"family":"Benninga","given":"Marc"},{"family":"Bjureberg","given":"Johan"},{"family":"Högström","given":"Jens"},{"family":"Sahlin","given":"Hanna"},{"family":"Simrén","given":"Magnus"},{"family":"Feldman","given":"Inna"},{"family":"Hedman-Lagerlöf","given":"Erik"},{"family":"Serlachius","given":"Eva"},{"family":"Olén","given":"Ola"}],"issued":{"date-parts":[["2019"]]}}}],"schema":"https://github.com/citation-style-language/schema/raw/master/csl-citation.json"} </w:instrText>
      </w:r>
      <w:r w:rsidR="00B52B7A" w:rsidRPr="00C50A39">
        <w:rPr>
          <w:rFonts w:ascii="Arial" w:eastAsia="Times New Roman" w:hAnsi="Arial" w:cs="Arial"/>
          <w:lang w:val="en-US"/>
        </w:rPr>
        <w:fldChar w:fldCharType="separate"/>
      </w:r>
      <w:r w:rsidR="007346C0" w:rsidRPr="007346C0">
        <w:rPr>
          <w:rFonts w:ascii="Arial" w:hAnsi="Arial" w:cs="Arial"/>
        </w:rPr>
        <w:t>[16]</w:t>
      </w:r>
      <w:r w:rsidR="00B52B7A" w:rsidRPr="00C50A39">
        <w:rPr>
          <w:rFonts w:ascii="Arial" w:eastAsia="Times New Roman" w:hAnsi="Arial" w:cs="Arial"/>
          <w:lang w:val="en-US"/>
        </w:rPr>
        <w:fldChar w:fldCharType="end"/>
      </w:r>
      <w:r w:rsidR="00F43444" w:rsidRPr="00C50A39">
        <w:rPr>
          <w:rFonts w:ascii="Arial" w:eastAsia="Times New Roman" w:hAnsi="Arial" w:cs="Arial"/>
          <w:lang w:val="en-US"/>
        </w:rPr>
        <w:t>, averaged across all patients</w:t>
      </w:r>
      <w:r w:rsidR="0003482A" w:rsidRPr="00C50A39">
        <w:rPr>
          <w:rFonts w:ascii="Arial" w:eastAsia="Times New Roman" w:hAnsi="Arial" w:cs="Arial"/>
          <w:lang w:val="en-US"/>
        </w:rPr>
        <w:t>.</w:t>
      </w:r>
      <w:r w:rsidR="00F43444" w:rsidRPr="00C50A39">
        <w:rPr>
          <w:rFonts w:ascii="Arial" w:eastAsia="Times New Roman" w:hAnsi="Arial" w:cs="Arial"/>
          <w:lang w:val="en-US"/>
        </w:rPr>
        <w:t xml:space="preserve"> </w:t>
      </w:r>
      <w:r w:rsidR="00A30190" w:rsidRPr="00C50A39">
        <w:rPr>
          <w:rFonts w:ascii="Arial" w:eastAsia="Times New Roman" w:hAnsi="Arial" w:cs="Arial"/>
          <w:lang w:val="en-US"/>
        </w:rPr>
        <w:t>Whether patient subgroup moderated the effect of CBT, that is, whether a particular patient subgroup accounted for the significant overall treatment effect, was not evaluated. This is a</w:t>
      </w:r>
      <w:r w:rsidR="00D92530" w:rsidRPr="00C50A39">
        <w:rPr>
          <w:rFonts w:ascii="Arial" w:eastAsia="Times New Roman" w:hAnsi="Arial" w:cs="Arial"/>
          <w:lang w:val="en-US"/>
        </w:rPr>
        <w:t xml:space="preserve"> critical question </w:t>
      </w:r>
      <w:r w:rsidR="00A30190" w:rsidRPr="00C50A39">
        <w:rPr>
          <w:rFonts w:ascii="Arial" w:eastAsia="Times New Roman" w:hAnsi="Arial" w:cs="Arial"/>
          <w:lang w:val="en-US"/>
        </w:rPr>
        <w:t>as</w:t>
      </w:r>
      <w:r w:rsidR="00D92530" w:rsidRPr="00C50A39">
        <w:rPr>
          <w:rFonts w:ascii="Arial" w:eastAsia="Times New Roman" w:hAnsi="Arial" w:cs="Arial"/>
          <w:lang w:val="en-US"/>
        </w:rPr>
        <w:t xml:space="preserve"> decisions regarding allocation of health care resources </w:t>
      </w:r>
      <w:r w:rsidR="00A30190" w:rsidRPr="00C50A39">
        <w:rPr>
          <w:rFonts w:ascii="Arial" w:eastAsia="Times New Roman" w:hAnsi="Arial" w:cs="Arial"/>
          <w:lang w:val="en-US"/>
        </w:rPr>
        <w:t>must consider which patients are likely to</w:t>
      </w:r>
      <w:r w:rsidR="00D92530" w:rsidRPr="00C50A39">
        <w:rPr>
          <w:rFonts w:ascii="Arial" w:eastAsia="Times New Roman" w:hAnsi="Arial" w:cs="Arial"/>
          <w:lang w:val="en-US"/>
        </w:rPr>
        <w:t xml:space="preserve"> experience significantly better outcomes with </w:t>
      </w:r>
      <w:r w:rsidR="00A30190" w:rsidRPr="00C50A39">
        <w:rPr>
          <w:rFonts w:ascii="Arial" w:eastAsia="Times New Roman" w:hAnsi="Arial" w:cs="Arial"/>
          <w:lang w:val="en-US"/>
        </w:rPr>
        <w:t xml:space="preserve">a </w:t>
      </w:r>
      <w:r w:rsidR="00D92530" w:rsidRPr="00C50A39">
        <w:rPr>
          <w:rFonts w:ascii="Arial" w:eastAsia="Times New Roman" w:hAnsi="Arial" w:cs="Arial"/>
          <w:lang w:val="en-US"/>
        </w:rPr>
        <w:t>resource-intensive</w:t>
      </w:r>
      <w:r w:rsidR="00A30190" w:rsidRPr="00C50A39">
        <w:rPr>
          <w:rFonts w:ascii="Arial" w:eastAsia="Times New Roman" w:hAnsi="Arial" w:cs="Arial"/>
          <w:lang w:val="en-US"/>
        </w:rPr>
        <w:t xml:space="preserve"> treatment such as</w:t>
      </w:r>
      <w:r w:rsidR="00D92530" w:rsidRPr="00C50A39">
        <w:rPr>
          <w:rFonts w:ascii="Arial" w:eastAsia="Times New Roman" w:hAnsi="Arial" w:cs="Arial"/>
          <w:lang w:val="en-US"/>
        </w:rPr>
        <w:t xml:space="preserve"> CBT. </w:t>
      </w:r>
    </w:p>
    <w:p w14:paraId="20DE638D" w14:textId="78654A5B" w:rsidR="0003482A" w:rsidRPr="00C50A39" w:rsidRDefault="009C1F5F" w:rsidP="00C50A39">
      <w:pPr>
        <w:spacing w:after="0" w:line="480" w:lineRule="auto"/>
        <w:ind w:firstLine="720"/>
        <w:rPr>
          <w:rFonts w:ascii="Arial" w:eastAsia="Times New Roman" w:hAnsi="Arial" w:cs="Arial"/>
          <w:lang w:val="en-US"/>
        </w:rPr>
      </w:pPr>
      <w:r w:rsidRPr="00C50A39">
        <w:rPr>
          <w:rFonts w:ascii="Arial" w:hAnsi="Arial" w:cs="Arial"/>
        </w:rPr>
        <w:t xml:space="preserve">Very few studies have evaluated moderators of psychological treatments for </w:t>
      </w:r>
      <w:proofErr w:type="spellStart"/>
      <w:r w:rsidRPr="00C50A39">
        <w:rPr>
          <w:rFonts w:ascii="Arial" w:hAnsi="Arial" w:cs="Arial"/>
        </w:rPr>
        <w:t>pediatric</w:t>
      </w:r>
      <w:proofErr w:type="spellEnd"/>
      <w:r w:rsidRPr="00C50A39">
        <w:rPr>
          <w:rFonts w:ascii="Arial" w:hAnsi="Arial" w:cs="Arial"/>
        </w:rPr>
        <w:t xml:space="preserve"> pain. In a recent exception, evaluation of several potential demographic and psychological moderators in a mixed group of patients with chronic pain demonstrated that the </w:t>
      </w:r>
      <w:proofErr w:type="spellStart"/>
      <w:r w:rsidRPr="00C50A39">
        <w:rPr>
          <w:rFonts w:ascii="Arial" w:hAnsi="Arial" w:cs="Arial"/>
        </w:rPr>
        <w:t>WebMAP</w:t>
      </w:r>
      <w:proofErr w:type="spellEnd"/>
      <w:r w:rsidRPr="00C50A39">
        <w:rPr>
          <w:rFonts w:ascii="Arial" w:hAnsi="Arial" w:cs="Arial"/>
        </w:rPr>
        <w:t xml:space="preserve"> intervention was more effective in younger (versus older) adolescents and those whose parents had lower (versus higher) levels of emotional distress</w:t>
      </w:r>
      <w:r w:rsidR="00283C5F">
        <w:rPr>
          <w:rFonts w:ascii="Arial" w:hAnsi="Arial" w:cs="Arial"/>
        </w:rPr>
        <w:t xml:space="preserve"> </w:t>
      </w:r>
      <w:r w:rsidR="003259DD" w:rsidRPr="00C50A39">
        <w:rPr>
          <w:rFonts w:ascii="Arial" w:hAnsi="Arial" w:cs="Arial"/>
        </w:rPr>
        <w:fldChar w:fldCharType="begin"/>
      </w:r>
      <w:r w:rsidR="00F30351">
        <w:rPr>
          <w:rFonts w:ascii="Arial" w:hAnsi="Arial" w:cs="Arial"/>
        </w:rPr>
        <w:instrText xml:space="preserve"> ADDIN ZOTERO_ITEM CSL_CITATION {"citationID":"ankt155qmr","properties":{"formattedCitation":"[20]","plainCitation":"[20]","noteIndex":0},"citationItems":[{"id":307,"uris":["http://zotero.org/users/7139165/items/QNFUFZQP"],"uri":["http://zotero.org/users/7139165/items/QNFUFZQP"],"itemData":{"id":307,"type":"article-journal","container-title":"The Journal of Pain","DOI":"10.1016/j.jpain.2019.10.001","ISSN":"15265900","issue":"5-6","journalAbbreviation":"The Journal of Pain","language":"en","page":"603-615","source":"DOI.org (Crossref)","title":"Moderators of Internet-delivered cognitive-behavioral therapy for adolescents with chronic pain: Who benefits from treatment at long-term follow-up?","title-short":"Moderators of Internet-Delivered Cognitive-Behavioral Therapy for Adolescents With Chronic Pain","volume":"21","author":[{"family":"Murray","given":"Caitlin B."},{"family":"Vega","given":"Rocio","non-dropping-particle":"de la"},{"family":"Loren","given":"Dorothy M."},{"family":"Palermo","given":"Tonya M."}],"issued":{"date-parts":[["2020",5]]}}}],"schema":"https://github.com/citation-style-language/schema/raw/master/csl-citation.json"} </w:instrText>
      </w:r>
      <w:r w:rsidR="003259DD" w:rsidRPr="00C50A39">
        <w:rPr>
          <w:rFonts w:ascii="Arial" w:hAnsi="Arial" w:cs="Arial"/>
        </w:rPr>
        <w:fldChar w:fldCharType="separate"/>
      </w:r>
      <w:r w:rsidR="007346C0" w:rsidRPr="007346C0">
        <w:rPr>
          <w:rFonts w:ascii="Arial" w:hAnsi="Arial" w:cs="Arial"/>
        </w:rPr>
        <w:t>[20]</w:t>
      </w:r>
      <w:r w:rsidR="003259DD" w:rsidRPr="00C50A39">
        <w:rPr>
          <w:rFonts w:ascii="Arial" w:hAnsi="Arial" w:cs="Arial"/>
        </w:rPr>
        <w:fldChar w:fldCharType="end"/>
      </w:r>
      <w:r w:rsidR="00283C5F">
        <w:rPr>
          <w:rFonts w:ascii="Arial" w:hAnsi="Arial" w:cs="Arial"/>
        </w:rPr>
        <w:t xml:space="preserve">. </w:t>
      </w:r>
      <w:r w:rsidRPr="00C50A39">
        <w:rPr>
          <w:rFonts w:ascii="Arial" w:hAnsi="Arial" w:cs="Arial"/>
        </w:rPr>
        <w:t xml:space="preserve">The present study builds upon and advances these results by testing for moderation using profiles or composites based on several relevant psychological characteristics rather than examining each </w:t>
      </w:r>
      <w:r w:rsidR="00B12067">
        <w:rPr>
          <w:rFonts w:ascii="Arial" w:hAnsi="Arial" w:cs="Arial"/>
        </w:rPr>
        <w:t xml:space="preserve">characteristic </w:t>
      </w:r>
      <w:r w:rsidRPr="00C50A39">
        <w:rPr>
          <w:rFonts w:ascii="Arial" w:hAnsi="Arial" w:cs="Arial"/>
        </w:rPr>
        <w:t>individually.  Strategic use of subgroup profiles may be a more efficient and powerful way to identify patients who are most likely to benefit from a treatment.</w:t>
      </w:r>
    </w:p>
    <w:p w14:paraId="2BA9BE7A" w14:textId="4F61DB2F" w:rsidR="0015554D" w:rsidRPr="00C50A39" w:rsidRDefault="00FB77B9"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lastRenderedPageBreak/>
        <w:t>S</w:t>
      </w:r>
      <w:r w:rsidR="00621FA1" w:rsidRPr="00C50A39">
        <w:rPr>
          <w:rFonts w:ascii="Arial" w:eastAsia="Times New Roman" w:hAnsi="Arial" w:cs="Arial"/>
          <w:lang w:val="en-US"/>
        </w:rPr>
        <w:t>trengths of th</w:t>
      </w:r>
      <w:r w:rsidRPr="00C50A39">
        <w:rPr>
          <w:rFonts w:ascii="Arial" w:eastAsia="Times New Roman" w:hAnsi="Arial" w:cs="Arial"/>
          <w:lang w:val="en-US"/>
        </w:rPr>
        <w:t>e current</w:t>
      </w:r>
      <w:r w:rsidR="00621FA1" w:rsidRPr="00C50A39">
        <w:rPr>
          <w:rFonts w:ascii="Arial" w:eastAsia="Times New Roman" w:hAnsi="Arial" w:cs="Arial"/>
          <w:lang w:val="en-US"/>
        </w:rPr>
        <w:t xml:space="preserve"> study include</w:t>
      </w:r>
      <w:r w:rsidR="006879D2" w:rsidRPr="00C50A39">
        <w:rPr>
          <w:rFonts w:ascii="Arial" w:eastAsia="Times New Roman" w:hAnsi="Arial" w:cs="Arial"/>
          <w:lang w:val="en-US"/>
        </w:rPr>
        <w:t xml:space="preserve"> </w:t>
      </w:r>
      <w:r w:rsidR="002B319F">
        <w:rPr>
          <w:rFonts w:ascii="Arial" w:eastAsia="Times New Roman" w:hAnsi="Arial" w:cs="Arial"/>
          <w:lang w:val="en-US"/>
        </w:rPr>
        <w:t>a large sample</w:t>
      </w:r>
      <w:r w:rsidR="008819FC">
        <w:rPr>
          <w:rFonts w:ascii="Arial" w:eastAsia="Times New Roman" w:hAnsi="Arial" w:cs="Arial"/>
          <w:lang w:val="en-US"/>
        </w:rPr>
        <w:t>;</w:t>
      </w:r>
      <w:r w:rsidR="002B319F">
        <w:rPr>
          <w:rFonts w:ascii="Arial" w:eastAsia="Times New Roman" w:hAnsi="Arial" w:cs="Arial"/>
          <w:lang w:val="en-US"/>
        </w:rPr>
        <w:t xml:space="preserve"> </w:t>
      </w:r>
      <w:r w:rsidR="001C682A" w:rsidRPr="00C50A39">
        <w:rPr>
          <w:rFonts w:ascii="Arial" w:eastAsia="Times New Roman" w:hAnsi="Arial" w:cs="Arial"/>
          <w:lang w:val="en-US"/>
        </w:rPr>
        <w:t xml:space="preserve">randomization to treatment condition stratified by patient subgroup; </w:t>
      </w:r>
      <w:r w:rsidR="001D3B95">
        <w:rPr>
          <w:rFonts w:ascii="Arial" w:eastAsia="Times New Roman" w:hAnsi="Arial" w:cs="Arial"/>
          <w:lang w:val="en-US"/>
        </w:rPr>
        <w:t>an active treatment condition</w:t>
      </w:r>
      <w:r w:rsidR="008819FC">
        <w:rPr>
          <w:rFonts w:ascii="Arial" w:eastAsia="Times New Roman" w:hAnsi="Arial" w:cs="Arial"/>
          <w:lang w:val="en-US"/>
        </w:rPr>
        <w:t>;</w:t>
      </w:r>
      <w:r w:rsidR="001D3B95">
        <w:rPr>
          <w:rFonts w:ascii="Arial" w:eastAsia="Times New Roman" w:hAnsi="Arial" w:cs="Arial"/>
          <w:lang w:val="en-US"/>
        </w:rPr>
        <w:t xml:space="preserve"> </w:t>
      </w:r>
      <w:r w:rsidR="001C682A" w:rsidRPr="00C50A39">
        <w:rPr>
          <w:rFonts w:ascii="Arial" w:eastAsia="Times New Roman" w:hAnsi="Arial" w:cs="Arial"/>
          <w:lang w:val="en-US"/>
        </w:rPr>
        <w:t xml:space="preserve">concealment of treatment allocation; </w:t>
      </w:r>
      <w:r w:rsidR="00AB322C" w:rsidRPr="00C50A39">
        <w:rPr>
          <w:rFonts w:ascii="Arial" w:eastAsia="Times New Roman" w:hAnsi="Arial" w:cs="Arial"/>
          <w:lang w:val="en-US"/>
        </w:rPr>
        <w:t>high</w:t>
      </w:r>
      <w:r w:rsidR="001C682A" w:rsidRPr="00C50A39">
        <w:rPr>
          <w:rFonts w:ascii="Arial" w:eastAsia="Times New Roman" w:hAnsi="Arial" w:cs="Arial"/>
          <w:lang w:val="en-US"/>
        </w:rPr>
        <w:t xml:space="preserve"> treatment expectancies </w:t>
      </w:r>
      <w:r w:rsidR="000B5A62" w:rsidRPr="00C50A39">
        <w:rPr>
          <w:rFonts w:ascii="Arial" w:eastAsia="Times New Roman" w:hAnsi="Arial" w:cs="Arial"/>
          <w:lang w:val="en-US"/>
        </w:rPr>
        <w:t xml:space="preserve">and </w:t>
      </w:r>
      <w:r w:rsidR="001C682A" w:rsidRPr="00C50A39">
        <w:rPr>
          <w:rFonts w:ascii="Arial" w:eastAsia="Times New Roman" w:hAnsi="Arial" w:cs="Arial"/>
          <w:lang w:val="en-US"/>
        </w:rPr>
        <w:t xml:space="preserve">engagement </w:t>
      </w:r>
      <w:r w:rsidR="00B5212A" w:rsidRPr="00C50A39">
        <w:rPr>
          <w:rFonts w:ascii="Arial" w:eastAsia="Times New Roman" w:hAnsi="Arial" w:cs="Arial"/>
          <w:lang w:val="en-US"/>
        </w:rPr>
        <w:t>in</w:t>
      </w:r>
      <w:r w:rsidR="001C682A" w:rsidRPr="00C50A39">
        <w:rPr>
          <w:rFonts w:ascii="Arial" w:eastAsia="Times New Roman" w:hAnsi="Arial" w:cs="Arial"/>
          <w:lang w:val="en-US"/>
        </w:rPr>
        <w:t xml:space="preserve"> both treatment conditions; r</w:t>
      </w:r>
      <w:r w:rsidR="00621FA1" w:rsidRPr="00C50A39">
        <w:rPr>
          <w:rFonts w:ascii="Arial" w:eastAsia="Times New Roman" w:hAnsi="Arial" w:cs="Arial"/>
          <w:lang w:val="en-US"/>
        </w:rPr>
        <w:t xml:space="preserve">ecruitment of consecutive new patients </w:t>
      </w:r>
      <w:r w:rsidR="009757F7" w:rsidRPr="00C50A39">
        <w:rPr>
          <w:rFonts w:ascii="Arial" w:eastAsia="Times New Roman" w:hAnsi="Arial" w:cs="Arial"/>
          <w:lang w:val="en-US"/>
        </w:rPr>
        <w:t xml:space="preserve">without </w:t>
      </w:r>
      <w:r w:rsidR="00662E8D" w:rsidRPr="00C50A39">
        <w:rPr>
          <w:rFonts w:ascii="Arial" w:eastAsia="Times New Roman" w:hAnsi="Arial" w:cs="Arial"/>
          <w:lang w:val="en-US"/>
        </w:rPr>
        <w:t xml:space="preserve">selection </w:t>
      </w:r>
      <w:r w:rsidR="006E3A8D" w:rsidRPr="00C50A39">
        <w:rPr>
          <w:rFonts w:ascii="Arial" w:eastAsia="Times New Roman" w:hAnsi="Arial" w:cs="Arial"/>
          <w:lang w:val="en-US"/>
        </w:rPr>
        <w:t>bias</w:t>
      </w:r>
      <w:r w:rsidR="00662E8D" w:rsidRPr="00C50A39">
        <w:rPr>
          <w:rFonts w:ascii="Arial" w:eastAsia="Times New Roman" w:hAnsi="Arial" w:cs="Arial"/>
          <w:lang w:val="en-US"/>
        </w:rPr>
        <w:t>es</w:t>
      </w:r>
      <w:r w:rsidR="006E3A8D" w:rsidRPr="00C50A39">
        <w:rPr>
          <w:rFonts w:ascii="Arial" w:eastAsia="Times New Roman" w:hAnsi="Arial" w:cs="Arial"/>
          <w:lang w:val="en-US"/>
        </w:rPr>
        <w:t xml:space="preserve"> </w:t>
      </w:r>
      <w:r w:rsidR="00662E8D" w:rsidRPr="00C50A39">
        <w:rPr>
          <w:rFonts w:ascii="Arial" w:eastAsia="Times New Roman" w:hAnsi="Arial" w:cs="Arial"/>
          <w:lang w:val="en-US"/>
        </w:rPr>
        <w:t>associated with</w:t>
      </w:r>
      <w:r w:rsidR="006E3A8D" w:rsidRPr="00C50A39">
        <w:rPr>
          <w:rFonts w:ascii="Arial" w:eastAsia="Times New Roman" w:hAnsi="Arial" w:cs="Arial"/>
          <w:lang w:val="en-US"/>
        </w:rPr>
        <w:t xml:space="preserve"> </w:t>
      </w:r>
      <w:r w:rsidR="00AB322C" w:rsidRPr="00C50A39">
        <w:rPr>
          <w:rFonts w:ascii="Arial" w:eastAsia="Times New Roman" w:hAnsi="Arial" w:cs="Arial"/>
          <w:lang w:val="en-US"/>
        </w:rPr>
        <w:t xml:space="preserve">self- or </w:t>
      </w:r>
      <w:r w:rsidR="009757F7" w:rsidRPr="00C50A39">
        <w:rPr>
          <w:rFonts w:ascii="Arial" w:eastAsia="Times New Roman" w:hAnsi="Arial" w:cs="Arial"/>
          <w:lang w:val="en-US"/>
        </w:rPr>
        <w:t>physician referral</w:t>
      </w:r>
      <w:r w:rsidR="00621FA1" w:rsidRPr="00C50A39">
        <w:rPr>
          <w:rFonts w:ascii="Arial" w:eastAsia="Times New Roman" w:hAnsi="Arial" w:cs="Arial"/>
          <w:lang w:val="en-US"/>
        </w:rPr>
        <w:t>; pre-specified primary and secondary outcome measures with strong psychometric properties</w:t>
      </w:r>
      <w:r w:rsidR="009757F7" w:rsidRPr="00C50A39">
        <w:rPr>
          <w:rFonts w:ascii="Arial" w:eastAsia="Times New Roman" w:hAnsi="Arial" w:cs="Arial"/>
          <w:lang w:val="en-US"/>
        </w:rPr>
        <w:t>;</w:t>
      </w:r>
      <w:r w:rsidR="00621FA1" w:rsidRPr="00C50A39">
        <w:rPr>
          <w:rFonts w:ascii="Arial" w:eastAsia="Times New Roman" w:hAnsi="Arial" w:cs="Arial"/>
          <w:lang w:val="en-US"/>
        </w:rPr>
        <w:t xml:space="preserve"> </w:t>
      </w:r>
      <w:r w:rsidR="000618C5" w:rsidRPr="00C50A39">
        <w:rPr>
          <w:rFonts w:ascii="Arial" w:eastAsia="Times New Roman" w:hAnsi="Arial" w:cs="Arial"/>
          <w:lang w:val="en-US"/>
        </w:rPr>
        <w:t>control for patient age and sex in all analyses</w:t>
      </w:r>
      <w:r w:rsidR="000B5A62" w:rsidRPr="00C50A39">
        <w:rPr>
          <w:rFonts w:ascii="Arial" w:eastAsia="Times New Roman" w:hAnsi="Arial" w:cs="Arial"/>
          <w:lang w:val="en-US"/>
        </w:rPr>
        <w:t>; and assessment of outcomes at mid-treatment, post-treatment, 6 months, and 12 months.</w:t>
      </w:r>
    </w:p>
    <w:p w14:paraId="172F12E8" w14:textId="27E0A9A1" w:rsidR="003A1E3E" w:rsidRPr="00C50A39" w:rsidRDefault="00F80461" w:rsidP="00C50A39">
      <w:pPr>
        <w:spacing w:after="0" w:line="480" w:lineRule="auto"/>
        <w:ind w:firstLine="720"/>
        <w:rPr>
          <w:rFonts w:ascii="Arial" w:eastAsia="Times New Roman" w:hAnsi="Arial" w:cs="Arial"/>
          <w:lang w:val="en-US"/>
        </w:rPr>
      </w:pPr>
      <w:r w:rsidRPr="00C50A39">
        <w:rPr>
          <w:rFonts w:ascii="Arial" w:eastAsia="Times New Roman" w:hAnsi="Arial" w:cs="Arial"/>
          <w:lang w:val="en-US"/>
        </w:rPr>
        <w:t>Study findings must be interpreted</w:t>
      </w:r>
      <w:r w:rsidR="007C45E1" w:rsidRPr="00C50A39">
        <w:rPr>
          <w:rFonts w:ascii="Arial" w:eastAsia="Times New Roman" w:hAnsi="Arial" w:cs="Arial"/>
          <w:lang w:val="en-US"/>
        </w:rPr>
        <w:t xml:space="preserve"> </w:t>
      </w:r>
      <w:r w:rsidRPr="00C50A39">
        <w:rPr>
          <w:rFonts w:ascii="Arial" w:eastAsia="Times New Roman" w:hAnsi="Arial" w:cs="Arial"/>
          <w:lang w:val="en-US"/>
        </w:rPr>
        <w:t>in the context of</w:t>
      </w:r>
      <w:r w:rsidR="00802DED">
        <w:rPr>
          <w:rFonts w:ascii="Arial" w:eastAsia="Times New Roman" w:hAnsi="Arial" w:cs="Arial"/>
          <w:lang w:val="en-US"/>
        </w:rPr>
        <w:t xml:space="preserve"> study</w:t>
      </w:r>
      <w:r w:rsidR="004E4D05" w:rsidRPr="00C50A39">
        <w:rPr>
          <w:rFonts w:ascii="Arial" w:eastAsia="Times New Roman" w:hAnsi="Arial" w:cs="Arial"/>
          <w:lang w:val="en-US"/>
        </w:rPr>
        <w:t xml:space="preserve"> </w:t>
      </w:r>
      <w:r w:rsidRPr="00C50A39">
        <w:rPr>
          <w:rFonts w:ascii="Arial" w:eastAsia="Times New Roman" w:hAnsi="Arial" w:cs="Arial"/>
          <w:lang w:val="en-US"/>
        </w:rPr>
        <w:t>limitations</w:t>
      </w:r>
      <w:r w:rsidR="007C45E1" w:rsidRPr="00C50A39">
        <w:rPr>
          <w:rFonts w:ascii="Arial" w:eastAsia="Times New Roman" w:hAnsi="Arial" w:cs="Arial"/>
          <w:lang w:val="en-US"/>
        </w:rPr>
        <w:t xml:space="preserve">. </w:t>
      </w:r>
      <w:r w:rsidR="00084D50" w:rsidRPr="00C50A39">
        <w:rPr>
          <w:rFonts w:ascii="Arial" w:eastAsia="Times New Roman" w:hAnsi="Arial" w:cs="Arial"/>
          <w:lang w:val="en-US"/>
        </w:rPr>
        <w:t xml:space="preserve">The </w:t>
      </w:r>
      <w:r w:rsidR="00236FDE" w:rsidRPr="00C50A39">
        <w:rPr>
          <w:rFonts w:ascii="Arial" w:eastAsia="Times New Roman" w:hAnsi="Arial" w:cs="Arial"/>
          <w:lang w:val="en-US"/>
        </w:rPr>
        <w:t xml:space="preserve">sample </w:t>
      </w:r>
      <w:r w:rsidR="007C45E1" w:rsidRPr="00C50A39">
        <w:rPr>
          <w:rFonts w:ascii="Arial" w:eastAsia="Times New Roman" w:hAnsi="Arial" w:cs="Arial"/>
          <w:lang w:val="en-US"/>
        </w:rPr>
        <w:t xml:space="preserve">was </w:t>
      </w:r>
      <w:r w:rsidR="00236FDE" w:rsidRPr="00C50A39">
        <w:rPr>
          <w:rFonts w:ascii="Arial" w:eastAsia="Times New Roman" w:hAnsi="Arial" w:cs="Arial"/>
          <w:lang w:val="en-US"/>
        </w:rPr>
        <w:t>drawn from</w:t>
      </w:r>
      <w:r w:rsidR="00084D50" w:rsidRPr="00C50A39">
        <w:rPr>
          <w:rFonts w:ascii="Arial" w:eastAsia="Times New Roman" w:hAnsi="Arial" w:cs="Arial"/>
          <w:lang w:val="en-US"/>
        </w:rPr>
        <w:t xml:space="preserve"> </w:t>
      </w:r>
      <w:r w:rsidRPr="00C50A39">
        <w:rPr>
          <w:rFonts w:ascii="Arial" w:eastAsia="Times New Roman" w:hAnsi="Arial" w:cs="Arial"/>
          <w:lang w:val="en-US"/>
        </w:rPr>
        <w:t xml:space="preserve">a </w:t>
      </w:r>
      <w:r w:rsidR="00084D50" w:rsidRPr="00C50A39">
        <w:rPr>
          <w:rFonts w:ascii="Arial" w:eastAsia="Times New Roman" w:hAnsi="Arial" w:cs="Arial"/>
          <w:lang w:val="en-US"/>
        </w:rPr>
        <w:t>tertiary care</w:t>
      </w:r>
      <w:r w:rsidRPr="00C50A39">
        <w:rPr>
          <w:rFonts w:ascii="Arial" w:eastAsia="Times New Roman" w:hAnsi="Arial" w:cs="Arial"/>
          <w:lang w:val="en-US"/>
        </w:rPr>
        <w:t xml:space="preserve"> setting </w:t>
      </w:r>
      <w:r w:rsidR="007C40E6">
        <w:rPr>
          <w:rFonts w:ascii="Arial" w:eastAsia="Times New Roman" w:hAnsi="Arial" w:cs="Arial"/>
          <w:lang w:val="en-US"/>
        </w:rPr>
        <w:t>of</w:t>
      </w:r>
      <w:r w:rsidR="00236FDE" w:rsidRPr="00C50A39">
        <w:rPr>
          <w:rFonts w:ascii="Arial" w:eastAsia="Times New Roman" w:hAnsi="Arial" w:cs="Arial"/>
          <w:lang w:val="en-US"/>
        </w:rPr>
        <w:t xml:space="preserve"> </w:t>
      </w:r>
      <w:r w:rsidR="00084D50" w:rsidRPr="00C50A39">
        <w:rPr>
          <w:rFonts w:ascii="Arial" w:eastAsia="Times New Roman" w:hAnsi="Arial" w:cs="Arial"/>
          <w:lang w:val="en-US"/>
        </w:rPr>
        <w:t>adolescent</w:t>
      </w:r>
      <w:r w:rsidR="00236FDE" w:rsidRPr="00C50A39">
        <w:rPr>
          <w:rFonts w:ascii="Arial" w:eastAsia="Times New Roman" w:hAnsi="Arial" w:cs="Arial"/>
          <w:lang w:val="en-US"/>
        </w:rPr>
        <w:t>s</w:t>
      </w:r>
      <w:r w:rsidR="007C40E6">
        <w:rPr>
          <w:rFonts w:ascii="Arial" w:eastAsia="Times New Roman" w:hAnsi="Arial" w:cs="Arial"/>
          <w:lang w:val="en-US"/>
        </w:rPr>
        <w:t xml:space="preserve"> who were primarily Caucasian</w:t>
      </w:r>
      <w:r w:rsidR="00961EE8" w:rsidRPr="00C50A39">
        <w:rPr>
          <w:rFonts w:ascii="Arial" w:eastAsia="Times New Roman" w:hAnsi="Arial" w:cs="Arial"/>
          <w:lang w:val="en-US"/>
        </w:rPr>
        <w:t xml:space="preserve">; </w:t>
      </w:r>
      <w:r w:rsidR="002F716C" w:rsidRPr="00C50A39">
        <w:rPr>
          <w:rFonts w:ascii="Arial" w:eastAsia="Times New Roman" w:hAnsi="Arial" w:cs="Arial"/>
          <w:lang w:val="en-US"/>
        </w:rPr>
        <w:t>whether</w:t>
      </w:r>
      <w:r w:rsidR="00466391" w:rsidRPr="00C50A39">
        <w:rPr>
          <w:rFonts w:ascii="Arial" w:eastAsia="Times New Roman" w:hAnsi="Arial" w:cs="Arial"/>
          <w:lang w:val="en-US"/>
        </w:rPr>
        <w:t xml:space="preserve"> our classification of </w:t>
      </w:r>
      <w:r w:rsidR="00143350">
        <w:rPr>
          <w:rFonts w:ascii="Arial" w:eastAsia="Times New Roman" w:hAnsi="Arial" w:cs="Arial"/>
          <w:lang w:val="en-US"/>
        </w:rPr>
        <w:t>patient</w:t>
      </w:r>
      <w:r w:rsidR="00143350" w:rsidRPr="00C50A39">
        <w:rPr>
          <w:rFonts w:ascii="Arial" w:eastAsia="Times New Roman" w:hAnsi="Arial" w:cs="Arial"/>
          <w:lang w:val="en-US"/>
        </w:rPr>
        <w:t xml:space="preserve"> </w:t>
      </w:r>
      <w:r w:rsidR="00466391" w:rsidRPr="00C50A39">
        <w:rPr>
          <w:rFonts w:ascii="Arial" w:eastAsia="Times New Roman" w:hAnsi="Arial" w:cs="Arial"/>
          <w:lang w:val="en-US"/>
        </w:rPr>
        <w:t xml:space="preserve">subgroups </w:t>
      </w:r>
      <w:r w:rsidR="001874F8" w:rsidRPr="00C50A39">
        <w:rPr>
          <w:rFonts w:ascii="Arial" w:eastAsia="Times New Roman" w:hAnsi="Arial" w:cs="Arial"/>
          <w:lang w:val="en-US"/>
        </w:rPr>
        <w:t xml:space="preserve">and RCT findings are </w:t>
      </w:r>
      <w:r w:rsidR="00466391" w:rsidRPr="00C50A39">
        <w:rPr>
          <w:rFonts w:ascii="Arial" w:eastAsia="Times New Roman" w:hAnsi="Arial" w:cs="Arial"/>
          <w:lang w:val="en-US"/>
        </w:rPr>
        <w:t xml:space="preserve">relevant to </w:t>
      </w:r>
      <w:r w:rsidR="007C40E6">
        <w:rPr>
          <w:rFonts w:ascii="Arial" w:eastAsia="Times New Roman" w:hAnsi="Arial" w:cs="Arial"/>
          <w:lang w:val="en-US"/>
        </w:rPr>
        <w:t>other</w:t>
      </w:r>
      <w:r w:rsidR="002F716C" w:rsidRPr="00C50A39">
        <w:rPr>
          <w:rFonts w:ascii="Arial" w:eastAsia="Times New Roman" w:hAnsi="Arial" w:cs="Arial"/>
          <w:lang w:val="en-US"/>
        </w:rPr>
        <w:t xml:space="preserve"> FAP populations</w:t>
      </w:r>
      <w:r w:rsidR="00466391" w:rsidRPr="00C50A39">
        <w:rPr>
          <w:rFonts w:ascii="Arial" w:eastAsia="Times New Roman" w:hAnsi="Arial" w:cs="Arial"/>
          <w:lang w:val="en-US"/>
        </w:rPr>
        <w:t xml:space="preserve"> is unknown</w:t>
      </w:r>
      <w:r w:rsidR="00466391" w:rsidRPr="002E1915">
        <w:rPr>
          <w:rFonts w:ascii="Arial" w:eastAsia="Times New Roman" w:hAnsi="Arial" w:cs="Arial"/>
          <w:lang w:val="en-US"/>
        </w:rPr>
        <w:t xml:space="preserve">. </w:t>
      </w:r>
      <w:r w:rsidR="002E1915" w:rsidRPr="009761B3">
        <w:rPr>
          <w:rFonts w:ascii="Arial" w:eastAsia="Times New Roman" w:hAnsi="Arial" w:cs="Arial"/>
          <w:color w:val="000000"/>
          <w:highlight w:val="yellow"/>
        </w:rPr>
        <w:t xml:space="preserve">Assessment of clinically meaningful change is still in its infancy in </w:t>
      </w:r>
      <w:proofErr w:type="spellStart"/>
      <w:r w:rsidR="002E1915" w:rsidRPr="009761B3">
        <w:rPr>
          <w:rFonts w:ascii="Arial" w:eastAsia="Times New Roman" w:hAnsi="Arial" w:cs="Arial"/>
          <w:color w:val="000000"/>
          <w:highlight w:val="yellow"/>
        </w:rPr>
        <w:t>pediatric</w:t>
      </w:r>
      <w:proofErr w:type="spellEnd"/>
      <w:r w:rsidR="002E1915" w:rsidRPr="009761B3">
        <w:rPr>
          <w:rFonts w:ascii="Arial" w:eastAsia="Times New Roman" w:hAnsi="Arial" w:cs="Arial"/>
          <w:color w:val="000000"/>
          <w:highlight w:val="yellow"/>
        </w:rPr>
        <w:t xml:space="preserve"> </w:t>
      </w:r>
      <w:r w:rsidR="002E1915" w:rsidRPr="00F30351">
        <w:rPr>
          <w:rFonts w:ascii="Arial" w:eastAsia="Times New Roman" w:hAnsi="Arial" w:cs="Arial"/>
          <w:color w:val="000000"/>
          <w:highlight w:val="yellow"/>
        </w:rPr>
        <w:t xml:space="preserve">pain </w:t>
      </w:r>
      <w:r w:rsidR="00F30351" w:rsidRPr="00F30351">
        <w:rPr>
          <w:rFonts w:ascii="Arial" w:eastAsia="Times New Roman" w:hAnsi="Arial" w:cs="Arial"/>
          <w:color w:val="000000"/>
          <w:highlight w:val="yellow"/>
        </w:rPr>
        <w:fldChar w:fldCharType="begin"/>
      </w:r>
      <w:r w:rsidR="00F30351" w:rsidRPr="00F30351">
        <w:rPr>
          <w:rFonts w:ascii="Arial" w:eastAsia="Times New Roman" w:hAnsi="Arial" w:cs="Arial"/>
          <w:color w:val="000000"/>
          <w:highlight w:val="yellow"/>
        </w:rPr>
        <w:instrText xml:space="preserve"> ADDIN ZOTERO_ITEM CSL_CITATION {"citationID":"a7igsmrmis","properties":{"formattedCitation":"[23]","plainCitation":"[23]","noteIndex":0},"citationItems":[{"id":232,"uris":["http://zotero.org/users/7139165/items/HNSIPQRV"],"uri":["http://zotero.org/users/7139165/items/HNSIPQRV"],"itemData":{"id":232,"type":"article-journal","container-title":"PAIN Reports","DOI":"10.1097/PR9.0000000000000649","ISSN":"2471-2531","issue":"3","journalAbbreviation":"PAIN Reports","language":"en","page":"e649","source":"DOI.org (Crossref)","title":"Special considerations in conducting clinical trials of chronic pain management interventions in children and adolescents and their families:","title-short":"Special considerations in conducting clinical trials of chronic pain management interventions in children and adolescents and their families","volume":"4","author":[{"family":"Palermo","given":"Tonya M."},{"family":"Kashikar-Zuck","given":"Susmita"},{"family":"Friedrichsdorf","given":"Stefan J."},{"family":"Powers","given":"Scott W."}],"issued":{"date-parts":[["2019"]]}}}],"schema":"https://github.com/citation-style-language/schema/raw/master/csl-citation.json"} </w:instrText>
      </w:r>
      <w:r w:rsidR="00F30351" w:rsidRPr="00F30351">
        <w:rPr>
          <w:rFonts w:ascii="Arial" w:eastAsia="Times New Roman" w:hAnsi="Arial" w:cs="Arial"/>
          <w:color w:val="000000"/>
          <w:highlight w:val="yellow"/>
        </w:rPr>
        <w:fldChar w:fldCharType="separate"/>
      </w:r>
      <w:r w:rsidR="00F30351" w:rsidRPr="00F30351">
        <w:rPr>
          <w:rFonts w:ascii="Arial" w:hAnsi="Arial" w:cs="Arial"/>
          <w:szCs w:val="24"/>
          <w:highlight w:val="yellow"/>
        </w:rPr>
        <w:t>[23]</w:t>
      </w:r>
      <w:r w:rsidR="00F30351" w:rsidRPr="00F30351">
        <w:rPr>
          <w:rFonts w:ascii="Arial" w:eastAsia="Times New Roman" w:hAnsi="Arial" w:cs="Arial"/>
          <w:color w:val="000000"/>
          <w:highlight w:val="yellow"/>
        </w:rPr>
        <w:fldChar w:fldCharType="end"/>
      </w:r>
      <w:r w:rsidR="00F30351">
        <w:rPr>
          <w:rFonts w:ascii="Arial" w:eastAsia="Times New Roman" w:hAnsi="Arial" w:cs="Arial"/>
          <w:color w:val="000000"/>
          <w:highlight w:val="yellow"/>
        </w:rPr>
        <w:t xml:space="preserve"> </w:t>
      </w:r>
      <w:r w:rsidR="002E1915" w:rsidRPr="009761B3">
        <w:rPr>
          <w:rFonts w:ascii="Arial" w:eastAsia="Times New Roman" w:hAnsi="Arial" w:cs="Arial"/>
          <w:color w:val="000000"/>
          <w:highlight w:val="yellow"/>
        </w:rPr>
        <w:t>and was not evaluated in this study.</w:t>
      </w:r>
      <w:r w:rsidR="002E1915" w:rsidRPr="009761B3">
        <w:rPr>
          <w:rFonts w:ascii="Arial" w:eastAsia="Times New Roman" w:hAnsi="Arial" w:cs="Arial"/>
          <w:color w:val="000000"/>
        </w:rPr>
        <w:t xml:space="preserve"> </w:t>
      </w:r>
      <w:r w:rsidR="002F716C" w:rsidRPr="002E1915">
        <w:rPr>
          <w:rFonts w:ascii="Arial" w:eastAsia="Times New Roman" w:hAnsi="Arial" w:cs="Arial"/>
          <w:lang w:val="en-US"/>
        </w:rPr>
        <w:t>T</w:t>
      </w:r>
      <w:r w:rsidR="002F1536" w:rsidRPr="002E1915">
        <w:rPr>
          <w:rFonts w:ascii="Arial" w:eastAsia="Times New Roman" w:hAnsi="Arial" w:cs="Arial"/>
          <w:lang w:val="en-US"/>
        </w:rPr>
        <w:t>he</w:t>
      </w:r>
      <w:r w:rsidR="002F1536" w:rsidRPr="00C50A39">
        <w:rPr>
          <w:rFonts w:ascii="Arial" w:eastAsia="Times New Roman" w:hAnsi="Arial" w:cs="Arial"/>
          <w:lang w:val="en-US"/>
        </w:rPr>
        <w:t xml:space="preserve"> majority of participating parents were mothers</w:t>
      </w:r>
      <w:r w:rsidR="002F716C" w:rsidRPr="00C50A39">
        <w:rPr>
          <w:rFonts w:ascii="Arial" w:eastAsia="Times New Roman" w:hAnsi="Arial" w:cs="Arial"/>
          <w:lang w:val="en-US"/>
        </w:rPr>
        <w:t xml:space="preserve"> and the extent to which</w:t>
      </w:r>
      <w:r w:rsidR="002F1536" w:rsidRPr="00C50A39">
        <w:rPr>
          <w:rFonts w:ascii="Arial" w:eastAsia="Times New Roman" w:hAnsi="Arial" w:cs="Arial"/>
          <w:lang w:val="en-US"/>
        </w:rPr>
        <w:t xml:space="preserve"> </w:t>
      </w:r>
      <w:r w:rsidR="002F716C" w:rsidRPr="00C50A39">
        <w:rPr>
          <w:rFonts w:ascii="Arial" w:eastAsia="Times New Roman" w:hAnsi="Arial" w:cs="Arial"/>
          <w:lang w:val="en-US"/>
        </w:rPr>
        <w:t xml:space="preserve">they shared online material with </w:t>
      </w:r>
      <w:r w:rsidR="002F1536" w:rsidRPr="00C50A39">
        <w:rPr>
          <w:rFonts w:ascii="Arial" w:eastAsia="Times New Roman" w:hAnsi="Arial" w:cs="Arial"/>
          <w:lang w:val="en-US"/>
        </w:rPr>
        <w:t>the</w:t>
      </w:r>
      <w:r w:rsidR="00E455D4" w:rsidRPr="00C50A39">
        <w:rPr>
          <w:rFonts w:ascii="Arial" w:eastAsia="Times New Roman" w:hAnsi="Arial" w:cs="Arial"/>
          <w:lang w:val="en-US"/>
        </w:rPr>
        <w:t>ir spouses</w:t>
      </w:r>
      <w:r w:rsidR="00C00916" w:rsidRPr="00C00916">
        <w:rPr>
          <w:rFonts w:ascii="Arial" w:eastAsia="Times New Roman" w:hAnsi="Arial" w:cs="Arial"/>
          <w:highlight w:val="yellow"/>
          <w:lang w:val="en-US"/>
        </w:rPr>
        <w:t>/partners</w:t>
      </w:r>
      <w:r w:rsidR="00E455D4" w:rsidRPr="00C50A39">
        <w:rPr>
          <w:rFonts w:ascii="Arial" w:eastAsia="Times New Roman" w:hAnsi="Arial" w:cs="Arial"/>
          <w:lang w:val="en-US"/>
        </w:rPr>
        <w:t xml:space="preserve"> </w:t>
      </w:r>
      <w:r w:rsidR="00961EE8" w:rsidRPr="00C50A39">
        <w:rPr>
          <w:rFonts w:ascii="Arial" w:eastAsia="Times New Roman" w:hAnsi="Arial" w:cs="Arial"/>
          <w:lang w:val="en-US"/>
        </w:rPr>
        <w:t>is unknown.</w:t>
      </w:r>
      <w:r w:rsidR="00686350" w:rsidRPr="00C50A39">
        <w:rPr>
          <w:rFonts w:ascii="Arial" w:eastAsia="Times New Roman" w:hAnsi="Arial" w:cs="Arial"/>
          <w:lang w:val="en-US"/>
        </w:rPr>
        <w:t xml:space="preserve"> </w:t>
      </w:r>
    </w:p>
    <w:p w14:paraId="0CF44048" w14:textId="78F1C532" w:rsidR="00F80461" w:rsidRPr="00C50A39" w:rsidRDefault="00792F93" w:rsidP="005D267E">
      <w:pPr>
        <w:spacing w:after="0" w:line="480" w:lineRule="auto"/>
        <w:ind w:firstLine="720"/>
        <w:rPr>
          <w:rFonts w:ascii="Arial" w:hAnsi="Arial" w:cs="Arial"/>
          <w:lang w:val="en-US"/>
        </w:rPr>
      </w:pPr>
      <w:r w:rsidRPr="00C50A39">
        <w:rPr>
          <w:rFonts w:ascii="Arial" w:eastAsia="Times New Roman" w:hAnsi="Arial" w:cs="Arial"/>
          <w:lang w:val="en-US"/>
        </w:rPr>
        <w:t xml:space="preserve">This RCT </w:t>
      </w:r>
      <w:r w:rsidR="006331E6" w:rsidRPr="00C50A39">
        <w:rPr>
          <w:rFonts w:ascii="Arial" w:eastAsia="Times New Roman" w:hAnsi="Arial" w:cs="Arial"/>
          <w:lang w:val="en-US"/>
        </w:rPr>
        <w:t xml:space="preserve">was unique </w:t>
      </w:r>
      <w:r w:rsidR="00AB322C" w:rsidRPr="00C50A39">
        <w:rPr>
          <w:rFonts w:ascii="Arial" w:eastAsia="Times New Roman" w:hAnsi="Arial" w:cs="Arial"/>
          <w:lang w:val="en-US"/>
        </w:rPr>
        <w:t xml:space="preserve">among </w:t>
      </w:r>
      <w:r w:rsidR="00AA743F" w:rsidRPr="00C50A39">
        <w:rPr>
          <w:rFonts w:ascii="Arial" w:eastAsia="Times New Roman" w:hAnsi="Arial" w:cs="Arial"/>
          <w:lang w:val="en-US"/>
        </w:rPr>
        <w:t xml:space="preserve">pediatric pain </w:t>
      </w:r>
      <w:r w:rsidR="00AB322C" w:rsidRPr="00C50A39">
        <w:rPr>
          <w:rFonts w:ascii="Arial" w:eastAsia="Times New Roman" w:hAnsi="Arial" w:cs="Arial"/>
          <w:lang w:val="en-US"/>
        </w:rPr>
        <w:t>RCTs i</w:t>
      </w:r>
      <w:r w:rsidRPr="00C50A39">
        <w:rPr>
          <w:rFonts w:ascii="Arial" w:eastAsia="Times New Roman" w:hAnsi="Arial" w:cs="Arial"/>
          <w:lang w:val="en-US"/>
        </w:rPr>
        <w:t>n that randomization was stratified by pa</w:t>
      </w:r>
      <w:r w:rsidR="008D7028" w:rsidRPr="00C50A39">
        <w:rPr>
          <w:rFonts w:ascii="Arial" w:eastAsia="Times New Roman" w:hAnsi="Arial" w:cs="Arial"/>
          <w:lang w:val="en-US"/>
        </w:rPr>
        <w:t>tient</w:t>
      </w:r>
      <w:r w:rsidRPr="00C50A39">
        <w:rPr>
          <w:rFonts w:ascii="Arial" w:eastAsia="Times New Roman" w:hAnsi="Arial" w:cs="Arial"/>
          <w:lang w:val="en-US"/>
        </w:rPr>
        <w:t xml:space="preserve"> sub</w:t>
      </w:r>
      <w:r w:rsidR="00DA19B7" w:rsidRPr="00C50A39">
        <w:rPr>
          <w:rFonts w:ascii="Arial" w:eastAsia="Times New Roman" w:hAnsi="Arial" w:cs="Arial"/>
          <w:lang w:val="en-US"/>
        </w:rPr>
        <w:t>group</w:t>
      </w:r>
      <w:r w:rsidR="0045509D" w:rsidRPr="00C50A39">
        <w:rPr>
          <w:rFonts w:ascii="Arial" w:eastAsia="Times New Roman" w:hAnsi="Arial" w:cs="Arial"/>
          <w:lang w:val="en-US"/>
        </w:rPr>
        <w:t>, a composite moderator</w:t>
      </w:r>
      <w:r w:rsidR="00283C5F">
        <w:rPr>
          <w:rFonts w:ascii="Arial" w:eastAsia="Times New Roman" w:hAnsi="Arial" w:cs="Arial"/>
          <w:lang w:val="en-US"/>
        </w:rPr>
        <w:t xml:space="preserve"> </w:t>
      </w:r>
      <w:r w:rsidR="00C9428F" w:rsidRPr="00C50A39">
        <w:rPr>
          <w:rFonts w:ascii="Arial" w:eastAsia="Times New Roman" w:hAnsi="Arial" w:cs="Arial"/>
          <w:lang w:val="en-US"/>
        </w:rPr>
        <w:fldChar w:fldCharType="begin"/>
      </w:r>
      <w:r w:rsidR="00F30351">
        <w:rPr>
          <w:rFonts w:ascii="Arial" w:eastAsia="Times New Roman" w:hAnsi="Arial" w:cs="Arial"/>
          <w:lang w:val="en-US"/>
        </w:rPr>
        <w:instrText xml:space="preserve"> ADDIN ZOTERO_ITEM CSL_CITATION {"citationID":"a2i9092alut","properties":{"formattedCitation":"[13,22,40]","plainCitation":"[13,22,40]","noteIndex":0},"citationItems":[{"id":154,"uris":["http://zotero.org/users/7139165/items/WSSDGYR6"],"uri":["http://zotero.org/users/7139165/items/WSSDGYR6"],"itemData":{"id":154,"type":"article-journal","abstract":"No one treatment is likely to affect all patients with a disorder in the same way. A treatment highly effective for some may be ineffective or even harmful for others. Statistically significant or not, the effect sizes of many treatments tend to be small. Consequently, emphasis in clinical research is gradually shifting (1) to increased focus on effect sizes and (2) to discovery and documentation of moderators of treatment effect on outcome in randomized clinical trials, that is, personalized medicine, in which individual differences between patients are explicitly acknowledged. How to test a null hypothesis of moderation of treatment outcome is reasonably well known. The focus here is on how, under parametric assumptions, to define the strength of moderation, that is, a moderator effect size, either for scientific purposes or for assessment of clinical significance, in order to compare moderators and choose among them and to develop a composite moderator, which might more strongly moderate the effect of a treatment on outcome than any single moderator that might ultimately provide guidance for clinicians as to whom to prescribe what treatment. Copyright © 2013 John Wiley &amp; Sons, Ltd.","container-title":"Statistics in Medicine","DOI":"10.1002/sim.5734","ISSN":"1097-0258","issue":"11","language":"en","note":"_eprint: https://onlinelibrary.wiley.com/doi/pdf/10.1002/sim.5734","page":"1964-1973","source":"Wiley Online Library","title":"Discovering, comparing, and combining moderators of treatment on outcome after randomized clinical trials: a parametric approach","title-short":"Discovering, comparing, and combining moderators of treatment on outcome after randomized clinical trials","volume":"32","author":[{"family":"Kraemer","given":"Helena Chmura"}],"issued":{"date-parts":[["2013"]]}}},{"id":179,"uris":["http://zotero.org/users/7139165/items/VNU673PZ"],"uri":["http://zotero.org/users/7139165/items/VNU673PZ"],"itemData":{"id":179,"type":"article-journal","abstract":"There has been increasing recognition of the value of personalized medicine where the most effective treatment is selected based on individual characteristics. This study used a new method to identify a composite moderator of response to evidence-based anxiety treatment (CALM) compared to Usual Care. Eight hundred seventy-six patients diagnosed with one or multiple anxiety disorders were assigned to CALM or Usual Care. Using the method proposed by Kraemer (2013), 35 possible moderators were examined for individual effect sizes then entered into a forward-stepwise regression model predicting differential treatment response. K-fold cross validation was used to identify the number of variables to include in the final moderator. Ten variables were selected for a final composite moderator. The composite moderator effect size (r = .20) was twice as large as the strongest individual moderator effect size (r = .10). Although on average patients benefitted more from CALM, 19% of patients had equal or greater treatment response in Usual Care. The effect size for the CALM intervention increased from d = .34 to d = .54 when accounting for the moderator. Findings support the utility of composite moderators. Results were used to develop a program that allows mental health professionals to prescribe treatment for anxiety based on baseline characteristics (http://anxiety.psych.ucla.edu/treatmatch.html).","container-title":"Behavior Therapy","DOI":"10.1016/j.beth.2017.02.001","ISSN":"1878-1888","issue":"4","journalAbbreviation":"Behav Ther","language":"eng","note":"PMID: 28577585\nPMCID: PMC5458622","page":"490-500","source":"PubMed","title":"Advancing personalized medicine: Application of a novel statistical method to identify treatment moderators in the Coordinated Anxiety Learning and Management Study","title-short":"Advancing Personalized Medicine","volume":"48","author":[{"family":"Niles","given":"Andrea N."},{"family":"Loerinc","given":"Amanda G."},{"family":"Krull","given":"Jennifer L."},{"family":"Roy-Byrne","given":"Peter"},{"family":"Sullivan","given":"Greer"},{"family":"Sherbourne","given":"Cathy D."},{"family":"Bystritsky","given":"Alexander"},{"family":"Craske","given":"Michelle G."}],"issued":{"date-parts":[["2017"]]}}},{"id":216,"uris":["http://zotero.org/users/7139165/items/KJD5P4Z4"],"uri":["http://zotero.org/users/7139165/items/KJD5P4Z4"],"itemData":{"id":216,"type":"article-journal","abstract":"Randomized clinical trials adhere more closely to pre-agreed-on protocols than almost any other type of experiment; yet we can tighten up their analysis if we desire. If we convert the analysis into a randomization analysis—where the one set of data is analyzed many times—once as though each acceptable assignment has been employed, we can eliminate any dependence of the analysis on statistical or probabilistic assumptions. To do this effectively when many assignments could be acceptable, we can go to double randomization, in which a subset, usefully kept balanced, of acceptable assignments is selected (perhaps randomly) before data acquisition. If we have one covariate, adjustment for which answers a question that is at least as appropriate, we can easily build on this. Imperfect covariance adjustments can help almost as much as perfect ones. If it is appropriate to work with many covariate(s), it is often desirable to first construct a (few) compound covariate(s) and then work with it (them). Often we can base the coefficients in our compound covariate on the univariate regressions of response on single covariates. Doing this within each arm of the trial and pooling keeps the fitting of the final adjustment unbiased. Since we can prespecify how the compounds are to be calculated and fitted, we can do all this while retaining rigid prespecification. Prespecification, randomization, and intelligent use of covariates combined to make the resulting significance analysis of platinum standard quality. (If we want confidence statements, as we ordinarily should, it may make sense, for technical reasons, to plan for somewhat less than platinum standard quality.)","container-title":"Controlled Clinical Trials","DOI":"10.1016/0197-2456(93)90225-3","ISSN":"0197-2456","issue":"4","journalAbbreviation":"Controlled Clinical Trials","language":"en","page":"266-285","source":"ScienceDirect","title":"Tightening the clinical trial","volume":"14","author":[{"family":"Tukey","given":"John W."}],"issued":{"date-parts":[["1993",8,1]]}}}],"schema":"https://github.com/citation-style-language/schema/raw/master/csl-citation.json"} </w:instrText>
      </w:r>
      <w:r w:rsidR="00C9428F" w:rsidRPr="00C50A39">
        <w:rPr>
          <w:rFonts w:ascii="Arial" w:eastAsia="Times New Roman" w:hAnsi="Arial" w:cs="Arial"/>
          <w:lang w:val="en-US"/>
        </w:rPr>
        <w:fldChar w:fldCharType="separate"/>
      </w:r>
      <w:r w:rsidR="00F30351" w:rsidRPr="00F30351">
        <w:rPr>
          <w:rFonts w:ascii="Arial" w:hAnsi="Arial" w:cs="Arial"/>
        </w:rPr>
        <w:t>[13,22,40]</w:t>
      </w:r>
      <w:r w:rsidR="00C9428F" w:rsidRPr="00C50A39">
        <w:rPr>
          <w:rFonts w:ascii="Arial" w:eastAsia="Times New Roman" w:hAnsi="Arial" w:cs="Arial"/>
          <w:lang w:val="en-US"/>
        </w:rPr>
        <w:fldChar w:fldCharType="end"/>
      </w:r>
      <w:r w:rsidR="0045509D" w:rsidRPr="00C50A39">
        <w:rPr>
          <w:rFonts w:ascii="Arial" w:eastAsia="Times New Roman" w:hAnsi="Arial" w:cs="Arial"/>
          <w:lang w:val="en-US"/>
        </w:rPr>
        <w:t xml:space="preserve"> representing </w:t>
      </w:r>
      <w:r w:rsidR="00B5212A" w:rsidRPr="00C50A39">
        <w:rPr>
          <w:rFonts w:ascii="Arial" w:eastAsia="Times New Roman" w:hAnsi="Arial" w:cs="Arial"/>
          <w:lang w:val="en-US"/>
        </w:rPr>
        <w:t xml:space="preserve">several </w:t>
      </w:r>
      <w:r w:rsidR="00576DAC" w:rsidRPr="00C50A39">
        <w:rPr>
          <w:rFonts w:ascii="Arial" w:eastAsia="Times New Roman" w:hAnsi="Arial" w:cs="Arial"/>
          <w:lang w:val="en-US"/>
        </w:rPr>
        <w:t xml:space="preserve">pain-related </w:t>
      </w:r>
      <w:r w:rsidR="0045509D" w:rsidRPr="00C50A39">
        <w:rPr>
          <w:rFonts w:ascii="Arial" w:eastAsia="Times New Roman" w:hAnsi="Arial" w:cs="Arial"/>
          <w:lang w:val="en-US"/>
        </w:rPr>
        <w:t xml:space="preserve">psychosocial </w:t>
      </w:r>
      <w:r w:rsidR="00576DAC" w:rsidRPr="00C50A39">
        <w:rPr>
          <w:rFonts w:ascii="Arial" w:eastAsia="Times New Roman" w:hAnsi="Arial" w:cs="Arial"/>
          <w:lang w:val="en-US"/>
        </w:rPr>
        <w:t>factors</w:t>
      </w:r>
      <w:r w:rsidRPr="00C50A39">
        <w:rPr>
          <w:rFonts w:ascii="Arial" w:eastAsia="Times New Roman" w:hAnsi="Arial" w:cs="Arial"/>
          <w:lang w:val="en-US"/>
        </w:rPr>
        <w:t xml:space="preserve">. The </w:t>
      </w:r>
      <w:r w:rsidR="00D45B71" w:rsidRPr="00C50A39">
        <w:rPr>
          <w:rFonts w:ascii="Arial" w:eastAsia="Times New Roman" w:hAnsi="Arial" w:cs="Arial"/>
          <w:lang w:val="en-US"/>
        </w:rPr>
        <w:t xml:space="preserve">observed </w:t>
      </w:r>
      <w:r w:rsidR="0050560C" w:rsidRPr="00C50A39">
        <w:rPr>
          <w:rFonts w:ascii="Arial" w:eastAsia="Times New Roman" w:hAnsi="Arial" w:cs="Arial"/>
          <w:lang w:val="en-US"/>
        </w:rPr>
        <w:t>moderating effect of</w:t>
      </w:r>
      <w:r w:rsidRPr="00C50A39">
        <w:rPr>
          <w:rFonts w:ascii="Arial" w:eastAsia="Times New Roman" w:hAnsi="Arial" w:cs="Arial"/>
          <w:lang w:val="en-US"/>
        </w:rPr>
        <w:t xml:space="preserve"> pa</w:t>
      </w:r>
      <w:r w:rsidR="008D7028" w:rsidRPr="00C50A39">
        <w:rPr>
          <w:rFonts w:ascii="Arial" w:eastAsia="Times New Roman" w:hAnsi="Arial" w:cs="Arial"/>
          <w:lang w:val="en-US"/>
        </w:rPr>
        <w:t>tient</w:t>
      </w:r>
      <w:r w:rsidRPr="00C50A39">
        <w:rPr>
          <w:rFonts w:ascii="Arial" w:eastAsia="Times New Roman" w:hAnsi="Arial" w:cs="Arial"/>
          <w:lang w:val="en-US"/>
        </w:rPr>
        <w:t xml:space="preserve"> sub</w:t>
      </w:r>
      <w:r w:rsidR="00DA19B7" w:rsidRPr="00C50A39">
        <w:rPr>
          <w:rFonts w:ascii="Arial" w:eastAsia="Times New Roman" w:hAnsi="Arial" w:cs="Arial"/>
          <w:lang w:val="en-US"/>
        </w:rPr>
        <w:t>group</w:t>
      </w:r>
      <w:r w:rsidR="0016714B" w:rsidRPr="00C50A39">
        <w:rPr>
          <w:rFonts w:ascii="Arial" w:eastAsia="Times New Roman" w:hAnsi="Arial" w:cs="Arial"/>
          <w:lang w:val="en-US"/>
        </w:rPr>
        <w:t xml:space="preserve"> </w:t>
      </w:r>
      <w:r w:rsidRPr="00C50A39">
        <w:rPr>
          <w:rFonts w:ascii="Arial" w:eastAsia="Times New Roman" w:hAnsi="Arial" w:cs="Arial"/>
          <w:lang w:val="en-US"/>
        </w:rPr>
        <w:t xml:space="preserve">on </w:t>
      </w:r>
      <w:r w:rsidR="0050560C" w:rsidRPr="00C50A39">
        <w:rPr>
          <w:rFonts w:ascii="Arial" w:eastAsia="Times New Roman" w:hAnsi="Arial" w:cs="Arial"/>
          <w:lang w:val="en-US"/>
        </w:rPr>
        <w:t xml:space="preserve">treatment </w:t>
      </w:r>
      <w:r w:rsidRPr="00C50A39">
        <w:rPr>
          <w:rFonts w:ascii="Arial" w:eastAsia="Times New Roman" w:hAnsi="Arial" w:cs="Arial"/>
          <w:lang w:val="en-US"/>
        </w:rPr>
        <w:t xml:space="preserve">outcomes suggests that </w:t>
      </w:r>
      <w:r w:rsidR="0055282C" w:rsidRPr="00C50A39">
        <w:rPr>
          <w:rFonts w:ascii="Arial" w:eastAsia="Times New Roman" w:hAnsi="Arial" w:cs="Arial"/>
          <w:lang w:val="en-US"/>
        </w:rPr>
        <w:t>sub</w:t>
      </w:r>
      <w:r w:rsidR="00DA19B7" w:rsidRPr="00C50A39">
        <w:rPr>
          <w:rFonts w:ascii="Arial" w:eastAsia="Times New Roman" w:hAnsi="Arial" w:cs="Arial"/>
          <w:lang w:val="en-US"/>
        </w:rPr>
        <w:t>grou</w:t>
      </w:r>
      <w:r w:rsidR="0055282C" w:rsidRPr="00C50A39">
        <w:rPr>
          <w:rFonts w:ascii="Arial" w:eastAsia="Times New Roman" w:hAnsi="Arial" w:cs="Arial"/>
          <w:lang w:val="en-US"/>
        </w:rPr>
        <w:t xml:space="preserve">ping </w:t>
      </w:r>
      <w:r w:rsidR="009D0F34" w:rsidRPr="00C50A39">
        <w:rPr>
          <w:rFonts w:ascii="Arial" w:eastAsia="Times New Roman" w:hAnsi="Arial" w:cs="Arial"/>
          <w:lang w:val="en-US"/>
        </w:rPr>
        <w:t xml:space="preserve">may inform treatment allocation and optimize treatment response, and </w:t>
      </w:r>
      <w:r w:rsidRPr="00C50A39">
        <w:rPr>
          <w:rFonts w:ascii="Arial" w:eastAsia="Times New Roman" w:hAnsi="Arial" w:cs="Arial"/>
          <w:lang w:val="en-US"/>
        </w:rPr>
        <w:t xml:space="preserve">merits further </w:t>
      </w:r>
      <w:r w:rsidR="0055282C" w:rsidRPr="00C50A39">
        <w:rPr>
          <w:rFonts w:ascii="Arial" w:eastAsia="Times New Roman" w:hAnsi="Arial" w:cs="Arial"/>
          <w:lang w:val="en-US"/>
        </w:rPr>
        <w:t>attention in pediatric pain</w:t>
      </w:r>
      <w:r w:rsidR="00512E9F" w:rsidRPr="00C50A39">
        <w:rPr>
          <w:rFonts w:ascii="Arial" w:eastAsia="Times New Roman" w:hAnsi="Arial" w:cs="Arial"/>
          <w:lang w:val="en-US"/>
        </w:rPr>
        <w:t xml:space="preserve"> research</w:t>
      </w:r>
      <w:r w:rsidRPr="00C50A39">
        <w:rPr>
          <w:rFonts w:ascii="Arial" w:eastAsia="Times New Roman" w:hAnsi="Arial" w:cs="Arial"/>
          <w:lang w:val="en-US"/>
        </w:rPr>
        <w:t>.</w:t>
      </w:r>
      <w:r w:rsidR="00055620">
        <w:rPr>
          <w:rFonts w:ascii="Arial" w:eastAsia="Times New Roman" w:hAnsi="Arial" w:cs="Arial"/>
          <w:lang w:val="en-US"/>
        </w:rPr>
        <w:t xml:space="preserve"> </w:t>
      </w:r>
      <w:r w:rsidR="00184F36" w:rsidRPr="00C50A39">
        <w:rPr>
          <w:rFonts w:ascii="Arial" w:eastAsia="Times New Roman" w:hAnsi="Arial" w:cs="Arial"/>
          <w:lang w:val="en-US"/>
        </w:rPr>
        <w:t>I</w:t>
      </w:r>
      <w:r w:rsidRPr="00C50A39">
        <w:rPr>
          <w:rFonts w:ascii="Arial" w:eastAsia="Times New Roman" w:hAnsi="Arial" w:cs="Arial"/>
          <w:lang w:val="en-US"/>
        </w:rPr>
        <w:t xml:space="preserve">mportant </w:t>
      </w:r>
      <w:r w:rsidR="00512E9F" w:rsidRPr="00C50A39">
        <w:rPr>
          <w:rFonts w:ascii="Arial" w:eastAsia="Times New Roman" w:hAnsi="Arial" w:cs="Arial"/>
          <w:lang w:val="en-US"/>
        </w:rPr>
        <w:t xml:space="preserve">unanswered </w:t>
      </w:r>
      <w:r w:rsidRPr="00C50A39">
        <w:rPr>
          <w:rFonts w:ascii="Arial" w:eastAsia="Times New Roman" w:hAnsi="Arial" w:cs="Arial"/>
          <w:lang w:val="en-US"/>
        </w:rPr>
        <w:t>question</w:t>
      </w:r>
      <w:r w:rsidR="00184F36" w:rsidRPr="00C50A39">
        <w:rPr>
          <w:rFonts w:ascii="Arial" w:eastAsia="Times New Roman" w:hAnsi="Arial" w:cs="Arial"/>
          <w:lang w:val="en-US"/>
        </w:rPr>
        <w:t>s are</w:t>
      </w:r>
      <w:r w:rsidRPr="00C50A39">
        <w:rPr>
          <w:rFonts w:ascii="Arial" w:eastAsia="Times New Roman" w:hAnsi="Arial" w:cs="Arial"/>
          <w:lang w:val="en-US"/>
        </w:rPr>
        <w:t xml:space="preserve"> whether the </w:t>
      </w:r>
      <w:r w:rsidR="00621FA1" w:rsidRPr="00C50A39">
        <w:rPr>
          <w:rFonts w:ascii="Arial" w:eastAsia="Times New Roman" w:hAnsi="Arial" w:cs="Arial"/>
          <w:lang w:val="en-US"/>
        </w:rPr>
        <w:t xml:space="preserve">FAP </w:t>
      </w:r>
      <w:r w:rsidRPr="00C50A39">
        <w:rPr>
          <w:rFonts w:ascii="Arial" w:eastAsia="Times New Roman" w:hAnsi="Arial" w:cs="Arial"/>
          <w:lang w:val="en-US"/>
        </w:rPr>
        <w:t>pa</w:t>
      </w:r>
      <w:r w:rsidR="008D7028" w:rsidRPr="00C50A39">
        <w:rPr>
          <w:rFonts w:ascii="Arial" w:eastAsia="Times New Roman" w:hAnsi="Arial" w:cs="Arial"/>
          <w:lang w:val="en-US"/>
        </w:rPr>
        <w:t xml:space="preserve">tient </w:t>
      </w:r>
      <w:r w:rsidRPr="00C50A39">
        <w:rPr>
          <w:rFonts w:ascii="Arial" w:eastAsia="Times New Roman" w:hAnsi="Arial" w:cs="Arial"/>
          <w:lang w:val="en-US"/>
        </w:rPr>
        <w:t>sub</w:t>
      </w:r>
      <w:r w:rsidR="00DA19B7" w:rsidRPr="00C50A39">
        <w:rPr>
          <w:rFonts w:ascii="Arial" w:eastAsia="Times New Roman" w:hAnsi="Arial" w:cs="Arial"/>
          <w:lang w:val="en-US"/>
        </w:rPr>
        <w:t>group</w:t>
      </w:r>
      <w:r w:rsidR="00621FA1" w:rsidRPr="00C50A39">
        <w:rPr>
          <w:rFonts w:ascii="Arial" w:eastAsia="Times New Roman" w:hAnsi="Arial" w:cs="Arial"/>
          <w:lang w:val="en-US"/>
        </w:rPr>
        <w:t xml:space="preserve"> classification</w:t>
      </w:r>
      <w:r w:rsidRPr="00C50A39">
        <w:rPr>
          <w:rFonts w:ascii="Arial" w:eastAsia="Times New Roman" w:hAnsi="Arial" w:cs="Arial"/>
          <w:lang w:val="en-US"/>
        </w:rPr>
        <w:t xml:space="preserve"> </w:t>
      </w:r>
      <w:r w:rsidR="00184F36" w:rsidRPr="00C50A39">
        <w:rPr>
          <w:rFonts w:ascii="Arial" w:eastAsia="Times New Roman" w:hAnsi="Arial" w:cs="Arial"/>
          <w:lang w:val="en-US"/>
        </w:rPr>
        <w:t>characterize</w:t>
      </w:r>
      <w:r w:rsidR="00621FA1" w:rsidRPr="00C50A39">
        <w:rPr>
          <w:rFonts w:ascii="Arial" w:eastAsia="Times New Roman" w:hAnsi="Arial" w:cs="Arial"/>
          <w:lang w:val="en-US"/>
        </w:rPr>
        <w:t>s</w:t>
      </w:r>
      <w:r w:rsidRPr="00C50A39">
        <w:rPr>
          <w:rFonts w:ascii="Arial" w:eastAsia="Times New Roman" w:hAnsi="Arial" w:cs="Arial"/>
          <w:lang w:val="en-US"/>
        </w:rPr>
        <w:t xml:space="preserve"> other pediatric pain conditions</w:t>
      </w:r>
      <w:r w:rsidR="00184F36" w:rsidRPr="00C50A39">
        <w:rPr>
          <w:rFonts w:ascii="Arial" w:eastAsia="Times New Roman" w:hAnsi="Arial" w:cs="Arial"/>
          <w:lang w:val="en-US"/>
        </w:rPr>
        <w:t xml:space="preserve"> </w:t>
      </w:r>
      <w:r w:rsidR="0055282C" w:rsidRPr="00C50A39">
        <w:rPr>
          <w:rFonts w:ascii="Arial" w:eastAsia="Times New Roman" w:hAnsi="Arial" w:cs="Arial"/>
          <w:lang w:val="en-US"/>
        </w:rPr>
        <w:t xml:space="preserve">and </w:t>
      </w:r>
      <w:r w:rsidR="00184F36" w:rsidRPr="00C50A39">
        <w:rPr>
          <w:rFonts w:ascii="Arial" w:eastAsia="Times New Roman" w:hAnsi="Arial" w:cs="Arial"/>
          <w:lang w:val="en-US"/>
        </w:rPr>
        <w:t xml:space="preserve">whether </w:t>
      </w:r>
      <w:r w:rsidR="00621FA1" w:rsidRPr="00C50A39">
        <w:rPr>
          <w:rFonts w:ascii="Arial" w:eastAsia="Times New Roman" w:hAnsi="Arial" w:cs="Arial"/>
          <w:lang w:val="en-US"/>
        </w:rPr>
        <w:t>it</w:t>
      </w:r>
      <w:r w:rsidR="0055282C" w:rsidRPr="00C50A39">
        <w:rPr>
          <w:rFonts w:ascii="Arial" w:eastAsia="Times New Roman" w:hAnsi="Arial" w:cs="Arial"/>
          <w:lang w:val="en-US"/>
        </w:rPr>
        <w:t xml:space="preserve"> </w:t>
      </w:r>
      <w:r w:rsidR="00184F36" w:rsidRPr="00C50A39">
        <w:rPr>
          <w:rFonts w:ascii="Arial" w:eastAsia="Times New Roman" w:hAnsi="Arial" w:cs="Arial"/>
          <w:lang w:val="en-US"/>
        </w:rPr>
        <w:t xml:space="preserve">can be </w:t>
      </w:r>
      <w:r w:rsidR="00753D9A" w:rsidRPr="00C50A39">
        <w:rPr>
          <w:rFonts w:ascii="Arial" w:eastAsia="Times New Roman" w:hAnsi="Arial" w:cs="Arial"/>
          <w:lang w:val="en-US"/>
        </w:rPr>
        <w:t>adapted for clinical use</w:t>
      </w:r>
      <w:r w:rsidR="00184F36" w:rsidRPr="00C50A39">
        <w:rPr>
          <w:rFonts w:ascii="Arial" w:eastAsia="Times New Roman" w:hAnsi="Arial" w:cs="Arial"/>
          <w:lang w:val="en-US"/>
        </w:rPr>
        <w:t xml:space="preserve"> to </w:t>
      </w:r>
      <w:r w:rsidR="0050560C" w:rsidRPr="00C50A39">
        <w:rPr>
          <w:rFonts w:ascii="Arial" w:eastAsia="Times New Roman" w:hAnsi="Arial" w:cs="Arial"/>
          <w:lang w:val="en-US"/>
        </w:rPr>
        <w:t>tailor</w:t>
      </w:r>
      <w:r w:rsidR="00184F36" w:rsidRPr="00C50A39">
        <w:rPr>
          <w:rFonts w:ascii="Arial" w:eastAsia="Times New Roman" w:hAnsi="Arial" w:cs="Arial"/>
          <w:lang w:val="en-US"/>
        </w:rPr>
        <w:t xml:space="preserve"> patient</w:t>
      </w:r>
      <w:r w:rsidR="0050560C" w:rsidRPr="00C50A39">
        <w:rPr>
          <w:rFonts w:ascii="Arial" w:eastAsia="Times New Roman" w:hAnsi="Arial" w:cs="Arial"/>
          <w:lang w:val="en-US"/>
        </w:rPr>
        <w:t xml:space="preserve"> </w:t>
      </w:r>
      <w:r w:rsidR="00184F36" w:rsidRPr="00C50A39">
        <w:rPr>
          <w:rFonts w:ascii="Arial" w:eastAsia="Times New Roman" w:hAnsi="Arial" w:cs="Arial"/>
          <w:lang w:val="en-US"/>
        </w:rPr>
        <w:t>treatment</w:t>
      </w:r>
      <w:r w:rsidR="0037352E" w:rsidRPr="00C50A39">
        <w:rPr>
          <w:rFonts w:ascii="Arial" w:eastAsia="Times New Roman" w:hAnsi="Arial" w:cs="Arial"/>
          <w:lang w:val="en-US"/>
        </w:rPr>
        <w:t xml:space="preserve"> </w:t>
      </w:r>
      <w:r w:rsidR="00F80461" w:rsidRPr="00C50A39">
        <w:rPr>
          <w:rFonts w:ascii="Arial" w:eastAsia="Times New Roman" w:hAnsi="Arial" w:cs="Arial"/>
          <w:lang w:val="en-US"/>
        </w:rPr>
        <w:t>and thereby maximize clinical efficacy while reducing treatment costs</w:t>
      </w:r>
      <w:r w:rsidRPr="00C50A39">
        <w:rPr>
          <w:rFonts w:ascii="Arial" w:eastAsia="Times New Roman" w:hAnsi="Arial" w:cs="Arial"/>
          <w:lang w:val="en-US"/>
        </w:rPr>
        <w:t xml:space="preserve">. </w:t>
      </w:r>
      <w:r w:rsidR="000D55B4" w:rsidRPr="009E43BC">
        <w:rPr>
          <w:rFonts w:ascii="Arial" w:eastAsia="Times New Roman" w:hAnsi="Arial" w:cs="Arial"/>
          <w:highlight w:val="yellow"/>
          <w:lang w:val="en-US"/>
        </w:rPr>
        <w:t xml:space="preserve">To </w:t>
      </w:r>
      <w:r w:rsidR="00C75BA2">
        <w:rPr>
          <w:rFonts w:ascii="Arial" w:eastAsia="Times New Roman" w:hAnsi="Arial" w:cs="Arial"/>
          <w:highlight w:val="yellow"/>
          <w:lang w:val="en-US"/>
        </w:rPr>
        <w:t xml:space="preserve">optimize </w:t>
      </w:r>
      <w:r w:rsidR="000D55B4" w:rsidRPr="009E43BC">
        <w:rPr>
          <w:rFonts w:ascii="Arial" w:eastAsia="Times New Roman" w:hAnsi="Arial" w:cs="Arial"/>
          <w:highlight w:val="yellow"/>
          <w:lang w:val="en-US"/>
        </w:rPr>
        <w:t xml:space="preserve">clinical use of our classification algorithm, some of our future work will seek to reduce the </w:t>
      </w:r>
      <w:r w:rsidR="00C75BA2">
        <w:rPr>
          <w:rFonts w:ascii="Arial" w:eastAsia="Times New Roman" w:hAnsi="Arial" w:cs="Arial"/>
          <w:highlight w:val="yellow"/>
          <w:lang w:val="en-US"/>
        </w:rPr>
        <w:t xml:space="preserve">number of components in the </w:t>
      </w:r>
      <w:r w:rsidR="000D55B4" w:rsidRPr="009E43BC">
        <w:rPr>
          <w:rFonts w:ascii="Arial" w:eastAsia="Times New Roman" w:hAnsi="Arial" w:cs="Arial"/>
          <w:highlight w:val="yellow"/>
          <w:lang w:val="en-US"/>
        </w:rPr>
        <w:t>algorithm to identify the most salient items for moderating treatment response.</w:t>
      </w:r>
    </w:p>
    <w:p w14:paraId="1EE6058A" w14:textId="77777777" w:rsidR="00C00519" w:rsidRPr="00C50A39" w:rsidRDefault="00C00519" w:rsidP="00C50A39">
      <w:pPr>
        <w:spacing w:after="0" w:line="480" w:lineRule="auto"/>
        <w:rPr>
          <w:rFonts w:ascii="Arial" w:hAnsi="Arial" w:cs="Arial"/>
          <w:b/>
          <w:bCs/>
          <w:lang w:val="en-US"/>
        </w:rPr>
      </w:pPr>
      <w:r w:rsidRPr="00C50A39">
        <w:rPr>
          <w:rFonts w:ascii="Arial" w:hAnsi="Arial" w:cs="Arial"/>
          <w:b/>
          <w:bCs/>
          <w:lang w:val="en-US"/>
        </w:rPr>
        <w:br w:type="page"/>
      </w:r>
    </w:p>
    <w:p w14:paraId="54D6EF58" w14:textId="77777777" w:rsidR="00C00519" w:rsidRPr="00C50A39" w:rsidRDefault="00C00519" w:rsidP="00C50A39">
      <w:pPr>
        <w:spacing w:after="0" w:line="480" w:lineRule="auto"/>
        <w:jc w:val="center"/>
        <w:rPr>
          <w:rFonts w:ascii="Arial" w:hAnsi="Arial" w:cs="Arial"/>
          <w:b/>
          <w:bCs/>
          <w:lang w:val="en-US"/>
        </w:rPr>
      </w:pPr>
      <w:r w:rsidRPr="00C50A39">
        <w:rPr>
          <w:rFonts w:ascii="Arial" w:hAnsi="Arial" w:cs="Arial"/>
          <w:b/>
          <w:bCs/>
          <w:lang w:val="en-US"/>
        </w:rPr>
        <w:lastRenderedPageBreak/>
        <w:t>Acknowledgements</w:t>
      </w:r>
    </w:p>
    <w:p w14:paraId="25A93ADE" w14:textId="69DFF9F1" w:rsidR="0041097E" w:rsidRDefault="00C00519" w:rsidP="00C50A39">
      <w:pPr>
        <w:spacing w:after="0" w:line="480" w:lineRule="auto"/>
        <w:ind w:right="-288"/>
        <w:rPr>
          <w:rFonts w:ascii="Arial" w:hAnsi="Arial" w:cs="Arial"/>
        </w:rPr>
      </w:pPr>
      <w:r w:rsidRPr="00C50A39">
        <w:rPr>
          <w:rFonts w:ascii="Arial" w:hAnsi="Arial" w:cs="Arial"/>
          <w:b/>
        </w:rPr>
        <w:t>F</w:t>
      </w:r>
      <w:r w:rsidR="0041097E">
        <w:rPr>
          <w:rFonts w:ascii="Arial" w:hAnsi="Arial" w:cs="Arial"/>
          <w:b/>
        </w:rPr>
        <w:t>unding/</w:t>
      </w:r>
      <w:r w:rsidRPr="00C50A39">
        <w:rPr>
          <w:rFonts w:ascii="Arial" w:hAnsi="Arial" w:cs="Arial"/>
          <w:b/>
        </w:rPr>
        <w:t xml:space="preserve">Support: </w:t>
      </w:r>
      <w:r w:rsidRPr="00C50A39">
        <w:rPr>
          <w:rFonts w:ascii="Arial" w:hAnsi="Arial" w:cs="Arial"/>
        </w:rPr>
        <w:t xml:space="preserve">This work was supported by grants from the National Institutes of Health (NIH) R01 HD076983 (PI: Walker), P30 HD15052 (Vanderbilt Kennedy </w:t>
      </w:r>
      <w:proofErr w:type="spellStart"/>
      <w:r w:rsidRPr="00C50A39">
        <w:rPr>
          <w:rFonts w:ascii="Arial" w:hAnsi="Arial" w:cs="Arial"/>
        </w:rPr>
        <w:t>Center</w:t>
      </w:r>
      <w:proofErr w:type="spellEnd"/>
      <w:r w:rsidRPr="00C50A39">
        <w:rPr>
          <w:rFonts w:ascii="Arial" w:hAnsi="Arial" w:cs="Arial"/>
        </w:rPr>
        <w:t xml:space="preserve">), DK058404 (Vanderbilt Digestive Disease Research </w:t>
      </w:r>
      <w:proofErr w:type="spellStart"/>
      <w:r w:rsidRPr="00C50A39">
        <w:rPr>
          <w:rFonts w:ascii="Arial" w:hAnsi="Arial" w:cs="Arial"/>
        </w:rPr>
        <w:t>Center</w:t>
      </w:r>
      <w:proofErr w:type="spellEnd"/>
      <w:r w:rsidRPr="00C50A39">
        <w:rPr>
          <w:rFonts w:ascii="Arial" w:hAnsi="Arial" w:cs="Arial"/>
        </w:rPr>
        <w:t xml:space="preserve">), T32 MH018921 (PI: Garber), and </w:t>
      </w:r>
      <w:bookmarkStart w:id="0" w:name="_Hlk42507592"/>
      <w:r w:rsidRPr="00C50A39">
        <w:rPr>
          <w:rFonts w:ascii="Arial" w:hAnsi="Arial" w:cs="Arial"/>
        </w:rPr>
        <w:t>T32 GM 108554</w:t>
      </w:r>
      <w:bookmarkEnd w:id="0"/>
      <w:r w:rsidRPr="00C50A39">
        <w:rPr>
          <w:rFonts w:ascii="Arial" w:hAnsi="Arial" w:cs="Arial"/>
        </w:rPr>
        <w:t xml:space="preserve"> (A.L.S.). </w:t>
      </w:r>
    </w:p>
    <w:p w14:paraId="54A8F010" w14:textId="0EFA2598" w:rsidR="00C00519" w:rsidRDefault="0041097E" w:rsidP="00C50A39">
      <w:pPr>
        <w:spacing w:after="0" w:line="480" w:lineRule="auto"/>
        <w:ind w:right="-288"/>
        <w:rPr>
          <w:rFonts w:ascii="Arial" w:hAnsi="Arial" w:cs="Arial"/>
        </w:rPr>
      </w:pPr>
      <w:r>
        <w:rPr>
          <w:rFonts w:ascii="Arial" w:hAnsi="Arial" w:cs="Arial"/>
        </w:rPr>
        <w:t>The funders had no role in the design and conduct of the study; collection, management, analysis, and interpretation of the data; preparation, review, or approval of the manuscript; and decision to submit the manuscript for publication</w:t>
      </w:r>
      <w:r w:rsidR="002271F6">
        <w:rPr>
          <w:rFonts w:ascii="Arial" w:hAnsi="Arial" w:cs="Arial"/>
        </w:rPr>
        <w:t xml:space="preserve">. </w:t>
      </w:r>
      <w:r w:rsidR="00C00519" w:rsidRPr="00C50A39">
        <w:rPr>
          <w:rFonts w:ascii="Arial" w:hAnsi="Arial" w:cs="Arial"/>
        </w:rPr>
        <w:t>The content is solely the responsibility of th</w:t>
      </w:r>
      <w:r>
        <w:rPr>
          <w:rFonts w:ascii="Arial" w:hAnsi="Arial" w:cs="Arial"/>
        </w:rPr>
        <w:t xml:space="preserve">e authors and does not necessarily represent </w:t>
      </w:r>
      <w:r w:rsidR="00C00519" w:rsidRPr="00C50A39">
        <w:rPr>
          <w:rFonts w:ascii="Arial" w:hAnsi="Arial" w:cs="Arial"/>
        </w:rPr>
        <w:t>the official views of the NIH.</w:t>
      </w:r>
    </w:p>
    <w:p w14:paraId="54030847" w14:textId="77777777" w:rsidR="002271F6" w:rsidRPr="00C50A39" w:rsidRDefault="002271F6" w:rsidP="002271F6">
      <w:pPr>
        <w:spacing w:after="0" w:line="480" w:lineRule="auto"/>
        <w:ind w:right="-288"/>
        <w:rPr>
          <w:rFonts w:ascii="Arial" w:hAnsi="Arial" w:cs="Arial"/>
        </w:rPr>
      </w:pPr>
      <w:r w:rsidRPr="00C50A39">
        <w:rPr>
          <w:rFonts w:ascii="Arial" w:hAnsi="Arial" w:cs="Arial"/>
          <w:b/>
          <w:bCs/>
        </w:rPr>
        <w:t>Conflict of Interest</w:t>
      </w:r>
      <w:r>
        <w:rPr>
          <w:rFonts w:ascii="Arial" w:hAnsi="Arial" w:cs="Arial"/>
          <w:b/>
          <w:bCs/>
        </w:rPr>
        <w:t xml:space="preserve"> Disclosures</w:t>
      </w:r>
      <w:r w:rsidRPr="00C50A39">
        <w:rPr>
          <w:rFonts w:ascii="Arial" w:hAnsi="Arial" w:cs="Arial"/>
          <w:b/>
          <w:bCs/>
        </w:rPr>
        <w:t>:</w:t>
      </w:r>
      <w:r w:rsidRPr="00C50A39">
        <w:rPr>
          <w:rFonts w:ascii="Arial" w:hAnsi="Arial" w:cs="Arial"/>
        </w:rPr>
        <w:t xml:space="preserve"> </w:t>
      </w:r>
      <w:r>
        <w:rPr>
          <w:rFonts w:ascii="Arial" w:hAnsi="Arial" w:cs="Arial"/>
        </w:rPr>
        <w:t>None reported</w:t>
      </w:r>
      <w:r w:rsidRPr="00C50A39">
        <w:rPr>
          <w:rFonts w:ascii="Arial" w:hAnsi="Arial" w:cs="Arial"/>
        </w:rPr>
        <w:t>.</w:t>
      </w:r>
    </w:p>
    <w:p w14:paraId="246F119A" w14:textId="77777777" w:rsidR="002271F6" w:rsidRPr="00C50A39" w:rsidRDefault="002271F6" w:rsidP="00C50A39">
      <w:pPr>
        <w:spacing w:after="0" w:line="480" w:lineRule="auto"/>
        <w:ind w:right="-288"/>
        <w:rPr>
          <w:rFonts w:ascii="Arial" w:hAnsi="Arial" w:cs="Arial"/>
        </w:rPr>
      </w:pPr>
    </w:p>
    <w:p w14:paraId="3CEC3A34" w14:textId="424E671F" w:rsidR="00C00519" w:rsidRPr="00C50A39" w:rsidRDefault="00C00519" w:rsidP="00C50A39">
      <w:pPr>
        <w:spacing w:after="0" w:line="480" w:lineRule="auto"/>
        <w:rPr>
          <w:rFonts w:ascii="Arial" w:hAnsi="Arial" w:cs="Arial"/>
          <w:b/>
          <w:bCs/>
          <w:lang w:val="en-US"/>
        </w:rPr>
      </w:pPr>
      <w:r w:rsidRPr="00C50A39">
        <w:rPr>
          <w:rFonts w:ascii="Arial" w:hAnsi="Arial" w:cs="Arial"/>
          <w:b/>
          <w:bCs/>
          <w:lang w:val="en-US"/>
        </w:rPr>
        <w:br w:type="page"/>
      </w:r>
    </w:p>
    <w:p w14:paraId="44291EBD" w14:textId="2239D670" w:rsidR="00B138B7" w:rsidRPr="00ED5D6F" w:rsidRDefault="0046346B" w:rsidP="00ED5D6F">
      <w:pPr>
        <w:pStyle w:val="Bibliography"/>
        <w:spacing w:after="0" w:line="480" w:lineRule="auto"/>
        <w:jc w:val="center"/>
        <w:rPr>
          <w:rFonts w:ascii="Arial" w:hAnsi="Arial" w:cs="Arial"/>
          <w:b/>
          <w:bCs/>
          <w:lang w:val="en-US"/>
        </w:rPr>
      </w:pPr>
      <w:r w:rsidRPr="00C50A39">
        <w:rPr>
          <w:rFonts w:ascii="Arial" w:hAnsi="Arial" w:cs="Arial"/>
          <w:b/>
          <w:bCs/>
          <w:lang w:val="en-US"/>
        </w:rPr>
        <w:lastRenderedPageBreak/>
        <w:t>References</w:t>
      </w:r>
    </w:p>
    <w:p w14:paraId="21231DDF" w14:textId="77777777" w:rsidR="00F30351" w:rsidRPr="00F30351" w:rsidRDefault="006F51B3" w:rsidP="00F30351">
      <w:pPr>
        <w:pStyle w:val="Bibliography"/>
        <w:rPr>
          <w:rFonts w:ascii="Arial" w:hAnsi="Arial" w:cs="Arial"/>
        </w:rPr>
      </w:pPr>
      <w:r>
        <w:rPr>
          <w:lang w:val="en-US"/>
        </w:rPr>
        <w:fldChar w:fldCharType="begin"/>
      </w:r>
      <w:r w:rsidR="00F30351">
        <w:rPr>
          <w:lang w:val="en-US"/>
        </w:rPr>
        <w:instrText xml:space="preserve"> ADDIN ZOTERO_BIBL {"uncited":[],"omitted":[],"custom":[]} CSL_BIBLIOGRAPHY </w:instrText>
      </w:r>
      <w:r>
        <w:rPr>
          <w:lang w:val="en-US"/>
        </w:rPr>
        <w:fldChar w:fldCharType="separate"/>
      </w:r>
      <w:r w:rsidR="00F30351" w:rsidRPr="00F30351">
        <w:rPr>
          <w:rFonts w:ascii="Arial" w:hAnsi="Arial" w:cs="Arial"/>
        </w:rPr>
        <w:t xml:space="preserve">[1] </w:t>
      </w:r>
      <w:r w:rsidR="00F30351" w:rsidRPr="00F30351">
        <w:rPr>
          <w:rFonts w:ascii="Arial" w:hAnsi="Arial" w:cs="Arial"/>
        </w:rPr>
        <w:tab/>
        <w:t>Abbott RA, Martin AE, Newlove-Delgado TV, Bethel A, Thompson-Coon J, Whear R, Logan S. Psychosocial interventions for recurrent abdominal pain in childhood. Cochrane Database Syst Rev 2017. doi:10.1002/14651858.CD010971.pub2.</w:t>
      </w:r>
    </w:p>
    <w:p w14:paraId="5B3DC216" w14:textId="77777777" w:rsidR="00F30351" w:rsidRPr="00F30351" w:rsidRDefault="00F30351" w:rsidP="00F30351">
      <w:pPr>
        <w:pStyle w:val="Bibliography"/>
        <w:rPr>
          <w:rFonts w:ascii="Arial" w:hAnsi="Arial" w:cs="Arial"/>
        </w:rPr>
      </w:pPr>
      <w:r w:rsidRPr="00F30351">
        <w:rPr>
          <w:rFonts w:ascii="Arial" w:hAnsi="Arial" w:cs="Arial"/>
        </w:rPr>
        <w:t xml:space="preserve">[2] </w:t>
      </w:r>
      <w:r w:rsidRPr="00F30351">
        <w:rPr>
          <w:rFonts w:ascii="Arial" w:hAnsi="Arial" w:cs="Arial"/>
        </w:rPr>
        <w:tab/>
        <w:t>Akaike H. Information Theory and an Extension of the Maximum Likelihood Principle. In: Parzen E, Tanabe K, Kitagawa G, editors. Selected Papers of Hirotugu Akaike. Springer Series in Statistics. New York, NY: Springer, 1998. pp. 199–213. doi:10.1007/978-1-4612-1694-0_15.</w:t>
      </w:r>
    </w:p>
    <w:p w14:paraId="6B4BAA2B" w14:textId="77777777" w:rsidR="00F30351" w:rsidRPr="00F30351" w:rsidRDefault="00F30351" w:rsidP="00F30351">
      <w:pPr>
        <w:pStyle w:val="Bibliography"/>
        <w:rPr>
          <w:rFonts w:ascii="Arial" w:hAnsi="Arial" w:cs="Arial"/>
        </w:rPr>
      </w:pPr>
      <w:r w:rsidRPr="00F30351">
        <w:rPr>
          <w:rFonts w:ascii="Arial" w:hAnsi="Arial" w:cs="Arial"/>
        </w:rPr>
        <w:t xml:space="preserve">[3] </w:t>
      </w:r>
      <w:r w:rsidRPr="00F30351">
        <w:rPr>
          <w:rFonts w:ascii="Arial" w:hAnsi="Arial" w:cs="Arial"/>
        </w:rPr>
        <w:tab/>
        <w:t>Carlbring P, Andersson G, Cuijpers P, Riper H, Hedman-Lagerlöf E. Internet-based vs. face-to-face cognitive behavior therapy for psychiatric and somatic disorders: an updated systematic review and meta-analysis. Cogn Behav Ther 2018;47:1–18.</w:t>
      </w:r>
    </w:p>
    <w:p w14:paraId="50CC2E34" w14:textId="77777777" w:rsidR="00F30351" w:rsidRPr="00F30351" w:rsidRDefault="00F30351" w:rsidP="00F30351">
      <w:pPr>
        <w:pStyle w:val="Bibliography"/>
        <w:rPr>
          <w:rFonts w:ascii="Arial" w:hAnsi="Arial" w:cs="Arial"/>
        </w:rPr>
      </w:pPr>
      <w:r w:rsidRPr="00F30351">
        <w:rPr>
          <w:rFonts w:ascii="Arial" w:hAnsi="Arial" w:cs="Arial"/>
        </w:rPr>
        <w:t xml:space="preserve">[4] </w:t>
      </w:r>
      <w:r w:rsidRPr="00F30351">
        <w:rPr>
          <w:rFonts w:ascii="Arial" w:hAnsi="Arial" w:cs="Arial"/>
        </w:rPr>
        <w:tab/>
        <w:t>Connelly M, Schanberg LE, Ardoin S, Blakley M, Carrasco R, Chira P, Hayward K, Ibarra M, Kimura Y, Kingsbury DJ, Klein-Gitelman MS, Lawson E, Stinson J. Multisite randomized clinical trial evaluating an online self-management program for adolescents with juvenile idiopathic arthritis. J Pediatr Psychol 2019;44:363–374.</w:t>
      </w:r>
    </w:p>
    <w:p w14:paraId="44156106" w14:textId="77777777" w:rsidR="00F30351" w:rsidRPr="00F30351" w:rsidRDefault="00F30351" w:rsidP="00F30351">
      <w:pPr>
        <w:pStyle w:val="Bibliography"/>
        <w:rPr>
          <w:rFonts w:ascii="Arial" w:hAnsi="Arial" w:cs="Arial"/>
        </w:rPr>
      </w:pPr>
      <w:r w:rsidRPr="00F30351">
        <w:rPr>
          <w:rFonts w:ascii="Arial" w:hAnsi="Arial" w:cs="Arial"/>
        </w:rPr>
        <w:t xml:space="preserve">[5] </w:t>
      </w:r>
      <w:r w:rsidRPr="00F30351">
        <w:rPr>
          <w:rFonts w:ascii="Arial" w:hAnsi="Arial" w:cs="Arial"/>
        </w:rPr>
        <w:tab/>
        <w:t>Harris PA, Taylor R, Minor BL, Elliott V, Fernandez M, O’Neal L, McLeod L, Delacqua G, Delacqua F, Kirby J, Duda SN. The REDCap consortium: Building an international community of software platform partners. J Biomed Inform 2019;95:103208.</w:t>
      </w:r>
    </w:p>
    <w:p w14:paraId="0337FEBF" w14:textId="77777777" w:rsidR="00F30351" w:rsidRPr="00F30351" w:rsidRDefault="00F30351" w:rsidP="00F30351">
      <w:pPr>
        <w:pStyle w:val="Bibliography"/>
        <w:rPr>
          <w:rFonts w:ascii="Arial" w:hAnsi="Arial" w:cs="Arial"/>
        </w:rPr>
      </w:pPr>
      <w:r w:rsidRPr="00F30351">
        <w:rPr>
          <w:rFonts w:ascii="Arial" w:hAnsi="Arial" w:cs="Arial"/>
        </w:rPr>
        <w:t xml:space="preserve">[6] </w:t>
      </w:r>
      <w:r w:rsidRPr="00F30351">
        <w:rPr>
          <w:rFonts w:ascii="Arial" w:hAnsi="Arial" w:cs="Arial"/>
        </w:rPr>
        <w:tab/>
        <w:t>Harris PA, Taylor R, Thielke R, Payne J, Gonzalez N, Conde JG. Research electronic data capture (REDCap)—A metadata-driven methodology and workflow process for providing translational research informatics support. J Biomed Inform 2009;42:377–381.</w:t>
      </w:r>
    </w:p>
    <w:p w14:paraId="16349784" w14:textId="77777777" w:rsidR="00F30351" w:rsidRPr="00F30351" w:rsidRDefault="00F30351" w:rsidP="00F30351">
      <w:pPr>
        <w:pStyle w:val="Bibliography"/>
        <w:rPr>
          <w:rFonts w:ascii="Arial" w:hAnsi="Arial" w:cs="Arial"/>
        </w:rPr>
      </w:pPr>
      <w:r w:rsidRPr="00F30351">
        <w:rPr>
          <w:rFonts w:ascii="Arial" w:hAnsi="Arial" w:cs="Arial"/>
        </w:rPr>
        <w:t xml:space="preserve">[7] </w:t>
      </w:r>
      <w:r w:rsidRPr="00F30351">
        <w:rPr>
          <w:rFonts w:ascii="Arial" w:hAnsi="Arial" w:cs="Arial"/>
        </w:rPr>
        <w:tab/>
        <w:t>Hoekman DR, Rutten JMTM, Vlieger AM, Benninga MA, Dijkgraaf MGW. Annual costs of care for pediatric irritable bowel syndrome, functional abdominal pain, and functional abdominal pain syndrome. J Pediatr 2015;167:1103-1108.e2.</w:t>
      </w:r>
    </w:p>
    <w:p w14:paraId="7AA56A49" w14:textId="77777777" w:rsidR="00F30351" w:rsidRPr="00F30351" w:rsidRDefault="00F30351" w:rsidP="00F30351">
      <w:pPr>
        <w:pStyle w:val="Bibliography"/>
        <w:rPr>
          <w:rFonts w:ascii="Arial" w:hAnsi="Arial" w:cs="Arial"/>
        </w:rPr>
      </w:pPr>
      <w:r w:rsidRPr="00F30351">
        <w:rPr>
          <w:rFonts w:ascii="Arial" w:hAnsi="Arial" w:cs="Arial"/>
        </w:rPr>
        <w:t xml:space="preserve">[8] </w:t>
      </w:r>
      <w:r w:rsidRPr="00F30351">
        <w:rPr>
          <w:rFonts w:ascii="Arial" w:hAnsi="Arial" w:cs="Arial"/>
        </w:rPr>
        <w:tab/>
        <w:t>Hyams JS, Di Lorenzo C, Saps M, Shulman RJ, Staiano A, van Tilburg M. Childhood functional gastrointestinal disorders: Child/adolescent. Gastroenterology 2016;150:1456-1468.E2.</w:t>
      </w:r>
    </w:p>
    <w:p w14:paraId="36EB605E" w14:textId="77777777" w:rsidR="00F30351" w:rsidRPr="00F30351" w:rsidRDefault="00F30351" w:rsidP="00F30351">
      <w:pPr>
        <w:pStyle w:val="Bibliography"/>
        <w:rPr>
          <w:rFonts w:ascii="Arial" w:hAnsi="Arial" w:cs="Arial"/>
        </w:rPr>
      </w:pPr>
      <w:r w:rsidRPr="00F30351">
        <w:rPr>
          <w:rFonts w:ascii="Arial" w:hAnsi="Arial" w:cs="Arial"/>
        </w:rPr>
        <w:t xml:space="preserve">[9] </w:t>
      </w:r>
      <w:r w:rsidRPr="00F30351">
        <w:rPr>
          <w:rFonts w:ascii="Arial" w:hAnsi="Arial" w:cs="Arial"/>
        </w:rPr>
        <w:tab/>
        <w:t>Interagency Pain Research Coordinating Committee. Federal Pain Research Strategy. Baltimore, MD: National Institutes of Health, 2017 8–9 pp. Available: https://www.iprcc.nih.gov/sites/default/files/iprcc/FPRS_Research_Recommendations_Final_508C.pdf. Accessed 17 Nov 2020.</w:t>
      </w:r>
    </w:p>
    <w:p w14:paraId="7EDCB4B6" w14:textId="77777777" w:rsidR="00F30351" w:rsidRPr="00F30351" w:rsidRDefault="00F30351" w:rsidP="00F30351">
      <w:pPr>
        <w:pStyle w:val="Bibliography"/>
        <w:rPr>
          <w:rFonts w:ascii="Arial" w:hAnsi="Arial" w:cs="Arial"/>
        </w:rPr>
      </w:pPr>
      <w:r w:rsidRPr="00F30351">
        <w:rPr>
          <w:rFonts w:ascii="Arial" w:hAnsi="Arial" w:cs="Arial"/>
        </w:rPr>
        <w:t xml:space="preserve">[10] </w:t>
      </w:r>
      <w:r w:rsidRPr="00F30351">
        <w:rPr>
          <w:rFonts w:ascii="Arial" w:hAnsi="Arial" w:cs="Arial"/>
        </w:rPr>
        <w:tab/>
        <w:t>Kazdin AE. Acceptability of alternative treatments for deviant child behavior. J Appl Behav Anal 1980;13:259–273.</w:t>
      </w:r>
    </w:p>
    <w:p w14:paraId="740D9DA7" w14:textId="77777777" w:rsidR="00F30351" w:rsidRPr="00F30351" w:rsidRDefault="00F30351" w:rsidP="00F30351">
      <w:pPr>
        <w:pStyle w:val="Bibliography"/>
        <w:rPr>
          <w:rFonts w:ascii="Arial" w:hAnsi="Arial" w:cs="Arial"/>
        </w:rPr>
      </w:pPr>
      <w:r w:rsidRPr="00F30351">
        <w:rPr>
          <w:rFonts w:ascii="Arial" w:hAnsi="Arial" w:cs="Arial"/>
        </w:rPr>
        <w:t xml:space="preserve">[11] </w:t>
      </w:r>
      <w:r w:rsidRPr="00F30351">
        <w:rPr>
          <w:rFonts w:ascii="Arial" w:hAnsi="Arial" w:cs="Arial"/>
        </w:rPr>
        <w:tab/>
        <w:t>Kelley ML, Heffer RW, Gresham FM, Elliott SN. Development of a modified treatment evaluation inventory. J Psychopathol Behav Assess 1989;11:235–247.</w:t>
      </w:r>
    </w:p>
    <w:p w14:paraId="49661377" w14:textId="77777777" w:rsidR="00F30351" w:rsidRPr="00F30351" w:rsidRDefault="00F30351" w:rsidP="00F30351">
      <w:pPr>
        <w:pStyle w:val="Bibliography"/>
        <w:rPr>
          <w:rFonts w:ascii="Arial" w:hAnsi="Arial" w:cs="Arial"/>
        </w:rPr>
      </w:pPr>
      <w:r w:rsidRPr="00F30351">
        <w:rPr>
          <w:rFonts w:ascii="Arial" w:hAnsi="Arial" w:cs="Arial"/>
        </w:rPr>
        <w:t xml:space="preserve">[12] </w:t>
      </w:r>
      <w:r w:rsidRPr="00F30351">
        <w:rPr>
          <w:rFonts w:ascii="Arial" w:hAnsi="Arial" w:cs="Arial"/>
        </w:rPr>
        <w:tab/>
        <w:t>Kovacs M. Children’s depression inventory (CDI). Multi-Health System Toronto, 2003 p.</w:t>
      </w:r>
    </w:p>
    <w:p w14:paraId="6C05A98C" w14:textId="77777777" w:rsidR="00F30351" w:rsidRPr="00F30351" w:rsidRDefault="00F30351" w:rsidP="00F30351">
      <w:pPr>
        <w:pStyle w:val="Bibliography"/>
        <w:rPr>
          <w:rFonts w:ascii="Arial" w:hAnsi="Arial" w:cs="Arial"/>
        </w:rPr>
      </w:pPr>
      <w:r w:rsidRPr="00F30351">
        <w:rPr>
          <w:rFonts w:ascii="Arial" w:hAnsi="Arial" w:cs="Arial"/>
        </w:rPr>
        <w:lastRenderedPageBreak/>
        <w:t xml:space="preserve">[13] </w:t>
      </w:r>
      <w:r w:rsidRPr="00F30351">
        <w:rPr>
          <w:rFonts w:ascii="Arial" w:hAnsi="Arial" w:cs="Arial"/>
        </w:rPr>
        <w:tab/>
        <w:t>Kraemer HC. Discovering, comparing, and combining moderators of treatment on outcome after randomized clinical trials: a parametric approach. Stat Med 2013;32:1964–1973.</w:t>
      </w:r>
    </w:p>
    <w:p w14:paraId="30466096" w14:textId="77777777" w:rsidR="00F30351" w:rsidRPr="00F30351" w:rsidRDefault="00F30351" w:rsidP="00F30351">
      <w:pPr>
        <w:pStyle w:val="Bibliography"/>
        <w:rPr>
          <w:rFonts w:ascii="Arial" w:hAnsi="Arial" w:cs="Arial"/>
        </w:rPr>
      </w:pPr>
      <w:r w:rsidRPr="00F30351">
        <w:rPr>
          <w:rFonts w:ascii="Arial" w:hAnsi="Arial" w:cs="Arial"/>
        </w:rPr>
        <w:t xml:space="preserve">[14] </w:t>
      </w:r>
      <w:r w:rsidRPr="00F30351">
        <w:rPr>
          <w:rFonts w:ascii="Arial" w:hAnsi="Arial" w:cs="Arial"/>
        </w:rPr>
        <w:tab/>
        <w:t>Kraemer HC, Blasey CM. How Many Subjects?: Statistical Power Analysis in Research. Second edition. Los Angeles: SAGE Publications, Inc, 2015 p.</w:t>
      </w:r>
    </w:p>
    <w:p w14:paraId="16F436BB" w14:textId="77777777" w:rsidR="00F30351" w:rsidRPr="00F30351" w:rsidRDefault="00F30351" w:rsidP="00F30351">
      <w:pPr>
        <w:pStyle w:val="Bibliography"/>
        <w:rPr>
          <w:rFonts w:ascii="Arial" w:hAnsi="Arial" w:cs="Arial"/>
        </w:rPr>
      </w:pPr>
      <w:r w:rsidRPr="00F30351">
        <w:rPr>
          <w:rFonts w:ascii="Arial" w:hAnsi="Arial" w:cs="Arial"/>
        </w:rPr>
        <w:t xml:space="preserve">[15] </w:t>
      </w:r>
      <w:r w:rsidRPr="00F30351">
        <w:rPr>
          <w:rFonts w:ascii="Arial" w:hAnsi="Arial" w:cs="Arial"/>
        </w:rPr>
        <w:tab/>
        <w:t>Laird KT, Sherman AL, Smith CA, Walker LS. Validation of the Abdominal Pain Index using a revised scoring method. J Pediatr Psychol 2015;40:517–525.</w:t>
      </w:r>
    </w:p>
    <w:p w14:paraId="31E46E6A" w14:textId="77777777" w:rsidR="00F30351" w:rsidRPr="00F30351" w:rsidRDefault="00F30351" w:rsidP="00F30351">
      <w:pPr>
        <w:pStyle w:val="Bibliography"/>
        <w:rPr>
          <w:rFonts w:ascii="Arial" w:hAnsi="Arial" w:cs="Arial"/>
        </w:rPr>
      </w:pPr>
      <w:r w:rsidRPr="00F30351">
        <w:rPr>
          <w:rFonts w:ascii="Arial" w:hAnsi="Arial" w:cs="Arial"/>
        </w:rPr>
        <w:t xml:space="preserve">[16] </w:t>
      </w:r>
      <w:r w:rsidRPr="00F30351">
        <w:rPr>
          <w:rFonts w:ascii="Arial" w:hAnsi="Arial" w:cs="Arial"/>
        </w:rPr>
        <w:tab/>
        <w:t>Lalouni M, Ljótsson B, Bonnert M, Ssegonja R, Benninga M, Bjureberg J, Högström J, Sahlin H, Simrén M, Feldman I, Hedman-Lagerlöf E, Serlachius E, Olén O. Clinical and cost effectiveness of online cognitive behavioral therapy in children with functional abdominal pain disorders. Clin Gastroenterol Hepatol Off Clin Pract J Am Gastroenterol Assoc 2019;17:2236-2244.e11.</w:t>
      </w:r>
    </w:p>
    <w:p w14:paraId="236CA11E" w14:textId="77777777" w:rsidR="00F30351" w:rsidRPr="00F30351" w:rsidRDefault="00F30351" w:rsidP="00F30351">
      <w:pPr>
        <w:pStyle w:val="Bibliography"/>
        <w:rPr>
          <w:rFonts w:ascii="Arial" w:hAnsi="Arial" w:cs="Arial"/>
        </w:rPr>
      </w:pPr>
      <w:r w:rsidRPr="00F30351">
        <w:rPr>
          <w:rFonts w:ascii="Arial" w:hAnsi="Arial" w:cs="Arial"/>
        </w:rPr>
        <w:t xml:space="preserve">[17] </w:t>
      </w:r>
      <w:r w:rsidRPr="00F30351">
        <w:rPr>
          <w:rFonts w:ascii="Arial" w:hAnsi="Arial" w:cs="Arial"/>
        </w:rPr>
        <w:tab/>
        <w:t>Lenth RV. Least-squares means: The R package lsmeans. J Stat Softw 2016;69:1–33.</w:t>
      </w:r>
    </w:p>
    <w:p w14:paraId="196DAFC0" w14:textId="77777777" w:rsidR="00F30351" w:rsidRPr="00F30351" w:rsidRDefault="00F30351" w:rsidP="00F30351">
      <w:pPr>
        <w:pStyle w:val="Bibliography"/>
        <w:rPr>
          <w:rFonts w:ascii="Arial" w:hAnsi="Arial" w:cs="Arial"/>
        </w:rPr>
      </w:pPr>
      <w:r w:rsidRPr="00F30351">
        <w:rPr>
          <w:rFonts w:ascii="Arial" w:hAnsi="Arial" w:cs="Arial"/>
        </w:rPr>
        <w:t xml:space="preserve">[18] </w:t>
      </w:r>
      <w:r w:rsidRPr="00F30351">
        <w:rPr>
          <w:rFonts w:ascii="Arial" w:hAnsi="Arial" w:cs="Arial"/>
        </w:rPr>
        <w:tab/>
        <w:t>Levy RL, Langer SL, Walker LS, Romano JM, Christie DL, Youssef N, DuPen MM, Feld AD, Ballard SA, Welsh EM, Jeffery RW, Young M, Coffey MJ, Whitehead WE. Cognitive-behavioral therapy for children with functional abdominal pain and their parents decreases pain and other symptoms. Am J Gastroenterol 2010;105:946–956.</w:t>
      </w:r>
    </w:p>
    <w:p w14:paraId="1FFC26E7" w14:textId="77777777" w:rsidR="00F30351" w:rsidRPr="00F30351" w:rsidRDefault="00F30351" w:rsidP="00F30351">
      <w:pPr>
        <w:pStyle w:val="Bibliography"/>
        <w:rPr>
          <w:rFonts w:ascii="Arial" w:hAnsi="Arial" w:cs="Arial"/>
        </w:rPr>
      </w:pPr>
      <w:r w:rsidRPr="00F30351">
        <w:rPr>
          <w:rFonts w:ascii="Arial" w:hAnsi="Arial" w:cs="Arial"/>
        </w:rPr>
        <w:t xml:space="preserve">[19] </w:t>
      </w:r>
      <w:r w:rsidRPr="00F30351">
        <w:rPr>
          <w:rFonts w:ascii="Arial" w:hAnsi="Arial" w:cs="Arial"/>
        </w:rPr>
        <w:tab/>
        <w:t>Levy RL, Whitehead WE, Walker LS, Von Korff M, Feld AD, Garner M, Christie D. Increased somatic complaints and health-care utilization in children: effects of parent IBS status and parent response to gastrointestinal symptoms. Am J Gastroenterol 2004;99:2442–2451.</w:t>
      </w:r>
    </w:p>
    <w:p w14:paraId="276D30B4" w14:textId="77777777" w:rsidR="00F30351" w:rsidRPr="00F30351" w:rsidRDefault="00F30351" w:rsidP="00F30351">
      <w:pPr>
        <w:pStyle w:val="Bibliography"/>
        <w:rPr>
          <w:rFonts w:ascii="Arial" w:hAnsi="Arial" w:cs="Arial"/>
        </w:rPr>
      </w:pPr>
      <w:r w:rsidRPr="00F30351">
        <w:rPr>
          <w:rFonts w:ascii="Arial" w:hAnsi="Arial" w:cs="Arial"/>
        </w:rPr>
        <w:t xml:space="preserve">[20] </w:t>
      </w:r>
      <w:r w:rsidRPr="00F30351">
        <w:rPr>
          <w:rFonts w:ascii="Arial" w:hAnsi="Arial" w:cs="Arial"/>
        </w:rPr>
        <w:tab/>
        <w:t>Murray CB, de la Vega R, Loren DM, Palermo TM. Moderators of Internet-delivered cognitive-behavioral therapy for adolescents with chronic pain: Who benefits from treatment at long-term follow-up? J Pain 2020;21:603–615.</w:t>
      </w:r>
    </w:p>
    <w:p w14:paraId="22F2397E" w14:textId="77777777" w:rsidR="00F30351" w:rsidRPr="00F30351" w:rsidRDefault="00F30351" w:rsidP="00F30351">
      <w:pPr>
        <w:pStyle w:val="Bibliography"/>
        <w:rPr>
          <w:rFonts w:ascii="Arial" w:hAnsi="Arial" w:cs="Arial"/>
        </w:rPr>
      </w:pPr>
      <w:r w:rsidRPr="00F30351">
        <w:rPr>
          <w:rFonts w:ascii="Arial" w:hAnsi="Arial" w:cs="Arial"/>
        </w:rPr>
        <w:t xml:space="preserve">[21] </w:t>
      </w:r>
      <w:r w:rsidRPr="00F30351">
        <w:rPr>
          <w:rFonts w:ascii="Arial" w:hAnsi="Arial" w:cs="Arial"/>
        </w:rPr>
        <w:tab/>
        <w:t>Ng MY, Weisz JR. Building a science of personalized intervention for youth mental health. J Child Psychol Psychiatry 2016;57:216–236.</w:t>
      </w:r>
    </w:p>
    <w:p w14:paraId="419450EB" w14:textId="77777777" w:rsidR="00F30351" w:rsidRPr="00F30351" w:rsidRDefault="00F30351" w:rsidP="00F30351">
      <w:pPr>
        <w:pStyle w:val="Bibliography"/>
        <w:rPr>
          <w:rFonts w:ascii="Arial" w:hAnsi="Arial" w:cs="Arial"/>
        </w:rPr>
      </w:pPr>
      <w:r w:rsidRPr="00F30351">
        <w:rPr>
          <w:rFonts w:ascii="Arial" w:hAnsi="Arial" w:cs="Arial"/>
        </w:rPr>
        <w:t xml:space="preserve">[22] </w:t>
      </w:r>
      <w:r w:rsidRPr="00F30351">
        <w:rPr>
          <w:rFonts w:ascii="Arial" w:hAnsi="Arial" w:cs="Arial"/>
        </w:rPr>
        <w:tab/>
        <w:t>Niles AN, Loerinc AG, Krull JL, Roy-Byrne P, Sullivan G, Sherbourne CD, Bystritsky A, Craske MG. Advancing personalized medicine: Application of a novel statistical method to identify treatment moderators in the Coordinated Anxiety Learning and Management Study. Behav Ther 2017;48:490–500.</w:t>
      </w:r>
    </w:p>
    <w:p w14:paraId="71F11F69" w14:textId="77777777" w:rsidR="00F30351" w:rsidRPr="00F30351" w:rsidRDefault="00F30351" w:rsidP="00F30351">
      <w:pPr>
        <w:pStyle w:val="Bibliography"/>
        <w:rPr>
          <w:rFonts w:ascii="Arial" w:hAnsi="Arial" w:cs="Arial"/>
        </w:rPr>
      </w:pPr>
      <w:r w:rsidRPr="00F30351">
        <w:rPr>
          <w:rFonts w:ascii="Arial" w:hAnsi="Arial" w:cs="Arial"/>
          <w:highlight w:val="yellow"/>
        </w:rPr>
        <w:t xml:space="preserve">[23] </w:t>
      </w:r>
      <w:r w:rsidRPr="00F30351">
        <w:rPr>
          <w:rFonts w:ascii="Arial" w:hAnsi="Arial" w:cs="Arial"/>
          <w:highlight w:val="yellow"/>
        </w:rPr>
        <w:tab/>
        <w:t>Palermo TM, Kashikar-Zuck S, Friedrichsdorf SJ, Powers SW. Special considerations in conducting clinical trials of chronic pain management interventions in children and adolescents and their families: PAIN Rep 2019;4:e649.</w:t>
      </w:r>
    </w:p>
    <w:p w14:paraId="4A4EE964" w14:textId="77777777" w:rsidR="00F30351" w:rsidRPr="00F30351" w:rsidRDefault="00F30351" w:rsidP="00F30351">
      <w:pPr>
        <w:pStyle w:val="Bibliography"/>
        <w:rPr>
          <w:rFonts w:ascii="Arial" w:hAnsi="Arial" w:cs="Arial"/>
        </w:rPr>
      </w:pPr>
      <w:r w:rsidRPr="00F30351">
        <w:rPr>
          <w:rFonts w:ascii="Arial" w:hAnsi="Arial" w:cs="Arial"/>
        </w:rPr>
        <w:t xml:space="preserve">[24] </w:t>
      </w:r>
      <w:r w:rsidRPr="00F30351">
        <w:rPr>
          <w:rFonts w:ascii="Arial" w:hAnsi="Arial" w:cs="Arial"/>
        </w:rPr>
        <w:tab/>
        <w:t>Palermo TM, Law EF, Fales J, Bromberg MH, Jessen-Fiddick T, Tai G. Internet-delivered cognitive-behavioral treatment for adolescents with chronic pain and their parents: a randomized controlled multicenter trial. Pain 2016;157:174–185.</w:t>
      </w:r>
    </w:p>
    <w:p w14:paraId="505C910C" w14:textId="77777777" w:rsidR="00F30351" w:rsidRPr="00F30351" w:rsidRDefault="00F30351" w:rsidP="00F30351">
      <w:pPr>
        <w:pStyle w:val="Bibliography"/>
        <w:rPr>
          <w:rFonts w:ascii="Arial" w:hAnsi="Arial" w:cs="Arial"/>
        </w:rPr>
      </w:pPr>
      <w:r w:rsidRPr="00F30351">
        <w:rPr>
          <w:rFonts w:ascii="Arial" w:hAnsi="Arial" w:cs="Arial"/>
        </w:rPr>
        <w:t xml:space="preserve">[25] </w:t>
      </w:r>
      <w:r w:rsidRPr="00F30351">
        <w:rPr>
          <w:rFonts w:ascii="Arial" w:hAnsi="Arial" w:cs="Arial"/>
        </w:rPr>
        <w:tab/>
        <w:t>Palermo TM, Valrie CR, Karlson CW. Family and parent influences on pediatric chronic pain: a developmental perspective. Am Psychol 2014;69:142–152.</w:t>
      </w:r>
    </w:p>
    <w:p w14:paraId="0A354C89" w14:textId="77777777" w:rsidR="00F30351" w:rsidRPr="00F30351" w:rsidRDefault="00F30351" w:rsidP="00F30351">
      <w:pPr>
        <w:pStyle w:val="Bibliography"/>
        <w:rPr>
          <w:rFonts w:ascii="Arial" w:hAnsi="Arial" w:cs="Arial"/>
        </w:rPr>
      </w:pPr>
      <w:r w:rsidRPr="00F30351">
        <w:rPr>
          <w:rFonts w:ascii="Arial" w:hAnsi="Arial" w:cs="Arial"/>
        </w:rPr>
        <w:lastRenderedPageBreak/>
        <w:t xml:space="preserve">[26] </w:t>
      </w:r>
      <w:r w:rsidRPr="00F30351">
        <w:rPr>
          <w:rFonts w:ascii="Arial" w:hAnsi="Arial" w:cs="Arial"/>
        </w:rPr>
        <w:tab/>
        <w:t>Pinheiro J, Bates D, DebRoy S, Sarkar D, R Core Team. nlme: Linear and Nonlinear Mixed Effects Models. 2020 p. Available: https://CRAN.R-project.org/package=nlme.</w:t>
      </w:r>
    </w:p>
    <w:p w14:paraId="39C5C8B6" w14:textId="77777777" w:rsidR="00F30351" w:rsidRPr="00F30351" w:rsidRDefault="00F30351" w:rsidP="00F30351">
      <w:pPr>
        <w:pStyle w:val="Bibliography"/>
        <w:rPr>
          <w:rFonts w:ascii="Arial" w:hAnsi="Arial" w:cs="Arial"/>
        </w:rPr>
      </w:pPr>
      <w:r w:rsidRPr="00F30351">
        <w:rPr>
          <w:rFonts w:ascii="Arial" w:hAnsi="Arial" w:cs="Arial"/>
        </w:rPr>
        <w:t xml:space="preserve">[27] </w:t>
      </w:r>
      <w:r w:rsidRPr="00F30351">
        <w:rPr>
          <w:rFonts w:ascii="Arial" w:hAnsi="Arial" w:cs="Arial"/>
        </w:rPr>
        <w:tab/>
        <w:t>R Core Team. R: A language and environment for statistical computing. Vienna, Austria: R Foundation for Statistical Computing, 2018 p. Available: https://www.R-project.org/.</w:t>
      </w:r>
    </w:p>
    <w:p w14:paraId="73B1B6A5" w14:textId="77777777" w:rsidR="00F30351" w:rsidRPr="00F30351" w:rsidRDefault="00F30351" w:rsidP="00F30351">
      <w:pPr>
        <w:pStyle w:val="Bibliography"/>
        <w:rPr>
          <w:rFonts w:ascii="Arial" w:hAnsi="Arial" w:cs="Arial"/>
        </w:rPr>
      </w:pPr>
      <w:r w:rsidRPr="00F30351">
        <w:rPr>
          <w:rFonts w:ascii="Arial" w:hAnsi="Arial" w:cs="Arial"/>
        </w:rPr>
        <w:t xml:space="preserve">[28] </w:t>
      </w:r>
      <w:r w:rsidRPr="00F30351">
        <w:rPr>
          <w:rFonts w:ascii="Arial" w:hAnsi="Arial" w:cs="Arial"/>
        </w:rPr>
        <w:tab/>
        <w:t>Raudenbush SW, Bryk AS. Hierarchical linear models: Applications and data analysis methods. 2nd ed. Thousand Oaks: Sage Publications, 2002 p.</w:t>
      </w:r>
    </w:p>
    <w:p w14:paraId="03B8D18E" w14:textId="77777777" w:rsidR="00F30351" w:rsidRPr="00F30351" w:rsidRDefault="00F30351" w:rsidP="00F30351">
      <w:pPr>
        <w:pStyle w:val="Bibliography"/>
        <w:rPr>
          <w:rFonts w:ascii="Arial" w:hAnsi="Arial" w:cs="Arial"/>
        </w:rPr>
      </w:pPr>
      <w:r w:rsidRPr="00F30351">
        <w:rPr>
          <w:rFonts w:ascii="Arial" w:hAnsi="Arial" w:cs="Arial"/>
        </w:rPr>
        <w:t xml:space="preserve">[29] </w:t>
      </w:r>
      <w:r w:rsidRPr="00F30351">
        <w:rPr>
          <w:rFonts w:ascii="Arial" w:hAnsi="Arial" w:cs="Arial"/>
        </w:rPr>
        <w:tab/>
        <w:t>Reed-Knight B, Maddux MH, Deacy AD, Lamparyk K, Stone AL, Mackner L. Brain–gut interactions and maintenance factors in pediatric gastroenterological disorders: Recommendations for clinical care. Clin Pract Pediatr Psychol 2017;5:93–105.</w:t>
      </w:r>
    </w:p>
    <w:p w14:paraId="644BE091" w14:textId="77777777" w:rsidR="00F30351" w:rsidRPr="00F30351" w:rsidRDefault="00F30351" w:rsidP="00F30351">
      <w:pPr>
        <w:pStyle w:val="Bibliography"/>
        <w:rPr>
          <w:rFonts w:ascii="Arial" w:hAnsi="Arial" w:cs="Arial"/>
        </w:rPr>
      </w:pPr>
      <w:r w:rsidRPr="00F30351">
        <w:rPr>
          <w:rFonts w:ascii="Arial" w:hAnsi="Arial" w:cs="Arial"/>
        </w:rPr>
        <w:t xml:space="preserve">[30] </w:t>
      </w:r>
      <w:r w:rsidRPr="00F30351">
        <w:rPr>
          <w:rFonts w:ascii="Arial" w:hAnsi="Arial" w:cs="Arial"/>
        </w:rPr>
        <w:tab/>
        <w:t>Robins H, Perron V, Heathcote L, Simons L. Pain neuroscience education: State of the art and application in pediatrics. Children 2016;3:43.</w:t>
      </w:r>
    </w:p>
    <w:p w14:paraId="4DF30C6B" w14:textId="77777777" w:rsidR="00F30351" w:rsidRPr="00F30351" w:rsidRDefault="00F30351" w:rsidP="00F30351">
      <w:pPr>
        <w:pStyle w:val="Bibliography"/>
        <w:rPr>
          <w:rFonts w:ascii="Arial" w:hAnsi="Arial" w:cs="Arial"/>
        </w:rPr>
      </w:pPr>
      <w:r w:rsidRPr="00F30351">
        <w:rPr>
          <w:rFonts w:ascii="Arial" w:hAnsi="Arial" w:cs="Arial"/>
        </w:rPr>
        <w:t xml:space="preserve">[31] </w:t>
      </w:r>
      <w:r w:rsidRPr="00F30351">
        <w:rPr>
          <w:rFonts w:ascii="Arial" w:hAnsi="Arial" w:cs="Arial"/>
        </w:rPr>
        <w:tab/>
        <w:t>Rouster AS, Karpinski AC, Silver D, Monagas J, Hyman PE. Functional gastrointestinal disorders dominate pediatric gastroenterology outpatient practice. J Pediatr Gastroenterol Nutr 2016;62:847–851.</w:t>
      </w:r>
    </w:p>
    <w:p w14:paraId="00303460" w14:textId="77777777" w:rsidR="00F30351" w:rsidRPr="00F30351" w:rsidRDefault="00F30351" w:rsidP="00F30351">
      <w:pPr>
        <w:pStyle w:val="Bibliography"/>
        <w:rPr>
          <w:rFonts w:ascii="Arial" w:hAnsi="Arial" w:cs="Arial"/>
        </w:rPr>
      </w:pPr>
      <w:r w:rsidRPr="00F30351">
        <w:rPr>
          <w:rFonts w:ascii="Arial" w:hAnsi="Arial" w:cs="Arial"/>
        </w:rPr>
        <w:t xml:space="preserve">[32] </w:t>
      </w:r>
      <w:r w:rsidRPr="00F30351">
        <w:rPr>
          <w:rFonts w:ascii="Arial" w:hAnsi="Arial" w:cs="Arial"/>
        </w:rPr>
        <w:tab/>
        <w:t>Rutten JMTM, Korterink JJ, Venmans LMAJ, Benninga MA, Tabbers MM. Nonpharmacologic treatment of functional abdominal pain disorders: a systematic review. Pediatrics 2015;135:522–535.</w:t>
      </w:r>
    </w:p>
    <w:p w14:paraId="5455EFA3" w14:textId="77777777" w:rsidR="00F30351" w:rsidRPr="00F30351" w:rsidRDefault="00F30351" w:rsidP="00F30351">
      <w:pPr>
        <w:pStyle w:val="Bibliography"/>
        <w:rPr>
          <w:rFonts w:ascii="Arial" w:hAnsi="Arial" w:cs="Arial"/>
        </w:rPr>
      </w:pPr>
      <w:r w:rsidRPr="00F30351">
        <w:rPr>
          <w:rFonts w:ascii="Arial" w:hAnsi="Arial" w:cs="Arial"/>
        </w:rPr>
        <w:t xml:space="preserve">[33] </w:t>
      </w:r>
      <w:r w:rsidRPr="00F30351">
        <w:rPr>
          <w:rFonts w:ascii="Arial" w:hAnsi="Arial" w:cs="Arial"/>
        </w:rPr>
        <w:tab/>
        <w:t>Saps M, Velasco-Benitez CA, Langshaw AH, Ramírez-Hernández CR. Prevalence of functional gastrointestinal disorders in children and adolescents: Comparison between Rome III and Rome IV criteria. J Pediatr 2018;199:212–216.</w:t>
      </w:r>
    </w:p>
    <w:p w14:paraId="7FD712DC" w14:textId="77777777" w:rsidR="00F30351" w:rsidRPr="00F30351" w:rsidRDefault="00F30351" w:rsidP="00F30351">
      <w:pPr>
        <w:pStyle w:val="Bibliography"/>
        <w:rPr>
          <w:rFonts w:ascii="Arial" w:hAnsi="Arial" w:cs="Arial"/>
        </w:rPr>
      </w:pPr>
      <w:r w:rsidRPr="00F30351">
        <w:rPr>
          <w:rFonts w:ascii="Arial" w:hAnsi="Arial" w:cs="Arial"/>
        </w:rPr>
        <w:t xml:space="preserve">[34] </w:t>
      </w:r>
      <w:r w:rsidRPr="00F30351">
        <w:rPr>
          <w:rFonts w:ascii="Arial" w:hAnsi="Arial" w:cs="Arial"/>
        </w:rPr>
        <w:tab/>
        <w:t>Stone AL, Bruehl S, Smith CA, Garber J, Walker LS. Social learning pathways in the relation between parental chronic pain and daily pain severity and functional impairment in adolescents with functional abdominal pain. Pain 2018;159:298–305.</w:t>
      </w:r>
    </w:p>
    <w:p w14:paraId="78FB778E" w14:textId="77777777" w:rsidR="00F30351" w:rsidRPr="00F30351" w:rsidRDefault="00F30351" w:rsidP="00F30351">
      <w:pPr>
        <w:pStyle w:val="Bibliography"/>
        <w:rPr>
          <w:rFonts w:ascii="Arial" w:hAnsi="Arial" w:cs="Arial"/>
        </w:rPr>
      </w:pPr>
      <w:r w:rsidRPr="00F30351">
        <w:rPr>
          <w:rFonts w:ascii="Arial" w:hAnsi="Arial" w:cs="Arial"/>
        </w:rPr>
        <w:t xml:space="preserve">[35] </w:t>
      </w:r>
      <w:r w:rsidRPr="00F30351">
        <w:rPr>
          <w:rFonts w:ascii="Arial" w:hAnsi="Arial" w:cs="Arial"/>
        </w:rPr>
        <w:tab/>
        <w:t>Stone AL, Han GT, Bruehl S, Garber J, Smith CA, Palermo TM, Walker LS. Subgroups of pediatric patients with functional abdominal pain: Replication, parental characteristics, and health service use. Clin J Pain 2020;36:897–906.</w:t>
      </w:r>
    </w:p>
    <w:p w14:paraId="622689AE" w14:textId="77777777" w:rsidR="00F30351" w:rsidRPr="00F30351" w:rsidRDefault="00F30351" w:rsidP="00F30351">
      <w:pPr>
        <w:pStyle w:val="Bibliography"/>
        <w:rPr>
          <w:rFonts w:ascii="Arial" w:hAnsi="Arial" w:cs="Arial"/>
        </w:rPr>
      </w:pPr>
      <w:r w:rsidRPr="00F30351">
        <w:rPr>
          <w:rFonts w:ascii="Arial" w:hAnsi="Arial" w:cs="Arial"/>
        </w:rPr>
        <w:t xml:space="preserve">[36] </w:t>
      </w:r>
      <w:r w:rsidRPr="00F30351">
        <w:rPr>
          <w:rFonts w:ascii="Arial" w:hAnsi="Arial" w:cs="Arial"/>
        </w:rPr>
        <w:tab/>
        <w:t>Stone AL, Walker LS, Heathcote LC, Hernandez JM, Basch MC, Wilson AC, Simons LE. Somatic symptoms in pediatric patients with chronic pain: Proposed clinical reference points for the Children’s Somatic Symptoms Inventory (formerly the Children’s Somatization Inventory). J Pain 2019;20:932–940.</w:t>
      </w:r>
    </w:p>
    <w:p w14:paraId="7B7CC53A" w14:textId="77777777" w:rsidR="00F30351" w:rsidRPr="00F30351" w:rsidRDefault="00F30351" w:rsidP="00F30351">
      <w:pPr>
        <w:pStyle w:val="Bibliography"/>
        <w:rPr>
          <w:rFonts w:ascii="Arial" w:hAnsi="Arial" w:cs="Arial"/>
        </w:rPr>
      </w:pPr>
      <w:r w:rsidRPr="00F30351">
        <w:rPr>
          <w:rFonts w:ascii="Arial" w:hAnsi="Arial" w:cs="Arial"/>
        </w:rPr>
        <w:t xml:space="preserve">[37] </w:t>
      </w:r>
      <w:r w:rsidRPr="00F30351">
        <w:rPr>
          <w:rFonts w:ascii="Arial" w:hAnsi="Arial" w:cs="Arial"/>
        </w:rPr>
        <w:tab/>
        <w:t>Stone AL, Walker LS, Laird KT, Shirkey KC, Smith CA. Pediatric Pain Beliefs Questionnaire: Psychometric properties of the short form. J Pain 2016;17:1036–1044.</w:t>
      </w:r>
    </w:p>
    <w:p w14:paraId="7CA74D49" w14:textId="77777777" w:rsidR="00F30351" w:rsidRPr="00F30351" w:rsidRDefault="00F30351" w:rsidP="00F30351">
      <w:pPr>
        <w:pStyle w:val="Bibliography"/>
        <w:rPr>
          <w:rFonts w:ascii="Arial" w:hAnsi="Arial" w:cs="Arial"/>
        </w:rPr>
      </w:pPr>
      <w:r w:rsidRPr="00F30351">
        <w:rPr>
          <w:rFonts w:ascii="Arial" w:hAnsi="Arial" w:cs="Arial"/>
        </w:rPr>
        <w:t xml:space="preserve">[38] </w:t>
      </w:r>
      <w:r w:rsidRPr="00F30351">
        <w:rPr>
          <w:rFonts w:ascii="Arial" w:hAnsi="Arial" w:cs="Arial"/>
        </w:rPr>
        <w:tab/>
        <w:t>Stone AL, Wilson AC. Transmission of risk from parents with chronic pain to offspring: an integrative conceptual model. Pain 2016;157:2628–2639.</w:t>
      </w:r>
    </w:p>
    <w:p w14:paraId="394CD63E" w14:textId="77777777" w:rsidR="00F30351" w:rsidRPr="00F30351" w:rsidRDefault="00F30351" w:rsidP="00F30351">
      <w:pPr>
        <w:pStyle w:val="Bibliography"/>
        <w:rPr>
          <w:rFonts w:ascii="Arial" w:hAnsi="Arial" w:cs="Arial"/>
        </w:rPr>
      </w:pPr>
      <w:r w:rsidRPr="00F30351">
        <w:rPr>
          <w:rFonts w:ascii="Arial" w:hAnsi="Arial" w:cs="Arial"/>
        </w:rPr>
        <w:t xml:space="preserve">[39] </w:t>
      </w:r>
      <w:r w:rsidRPr="00F30351">
        <w:rPr>
          <w:rFonts w:ascii="Arial" w:hAnsi="Arial" w:cs="Arial"/>
        </w:rPr>
        <w:tab/>
        <w:t>Tsao JC, Meldrum M, Bursch B, Jacob MC, Kim SC, Zeltzer LK. Treatment expectations for CAM interventions in pediatric chronic pain patients and their parents. Evid Based Complement Alternat Med 2005;2.</w:t>
      </w:r>
    </w:p>
    <w:p w14:paraId="53C3D194" w14:textId="77777777" w:rsidR="00F30351" w:rsidRPr="00F30351" w:rsidRDefault="00F30351" w:rsidP="00F30351">
      <w:pPr>
        <w:pStyle w:val="Bibliography"/>
        <w:rPr>
          <w:rFonts w:ascii="Arial" w:hAnsi="Arial" w:cs="Arial"/>
        </w:rPr>
      </w:pPr>
      <w:r w:rsidRPr="00F30351">
        <w:rPr>
          <w:rFonts w:ascii="Arial" w:hAnsi="Arial" w:cs="Arial"/>
        </w:rPr>
        <w:lastRenderedPageBreak/>
        <w:t xml:space="preserve">[40] </w:t>
      </w:r>
      <w:r w:rsidRPr="00F30351">
        <w:rPr>
          <w:rFonts w:ascii="Arial" w:hAnsi="Arial" w:cs="Arial"/>
        </w:rPr>
        <w:tab/>
        <w:t>Tukey JW. Tightening the clinical trial. Control Clin Trials 1993;14:266–285.</w:t>
      </w:r>
    </w:p>
    <w:p w14:paraId="1A4BF86E" w14:textId="77777777" w:rsidR="00F30351" w:rsidRPr="00F30351" w:rsidRDefault="00F30351" w:rsidP="00F30351">
      <w:pPr>
        <w:pStyle w:val="Bibliography"/>
        <w:rPr>
          <w:rFonts w:ascii="Arial" w:hAnsi="Arial" w:cs="Arial"/>
        </w:rPr>
      </w:pPr>
      <w:r w:rsidRPr="00F30351">
        <w:rPr>
          <w:rFonts w:ascii="Arial" w:hAnsi="Arial" w:cs="Arial"/>
        </w:rPr>
        <w:t xml:space="preserve">[41] </w:t>
      </w:r>
      <w:r w:rsidRPr="00F30351">
        <w:rPr>
          <w:rFonts w:ascii="Arial" w:hAnsi="Arial" w:cs="Arial"/>
        </w:rPr>
        <w:tab/>
        <w:t>Van Oudenhove L, Crowell MD, Drossman DA, Halpert AD, Keefer L, Lackner JM, Murphy TB, Naliboff BD, Levy RL. Biopsychosocial aspects of functional gastrointestinal disorders. Gastroenterology 2016.</w:t>
      </w:r>
    </w:p>
    <w:p w14:paraId="6F864962" w14:textId="77777777" w:rsidR="00F30351" w:rsidRPr="00F30351" w:rsidRDefault="00F30351" w:rsidP="00F30351">
      <w:pPr>
        <w:pStyle w:val="Bibliography"/>
        <w:rPr>
          <w:rFonts w:ascii="Arial" w:hAnsi="Arial" w:cs="Arial"/>
        </w:rPr>
      </w:pPr>
      <w:r w:rsidRPr="00F30351">
        <w:rPr>
          <w:rFonts w:ascii="Arial" w:hAnsi="Arial" w:cs="Arial"/>
        </w:rPr>
        <w:t xml:space="preserve">[42] </w:t>
      </w:r>
      <w:r w:rsidRPr="00F30351">
        <w:rPr>
          <w:rFonts w:ascii="Arial" w:hAnsi="Arial" w:cs="Arial"/>
        </w:rPr>
        <w:tab/>
        <w:t>Varni JW, Stucky BD, Thissen D, DeWitt EM, Irwin DE, Lai J-S, Yeatts K, DeWalt DA. PROMIS Pediatric Pain Interference Scale: An item response theory analysis of the pediatric pain item bank. J Pain 2010;11:1109–1119.</w:t>
      </w:r>
    </w:p>
    <w:p w14:paraId="0DBA2200" w14:textId="77777777" w:rsidR="00F30351" w:rsidRPr="00F30351" w:rsidRDefault="00F30351" w:rsidP="00F30351">
      <w:pPr>
        <w:pStyle w:val="Bibliography"/>
        <w:rPr>
          <w:rFonts w:ascii="Arial" w:hAnsi="Arial" w:cs="Arial"/>
        </w:rPr>
      </w:pPr>
      <w:r w:rsidRPr="00F30351">
        <w:rPr>
          <w:rFonts w:ascii="Arial" w:hAnsi="Arial" w:cs="Arial"/>
        </w:rPr>
        <w:t xml:space="preserve">[43] </w:t>
      </w:r>
      <w:r w:rsidRPr="00F30351">
        <w:rPr>
          <w:rFonts w:ascii="Arial" w:hAnsi="Arial" w:cs="Arial"/>
        </w:rPr>
        <w:tab/>
        <w:t>van der Veek SMC, Derkx BHF, Benninga MA, Boer F, de Haan E. Cognitive behavior therapy for pediatric functional abdominal pain: a randomized controlled trial. Pediatrics 2013;132:e1163-1172.</w:t>
      </w:r>
    </w:p>
    <w:p w14:paraId="38B714F8" w14:textId="77777777" w:rsidR="00F30351" w:rsidRPr="00F30351" w:rsidRDefault="00F30351" w:rsidP="00F30351">
      <w:pPr>
        <w:pStyle w:val="Bibliography"/>
        <w:rPr>
          <w:rFonts w:ascii="Arial" w:hAnsi="Arial" w:cs="Arial"/>
        </w:rPr>
      </w:pPr>
      <w:r w:rsidRPr="00F30351">
        <w:rPr>
          <w:rFonts w:ascii="Arial" w:hAnsi="Arial" w:cs="Arial"/>
        </w:rPr>
        <w:t xml:space="preserve">[44] </w:t>
      </w:r>
      <w:r w:rsidRPr="00F30351">
        <w:rPr>
          <w:rFonts w:ascii="Arial" w:hAnsi="Arial" w:cs="Arial"/>
        </w:rPr>
        <w:tab/>
        <w:t>Walker LS, Baber KF, Garber J, Smith CA. A typology of pain coping strategies in pediatric patients with chronic abdominal pain. Pain 2008.</w:t>
      </w:r>
    </w:p>
    <w:p w14:paraId="62AC460F" w14:textId="77777777" w:rsidR="00F30351" w:rsidRPr="00F30351" w:rsidRDefault="00F30351" w:rsidP="00F30351">
      <w:pPr>
        <w:pStyle w:val="Bibliography"/>
        <w:rPr>
          <w:rFonts w:ascii="Arial" w:hAnsi="Arial" w:cs="Arial"/>
        </w:rPr>
      </w:pPr>
      <w:r w:rsidRPr="00F30351">
        <w:rPr>
          <w:rFonts w:ascii="Arial" w:hAnsi="Arial" w:cs="Arial"/>
        </w:rPr>
        <w:t xml:space="preserve">[45] </w:t>
      </w:r>
      <w:r w:rsidRPr="00F30351">
        <w:rPr>
          <w:rFonts w:ascii="Arial" w:hAnsi="Arial" w:cs="Arial"/>
        </w:rPr>
        <w:tab/>
        <w:t>Walker LS, Beck JE, Garber J, Lambert W. Children’s Somatization Inventory: Psychometric properties of the revised form (CSI-24). J Pediatr Psychol 2009;34:430–440.</w:t>
      </w:r>
    </w:p>
    <w:p w14:paraId="060890BC" w14:textId="77777777" w:rsidR="00F30351" w:rsidRPr="00F30351" w:rsidRDefault="00F30351" w:rsidP="00F30351">
      <w:pPr>
        <w:pStyle w:val="Bibliography"/>
        <w:rPr>
          <w:rFonts w:ascii="Arial" w:hAnsi="Arial" w:cs="Arial"/>
        </w:rPr>
      </w:pPr>
      <w:r w:rsidRPr="00F30351">
        <w:rPr>
          <w:rFonts w:ascii="Arial" w:hAnsi="Arial" w:cs="Arial"/>
        </w:rPr>
        <w:t xml:space="preserve">[46] </w:t>
      </w:r>
      <w:r w:rsidRPr="00F30351">
        <w:rPr>
          <w:rFonts w:ascii="Arial" w:hAnsi="Arial" w:cs="Arial"/>
        </w:rPr>
        <w:tab/>
        <w:t>Walker LS, Garber J. Manual for the Children’s Somatic Symptoms Inventory. 2018.</w:t>
      </w:r>
    </w:p>
    <w:p w14:paraId="11A52343" w14:textId="77777777" w:rsidR="00F30351" w:rsidRPr="00F30351" w:rsidRDefault="00F30351" w:rsidP="00F30351">
      <w:pPr>
        <w:pStyle w:val="Bibliography"/>
        <w:rPr>
          <w:rFonts w:ascii="Arial" w:hAnsi="Arial" w:cs="Arial"/>
        </w:rPr>
      </w:pPr>
      <w:r w:rsidRPr="00F30351">
        <w:rPr>
          <w:rFonts w:ascii="Arial" w:hAnsi="Arial" w:cs="Arial"/>
        </w:rPr>
        <w:t xml:space="preserve">[47] </w:t>
      </w:r>
      <w:r w:rsidRPr="00F30351">
        <w:rPr>
          <w:rFonts w:ascii="Arial" w:hAnsi="Arial" w:cs="Arial"/>
        </w:rPr>
        <w:tab/>
        <w:t>Walker LS, Greene JW. The functional disability inventory: measuring a neglected dimension of child health status. J Pediatr Psychol 1991;16:39–58.</w:t>
      </w:r>
    </w:p>
    <w:p w14:paraId="07468634" w14:textId="77777777" w:rsidR="00F30351" w:rsidRPr="00F30351" w:rsidRDefault="00F30351" w:rsidP="00F30351">
      <w:pPr>
        <w:pStyle w:val="Bibliography"/>
        <w:rPr>
          <w:rFonts w:ascii="Arial" w:hAnsi="Arial" w:cs="Arial"/>
        </w:rPr>
      </w:pPr>
      <w:r w:rsidRPr="00F30351">
        <w:rPr>
          <w:rFonts w:ascii="Arial" w:hAnsi="Arial" w:cs="Arial"/>
        </w:rPr>
        <w:t xml:space="preserve">[48] </w:t>
      </w:r>
      <w:r w:rsidRPr="00F30351">
        <w:rPr>
          <w:rFonts w:ascii="Arial" w:hAnsi="Arial" w:cs="Arial"/>
        </w:rPr>
        <w:tab/>
        <w:t>Walker LS, Sherman AL, Bruehl S, Garber J, Smith CA. Functional abdominal pain patient subtypes in childhood predict functional gastrointestinal disorders with chronic pain and psychiatric comorbidities in adolescence and adulthood. Pain 2012;153:1798–1806.</w:t>
      </w:r>
    </w:p>
    <w:p w14:paraId="37972998" w14:textId="77777777" w:rsidR="00F30351" w:rsidRPr="00F30351" w:rsidRDefault="00F30351" w:rsidP="00F30351">
      <w:pPr>
        <w:pStyle w:val="Bibliography"/>
        <w:rPr>
          <w:rFonts w:ascii="Arial" w:hAnsi="Arial" w:cs="Arial"/>
        </w:rPr>
      </w:pPr>
      <w:r w:rsidRPr="00F30351">
        <w:rPr>
          <w:rFonts w:ascii="Arial" w:hAnsi="Arial" w:cs="Arial"/>
        </w:rPr>
        <w:t xml:space="preserve">[49] </w:t>
      </w:r>
      <w:r w:rsidRPr="00F30351">
        <w:rPr>
          <w:rFonts w:ascii="Arial" w:hAnsi="Arial" w:cs="Arial"/>
        </w:rPr>
        <w:tab/>
        <w:t>Walker LS, Williams SE, Smith CA, Garber J, Van Slyke DA, Lipani TA. Parent attention versus distraction: Impact on symptom complaints by children with and without chronic functional abdominal pain. Pain 2006;122:43–52.</w:t>
      </w:r>
    </w:p>
    <w:p w14:paraId="453824D6" w14:textId="173C7ABA" w:rsidR="00D467FB" w:rsidRDefault="006F51B3" w:rsidP="006F51B3">
      <w:pPr>
        <w:spacing w:after="0" w:line="240" w:lineRule="auto"/>
        <w:rPr>
          <w:rFonts w:ascii="Arial" w:eastAsia="Times New Roman" w:hAnsi="Arial" w:cs="Arial"/>
          <w:b/>
          <w:bCs/>
          <w:lang w:val="en-US"/>
        </w:rPr>
      </w:pPr>
      <w:r>
        <w:rPr>
          <w:rFonts w:ascii="Arial" w:eastAsia="Times New Roman" w:hAnsi="Arial" w:cs="Arial"/>
          <w:b/>
          <w:bCs/>
          <w:lang w:val="en-US"/>
        </w:rPr>
        <w:fldChar w:fldCharType="end"/>
      </w:r>
    </w:p>
    <w:p w14:paraId="4C7D90A8" w14:textId="111FEA6D" w:rsidR="006F51B3" w:rsidRDefault="006F51B3">
      <w:pPr>
        <w:rPr>
          <w:rFonts w:ascii="Arial" w:eastAsia="Times New Roman" w:hAnsi="Arial" w:cs="Arial"/>
          <w:b/>
          <w:bCs/>
          <w:lang w:val="en-US"/>
        </w:rPr>
      </w:pPr>
      <w:r>
        <w:rPr>
          <w:rFonts w:ascii="Arial" w:eastAsia="Times New Roman" w:hAnsi="Arial" w:cs="Arial"/>
          <w:b/>
          <w:bCs/>
          <w:lang w:val="en-US"/>
        </w:rPr>
        <w:br w:type="page"/>
      </w:r>
    </w:p>
    <w:p w14:paraId="67037642" w14:textId="77777777" w:rsidR="006F51B3" w:rsidRDefault="006F51B3" w:rsidP="006F51B3">
      <w:pPr>
        <w:spacing w:after="0" w:line="240" w:lineRule="auto"/>
        <w:rPr>
          <w:rFonts w:ascii="Arial" w:eastAsia="Times New Roman" w:hAnsi="Arial" w:cs="Arial"/>
          <w:b/>
          <w:bCs/>
          <w:lang w:val="en-US"/>
        </w:rPr>
      </w:pPr>
    </w:p>
    <w:p w14:paraId="63D41B21" w14:textId="2D80E75A" w:rsidR="004302E8" w:rsidRDefault="004302E8" w:rsidP="004302E8">
      <w:pPr>
        <w:spacing w:after="0" w:line="240" w:lineRule="auto"/>
        <w:jc w:val="center"/>
        <w:rPr>
          <w:rFonts w:ascii="Arial" w:eastAsia="Times New Roman" w:hAnsi="Arial" w:cs="Arial"/>
          <w:b/>
          <w:bCs/>
          <w:lang w:val="en-US"/>
        </w:rPr>
      </w:pPr>
      <w:r>
        <w:rPr>
          <w:rFonts w:ascii="Arial" w:eastAsia="Times New Roman" w:hAnsi="Arial" w:cs="Arial"/>
          <w:b/>
          <w:bCs/>
          <w:lang w:val="en-US"/>
        </w:rPr>
        <w:t>Figure Legends</w:t>
      </w:r>
    </w:p>
    <w:p w14:paraId="5B219C40" w14:textId="77777777" w:rsidR="004302E8" w:rsidRPr="004302E8" w:rsidRDefault="004302E8" w:rsidP="004302E8">
      <w:pPr>
        <w:spacing w:after="0" w:line="240" w:lineRule="auto"/>
        <w:rPr>
          <w:rFonts w:ascii="Arial" w:eastAsia="Times New Roman" w:hAnsi="Arial" w:cs="Arial"/>
          <w:lang w:val="en-US"/>
        </w:rPr>
      </w:pPr>
    </w:p>
    <w:p w14:paraId="3374263B" w14:textId="681D21F9" w:rsidR="004302E8" w:rsidRDefault="004302E8" w:rsidP="004302E8">
      <w:pPr>
        <w:spacing w:after="0" w:line="240" w:lineRule="auto"/>
        <w:rPr>
          <w:rFonts w:ascii="Arial" w:eastAsia="Times New Roman" w:hAnsi="Arial" w:cs="Arial"/>
          <w:lang w:val="en-US"/>
        </w:rPr>
      </w:pPr>
      <w:r w:rsidRPr="00E16FD4">
        <w:rPr>
          <w:rFonts w:ascii="Arial" w:eastAsia="Times New Roman" w:hAnsi="Arial" w:cs="Arial"/>
          <w:b/>
          <w:bCs/>
          <w:lang w:val="en-US"/>
        </w:rPr>
        <w:t>Figure 1.</w:t>
      </w:r>
      <w:r w:rsidRPr="00DE0DDB">
        <w:rPr>
          <w:rFonts w:ascii="Arial" w:eastAsia="Times New Roman" w:hAnsi="Arial" w:cs="Arial"/>
          <w:lang w:val="en-US"/>
        </w:rPr>
        <w:t xml:space="preserve"> CONSORT </w:t>
      </w:r>
      <w:r>
        <w:rPr>
          <w:rFonts w:ascii="Arial" w:eastAsia="Times New Roman" w:hAnsi="Arial" w:cs="Arial"/>
          <w:lang w:val="en-US"/>
        </w:rPr>
        <w:t>f</w:t>
      </w:r>
      <w:r w:rsidRPr="00DE0DDB">
        <w:rPr>
          <w:rFonts w:ascii="Arial" w:eastAsia="Times New Roman" w:hAnsi="Arial" w:cs="Arial"/>
          <w:lang w:val="en-US"/>
        </w:rPr>
        <w:t xml:space="preserve">low </w:t>
      </w:r>
      <w:r>
        <w:rPr>
          <w:rFonts w:ascii="Arial" w:eastAsia="Times New Roman" w:hAnsi="Arial" w:cs="Arial"/>
          <w:lang w:val="en-US"/>
        </w:rPr>
        <w:t>c</w:t>
      </w:r>
      <w:r w:rsidRPr="00DE0DDB">
        <w:rPr>
          <w:rFonts w:ascii="Arial" w:eastAsia="Times New Roman" w:hAnsi="Arial" w:cs="Arial"/>
          <w:lang w:val="en-US"/>
        </w:rPr>
        <w:t>hart</w:t>
      </w:r>
    </w:p>
    <w:p w14:paraId="40AD3B14" w14:textId="50C03E23" w:rsidR="006E0138" w:rsidRDefault="006E0138" w:rsidP="004302E8">
      <w:pPr>
        <w:spacing w:after="0" w:line="240" w:lineRule="auto"/>
        <w:rPr>
          <w:rFonts w:ascii="Arial" w:eastAsia="Times New Roman" w:hAnsi="Arial" w:cs="Arial"/>
          <w:lang w:val="en-US"/>
        </w:rPr>
      </w:pPr>
    </w:p>
    <w:p w14:paraId="7A1CB6AD" w14:textId="6DC21D04" w:rsidR="006E0138" w:rsidRPr="00ED5D6F" w:rsidRDefault="006E0138" w:rsidP="004302E8">
      <w:pPr>
        <w:spacing w:after="0" w:line="240" w:lineRule="auto"/>
        <w:rPr>
          <w:rFonts w:ascii="Arial" w:eastAsia="Times New Roman" w:hAnsi="Arial" w:cs="Arial"/>
          <w:lang w:val="en-US"/>
        </w:rPr>
      </w:pPr>
      <w:r w:rsidRPr="006E0138">
        <w:rPr>
          <w:rFonts w:ascii="Arial" w:eastAsia="Times New Roman" w:hAnsi="Arial" w:cs="Arial"/>
          <w:b/>
          <w:bCs/>
          <w:lang w:val="en-US"/>
        </w:rPr>
        <w:t>Figure 2</w:t>
      </w:r>
      <w:r>
        <w:rPr>
          <w:rFonts w:ascii="Arial" w:eastAsia="Times New Roman" w:hAnsi="Arial" w:cs="Arial"/>
          <w:b/>
          <w:bCs/>
          <w:lang w:val="en-US"/>
        </w:rPr>
        <w:t xml:space="preserve">. </w:t>
      </w:r>
      <w:proofErr w:type="spellStart"/>
      <w:r>
        <w:rPr>
          <w:rFonts w:ascii="Arial" w:eastAsia="Times New Roman" w:hAnsi="Arial" w:cs="Arial"/>
          <w:lang w:val="en-US"/>
        </w:rPr>
        <w:t>WebMAP</w:t>
      </w:r>
      <w:proofErr w:type="spellEnd"/>
      <w:r>
        <w:rPr>
          <w:rFonts w:ascii="Arial" w:eastAsia="Times New Roman" w:hAnsi="Arial" w:cs="Arial"/>
          <w:lang w:val="en-US"/>
        </w:rPr>
        <w:t xml:space="preserve"> treatment components</w:t>
      </w:r>
    </w:p>
    <w:p w14:paraId="09EB7D41" w14:textId="77777777" w:rsidR="004302E8" w:rsidRDefault="004302E8" w:rsidP="004302E8">
      <w:pPr>
        <w:spacing w:after="0" w:line="240" w:lineRule="auto"/>
        <w:rPr>
          <w:rFonts w:ascii="Arial" w:eastAsia="Times New Roman" w:hAnsi="Arial" w:cs="Arial"/>
          <w:lang w:val="en-US"/>
        </w:rPr>
      </w:pPr>
    </w:p>
    <w:p w14:paraId="2A30D598" w14:textId="18962412" w:rsidR="004302E8" w:rsidRPr="00DE0DDB" w:rsidRDefault="004302E8" w:rsidP="004302E8">
      <w:pPr>
        <w:spacing w:after="0" w:line="240" w:lineRule="auto"/>
        <w:rPr>
          <w:rFonts w:ascii="Arial" w:eastAsia="Times New Roman" w:hAnsi="Arial" w:cs="Arial"/>
          <w:lang w:val="en-US"/>
        </w:rPr>
      </w:pPr>
      <w:r w:rsidRPr="00E16FD4">
        <w:rPr>
          <w:rFonts w:ascii="Arial" w:eastAsia="Times New Roman" w:hAnsi="Arial" w:cs="Arial"/>
          <w:b/>
          <w:bCs/>
          <w:lang w:val="en-US"/>
        </w:rPr>
        <w:t xml:space="preserve">Figure </w:t>
      </w:r>
      <w:r w:rsidR="006E0138">
        <w:rPr>
          <w:rFonts w:ascii="Arial" w:eastAsia="Times New Roman" w:hAnsi="Arial" w:cs="Arial"/>
          <w:b/>
          <w:bCs/>
          <w:lang w:val="en-US"/>
        </w:rPr>
        <w:t>3</w:t>
      </w:r>
      <w:r w:rsidRPr="00E16FD4">
        <w:rPr>
          <w:rFonts w:ascii="Arial" w:eastAsia="Times New Roman" w:hAnsi="Arial" w:cs="Arial"/>
          <w:b/>
          <w:bCs/>
          <w:lang w:val="en-US"/>
        </w:rPr>
        <w:t>.</w:t>
      </w:r>
      <w:r w:rsidRPr="00DE0DDB">
        <w:rPr>
          <w:rFonts w:ascii="Arial" w:eastAsia="Times New Roman" w:hAnsi="Arial" w:cs="Arial"/>
          <w:lang w:val="en-US"/>
        </w:rPr>
        <w:t xml:space="preserve"> Effect of treatment on </w:t>
      </w:r>
      <w:r w:rsidR="0037605F">
        <w:rPr>
          <w:rFonts w:ascii="Arial" w:eastAsia="Times New Roman" w:hAnsi="Arial" w:cs="Arial"/>
          <w:lang w:val="en-US"/>
        </w:rPr>
        <w:t>Gastrointestinal (</w:t>
      </w:r>
      <w:r w:rsidRPr="00DE0DDB">
        <w:rPr>
          <w:rFonts w:ascii="Arial" w:eastAsia="Times New Roman" w:hAnsi="Arial" w:cs="Arial"/>
          <w:lang w:val="en-US"/>
        </w:rPr>
        <w:t>GI</w:t>
      </w:r>
      <w:r w:rsidR="0037605F">
        <w:rPr>
          <w:rFonts w:ascii="Arial" w:eastAsia="Times New Roman" w:hAnsi="Arial" w:cs="Arial"/>
          <w:lang w:val="en-US"/>
        </w:rPr>
        <w:t>)</w:t>
      </w:r>
      <w:r w:rsidRPr="00DE0DDB">
        <w:rPr>
          <w:rFonts w:ascii="Arial" w:eastAsia="Times New Roman" w:hAnsi="Arial" w:cs="Arial"/>
          <w:lang w:val="en-US"/>
        </w:rPr>
        <w:t xml:space="preserve"> symptoms (Panel A) and abdominal pain (Panel B) by patient subgroup</w:t>
      </w:r>
    </w:p>
    <w:p w14:paraId="1F10D550" w14:textId="77777777" w:rsidR="004302E8" w:rsidRDefault="004302E8">
      <w:pPr>
        <w:rPr>
          <w:rFonts w:ascii="Arial" w:hAnsi="Arial" w:cs="Arial"/>
          <w:b/>
          <w:bCs/>
        </w:rPr>
      </w:pPr>
      <w:r>
        <w:rPr>
          <w:rFonts w:ascii="Arial" w:hAnsi="Arial" w:cs="Arial"/>
          <w:b/>
          <w:bCs/>
        </w:rPr>
        <w:br w:type="page"/>
      </w:r>
    </w:p>
    <w:p w14:paraId="642CAA0D" w14:textId="42324F16" w:rsidR="0099260E" w:rsidRPr="00DE0DDB" w:rsidRDefault="00C43C24" w:rsidP="00E57C98">
      <w:pPr>
        <w:rPr>
          <w:rFonts w:ascii="Arial" w:hAnsi="Arial" w:cs="Arial"/>
          <w:iCs/>
        </w:rPr>
      </w:pPr>
      <w:r w:rsidRPr="00E16FD4">
        <w:rPr>
          <w:rFonts w:ascii="Arial" w:hAnsi="Arial" w:cs="Arial"/>
          <w:b/>
          <w:bCs/>
        </w:rPr>
        <w:lastRenderedPageBreak/>
        <w:t>Table 1.</w:t>
      </w:r>
      <w:r w:rsidRPr="00DE0DDB">
        <w:rPr>
          <w:rFonts w:ascii="Arial" w:hAnsi="Arial" w:cs="Arial"/>
        </w:rPr>
        <w:t xml:space="preserve"> </w:t>
      </w:r>
      <w:r w:rsidRPr="00DE0DDB">
        <w:rPr>
          <w:rFonts w:ascii="Arial" w:hAnsi="Arial" w:cs="Arial"/>
          <w:iCs/>
        </w:rPr>
        <w:t xml:space="preserve">Demographic </w:t>
      </w:r>
      <w:r w:rsidR="00C0687E" w:rsidRPr="00DE0DDB">
        <w:rPr>
          <w:rFonts w:ascii="Arial" w:hAnsi="Arial" w:cs="Arial"/>
          <w:iCs/>
        </w:rPr>
        <w:t>F</w:t>
      </w:r>
      <w:r w:rsidRPr="00DE0DDB">
        <w:rPr>
          <w:rFonts w:ascii="Arial" w:hAnsi="Arial" w:cs="Arial"/>
          <w:iCs/>
        </w:rPr>
        <w:t xml:space="preserve">actors </w:t>
      </w:r>
      <w:r w:rsidR="00110FAD" w:rsidRPr="00DE0DDB">
        <w:rPr>
          <w:rFonts w:ascii="Arial" w:hAnsi="Arial" w:cs="Arial"/>
          <w:iCs/>
        </w:rPr>
        <w:t xml:space="preserve">and </w:t>
      </w:r>
      <w:r w:rsidR="00C0687E" w:rsidRPr="00DE0DDB">
        <w:rPr>
          <w:rFonts w:ascii="Arial" w:hAnsi="Arial" w:cs="Arial"/>
          <w:iCs/>
        </w:rPr>
        <w:t>C</w:t>
      </w:r>
      <w:r w:rsidR="00110FAD" w:rsidRPr="00DE0DDB">
        <w:rPr>
          <w:rFonts w:ascii="Arial" w:hAnsi="Arial" w:cs="Arial"/>
          <w:iCs/>
        </w:rPr>
        <w:t xml:space="preserve">linical </w:t>
      </w:r>
      <w:r w:rsidR="00C0687E" w:rsidRPr="00DE0DDB">
        <w:rPr>
          <w:rFonts w:ascii="Arial" w:hAnsi="Arial" w:cs="Arial"/>
          <w:iCs/>
        </w:rPr>
        <w:t>C</w:t>
      </w:r>
      <w:r w:rsidR="00110FAD" w:rsidRPr="00DE0DDB">
        <w:rPr>
          <w:rFonts w:ascii="Arial" w:hAnsi="Arial" w:cs="Arial"/>
          <w:iCs/>
        </w:rPr>
        <w:t xml:space="preserve">haracteristics </w:t>
      </w:r>
      <w:r w:rsidRPr="00DE0DDB">
        <w:rPr>
          <w:rFonts w:ascii="Arial" w:hAnsi="Arial" w:cs="Arial"/>
          <w:iCs/>
        </w:rPr>
        <w:t xml:space="preserve">by FAP </w:t>
      </w:r>
      <w:r w:rsidR="00C0687E" w:rsidRPr="00DE0DDB">
        <w:rPr>
          <w:rFonts w:ascii="Arial" w:hAnsi="Arial" w:cs="Arial"/>
          <w:iCs/>
        </w:rPr>
        <w:t>P</w:t>
      </w:r>
      <w:r w:rsidRPr="00DE0DDB">
        <w:rPr>
          <w:rFonts w:ascii="Arial" w:hAnsi="Arial" w:cs="Arial"/>
          <w:iCs/>
        </w:rPr>
        <w:t xml:space="preserve">atient </w:t>
      </w:r>
      <w:r w:rsidR="00C0687E" w:rsidRPr="00DE0DDB">
        <w:rPr>
          <w:rFonts w:ascii="Arial" w:hAnsi="Arial" w:cs="Arial"/>
          <w:iCs/>
        </w:rPr>
        <w:t>S</w:t>
      </w:r>
      <w:r w:rsidRPr="00DE0DDB">
        <w:rPr>
          <w:rFonts w:ascii="Arial" w:hAnsi="Arial" w:cs="Arial"/>
          <w:iCs/>
        </w:rPr>
        <w:t>ubgroup</w:t>
      </w:r>
      <w:r w:rsidR="002525CA" w:rsidRPr="00DE0DDB">
        <w:rPr>
          <w:rFonts w:ascii="Arial" w:hAnsi="Arial" w:cs="Arial"/>
          <w:iCs/>
        </w:rPr>
        <w:t xml:space="preserve"> </w:t>
      </w:r>
    </w:p>
    <w:tbl>
      <w:tblPr>
        <w:tblStyle w:val="TableGrid"/>
        <w:tblpPr w:leftFromText="180" w:rightFromText="180" w:vertAnchor="page" w:horzAnchor="margin" w:tblpY="1921"/>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070"/>
        <w:gridCol w:w="1620"/>
        <w:gridCol w:w="1530"/>
      </w:tblGrid>
      <w:tr w:rsidR="00192A67" w:rsidRPr="00DE0DDB" w:rsidDel="0037359A" w14:paraId="2DCABCA8" w14:textId="77777777" w:rsidTr="00192A67">
        <w:trPr>
          <w:trHeight w:val="648"/>
        </w:trPr>
        <w:tc>
          <w:tcPr>
            <w:tcW w:w="4410" w:type="dxa"/>
            <w:tcBorders>
              <w:top w:val="single" w:sz="4" w:space="0" w:color="auto"/>
              <w:bottom w:val="single" w:sz="4" w:space="0" w:color="auto"/>
            </w:tcBorders>
          </w:tcPr>
          <w:p w14:paraId="4B38D566" w14:textId="77777777" w:rsidR="00192A67" w:rsidRPr="009A7188" w:rsidRDefault="00192A67" w:rsidP="00192A67">
            <w:pPr>
              <w:rPr>
                <w:rFonts w:ascii="Arial" w:hAnsi="Arial" w:cs="Arial"/>
                <w:b/>
                <w:bCs/>
              </w:rPr>
            </w:pPr>
          </w:p>
          <w:p w14:paraId="5E5F8757" w14:textId="77777777" w:rsidR="00192A67" w:rsidRPr="009A7188" w:rsidDel="0037359A" w:rsidRDefault="00192A67" w:rsidP="00192A67">
            <w:pPr>
              <w:rPr>
                <w:rFonts w:ascii="Arial" w:hAnsi="Arial" w:cs="Arial"/>
                <w:b/>
                <w:bCs/>
              </w:rPr>
            </w:pPr>
            <w:r w:rsidRPr="009A7188" w:rsidDel="0037359A">
              <w:rPr>
                <w:rFonts w:ascii="Arial" w:hAnsi="Arial" w:cs="Arial"/>
                <w:b/>
                <w:bCs/>
              </w:rPr>
              <w:t>Demographic Factor</w:t>
            </w:r>
          </w:p>
        </w:tc>
        <w:tc>
          <w:tcPr>
            <w:tcW w:w="2070" w:type="dxa"/>
            <w:tcBorders>
              <w:top w:val="single" w:sz="4" w:space="0" w:color="auto"/>
              <w:bottom w:val="single" w:sz="4" w:space="0" w:color="auto"/>
            </w:tcBorders>
          </w:tcPr>
          <w:p w14:paraId="11D7F3EB" w14:textId="77777777" w:rsidR="00192A67" w:rsidRPr="009A7188" w:rsidDel="0037359A" w:rsidRDefault="00192A67" w:rsidP="00192A67">
            <w:pPr>
              <w:jc w:val="center"/>
              <w:rPr>
                <w:rFonts w:ascii="Arial" w:hAnsi="Arial" w:cs="Arial"/>
                <w:b/>
                <w:bCs/>
              </w:rPr>
            </w:pPr>
            <w:r w:rsidRPr="009A7188" w:rsidDel="0037359A">
              <w:rPr>
                <w:rFonts w:ascii="Arial" w:hAnsi="Arial" w:cs="Arial"/>
                <w:b/>
                <w:bCs/>
              </w:rPr>
              <w:t>High Pain Dysfunctional</w:t>
            </w:r>
          </w:p>
          <w:p w14:paraId="24B533A6" w14:textId="77777777" w:rsidR="00192A67" w:rsidRPr="009A7188" w:rsidDel="0037359A" w:rsidRDefault="00192A67" w:rsidP="00192A67">
            <w:pPr>
              <w:jc w:val="center"/>
              <w:rPr>
                <w:rFonts w:ascii="Arial" w:hAnsi="Arial" w:cs="Arial"/>
                <w:b/>
                <w:bCs/>
              </w:rPr>
            </w:pPr>
            <w:r w:rsidRPr="009A7188" w:rsidDel="0037359A">
              <w:rPr>
                <w:rFonts w:ascii="Arial" w:hAnsi="Arial" w:cs="Arial"/>
                <w:b/>
                <w:bCs/>
              </w:rPr>
              <w:t>(n = 109)</w:t>
            </w:r>
          </w:p>
        </w:tc>
        <w:tc>
          <w:tcPr>
            <w:tcW w:w="1620" w:type="dxa"/>
            <w:tcBorders>
              <w:top w:val="single" w:sz="4" w:space="0" w:color="auto"/>
              <w:bottom w:val="single" w:sz="4" w:space="0" w:color="auto"/>
            </w:tcBorders>
          </w:tcPr>
          <w:p w14:paraId="568B2066" w14:textId="77777777" w:rsidR="00192A67" w:rsidRPr="009A7188" w:rsidDel="0037359A" w:rsidRDefault="00192A67" w:rsidP="00192A67">
            <w:pPr>
              <w:jc w:val="center"/>
              <w:rPr>
                <w:rFonts w:ascii="Arial" w:hAnsi="Arial" w:cs="Arial"/>
                <w:b/>
                <w:bCs/>
              </w:rPr>
            </w:pPr>
            <w:r w:rsidRPr="009A7188" w:rsidDel="0037359A">
              <w:rPr>
                <w:rFonts w:ascii="Arial" w:hAnsi="Arial" w:cs="Arial"/>
                <w:b/>
                <w:bCs/>
              </w:rPr>
              <w:t xml:space="preserve">High Pain Adaptive </w:t>
            </w:r>
          </w:p>
          <w:p w14:paraId="3266D2A1" w14:textId="77777777" w:rsidR="00192A67" w:rsidRPr="009A7188" w:rsidDel="0037359A" w:rsidRDefault="00192A67" w:rsidP="00192A67">
            <w:pPr>
              <w:jc w:val="center"/>
              <w:rPr>
                <w:rFonts w:ascii="Arial" w:hAnsi="Arial" w:cs="Arial"/>
                <w:b/>
                <w:bCs/>
              </w:rPr>
            </w:pPr>
            <w:r w:rsidRPr="009A7188" w:rsidDel="0037359A">
              <w:rPr>
                <w:rFonts w:ascii="Arial" w:hAnsi="Arial" w:cs="Arial"/>
                <w:b/>
                <w:bCs/>
              </w:rPr>
              <w:t>(n = 114)</w:t>
            </w:r>
          </w:p>
        </w:tc>
        <w:tc>
          <w:tcPr>
            <w:tcW w:w="1530" w:type="dxa"/>
            <w:tcBorders>
              <w:top w:val="single" w:sz="4" w:space="0" w:color="auto"/>
              <w:bottom w:val="single" w:sz="4" w:space="0" w:color="auto"/>
            </w:tcBorders>
          </w:tcPr>
          <w:p w14:paraId="2DAB41B5" w14:textId="77777777" w:rsidR="00192A67" w:rsidRPr="009A7188" w:rsidDel="0037359A" w:rsidRDefault="00192A67" w:rsidP="00192A67">
            <w:pPr>
              <w:jc w:val="center"/>
              <w:rPr>
                <w:rFonts w:ascii="Arial" w:hAnsi="Arial" w:cs="Arial"/>
                <w:b/>
                <w:bCs/>
              </w:rPr>
            </w:pPr>
            <w:r w:rsidRPr="009A7188" w:rsidDel="0037359A">
              <w:rPr>
                <w:rFonts w:ascii="Arial" w:hAnsi="Arial" w:cs="Arial"/>
                <w:b/>
                <w:bCs/>
              </w:rPr>
              <w:t>Low Pain Adaptive</w:t>
            </w:r>
          </w:p>
          <w:p w14:paraId="1E0480B7" w14:textId="77777777" w:rsidR="00192A67" w:rsidRPr="009A7188" w:rsidDel="0037359A" w:rsidRDefault="00192A67" w:rsidP="00192A67">
            <w:pPr>
              <w:jc w:val="center"/>
              <w:rPr>
                <w:rFonts w:ascii="Arial" w:hAnsi="Arial" w:cs="Arial"/>
                <w:b/>
                <w:bCs/>
              </w:rPr>
            </w:pPr>
            <w:r w:rsidRPr="009A7188" w:rsidDel="0037359A">
              <w:rPr>
                <w:rFonts w:ascii="Arial" w:hAnsi="Arial" w:cs="Arial"/>
                <w:b/>
                <w:bCs/>
              </w:rPr>
              <w:t>(n = 55)</w:t>
            </w:r>
          </w:p>
        </w:tc>
      </w:tr>
      <w:tr w:rsidR="00192A67" w:rsidRPr="00DE0DDB" w:rsidDel="0037359A" w14:paraId="4DF0EFDC" w14:textId="77777777" w:rsidTr="00192A67">
        <w:trPr>
          <w:trHeight w:val="294"/>
        </w:trPr>
        <w:tc>
          <w:tcPr>
            <w:tcW w:w="4410" w:type="dxa"/>
            <w:tcBorders>
              <w:top w:val="single" w:sz="4" w:space="0" w:color="auto"/>
            </w:tcBorders>
          </w:tcPr>
          <w:p w14:paraId="55B43A25" w14:textId="77777777" w:rsidR="00192A67" w:rsidRPr="00DE0DDB" w:rsidDel="0037359A" w:rsidRDefault="00192A67" w:rsidP="00192A67">
            <w:pPr>
              <w:spacing w:before="120"/>
              <w:rPr>
                <w:rFonts w:ascii="Arial" w:hAnsi="Arial" w:cs="Arial"/>
              </w:rPr>
            </w:pPr>
            <w:r w:rsidRPr="00DE0DDB" w:rsidDel="0037359A">
              <w:rPr>
                <w:rFonts w:ascii="Arial" w:hAnsi="Arial" w:cs="Arial"/>
              </w:rPr>
              <w:t xml:space="preserve">Adolescent Age, </w:t>
            </w:r>
            <w:r w:rsidRPr="00DE0DDB" w:rsidDel="0037359A">
              <w:rPr>
                <w:rFonts w:ascii="Arial" w:hAnsi="Arial" w:cs="Arial"/>
                <w:i/>
              </w:rPr>
              <w:t>M ± SD</w:t>
            </w:r>
          </w:p>
        </w:tc>
        <w:tc>
          <w:tcPr>
            <w:tcW w:w="2070" w:type="dxa"/>
            <w:tcBorders>
              <w:top w:val="single" w:sz="4" w:space="0" w:color="auto"/>
            </w:tcBorders>
          </w:tcPr>
          <w:p w14:paraId="7E27715C" w14:textId="77777777" w:rsidR="00192A67" w:rsidRPr="00DE0DDB" w:rsidDel="0037359A" w:rsidRDefault="00192A67" w:rsidP="00192A67">
            <w:pPr>
              <w:spacing w:before="60"/>
              <w:jc w:val="center"/>
              <w:rPr>
                <w:rFonts w:ascii="Arial" w:hAnsi="Arial" w:cs="Arial"/>
                <w:vertAlign w:val="superscript"/>
              </w:rPr>
            </w:pPr>
            <w:r w:rsidRPr="00DE0DDB" w:rsidDel="0037359A">
              <w:rPr>
                <w:rFonts w:ascii="Arial" w:hAnsi="Arial" w:cs="Arial"/>
              </w:rPr>
              <w:t>15.08 ± 1.89</w:t>
            </w:r>
            <w:r w:rsidRPr="00DE0DDB" w:rsidDel="0037359A">
              <w:rPr>
                <w:rFonts w:ascii="Arial" w:hAnsi="Arial" w:cs="Arial"/>
                <w:vertAlign w:val="superscript"/>
              </w:rPr>
              <w:t>a</w:t>
            </w:r>
          </w:p>
        </w:tc>
        <w:tc>
          <w:tcPr>
            <w:tcW w:w="1620" w:type="dxa"/>
            <w:tcBorders>
              <w:top w:val="single" w:sz="4" w:space="0" w:color="auto"/>
            </w:tcBorders>
          </w:tcPr>
          <w:p w14:paraId="4A34C10B" w14:textId="77777777" w:rsidR="00192A67" w:rsidRPr="00DE0DDB" w:rsidDel="0037359A" w:rsidRDefault="00192A67" w:rsidP="00192A67">
            <w:pPr>
              <w:spacing w:before="60"/>
              <w:jc w:val="center"/>
              <w:rPr>
                <w:rFonts w:ascii="Arial" w:hAnsi="Arial" w:cs="Arial"/>
                <w:vertAlign w:val="superscript"/>
              </w:rPr>
            </w:pPr>
            <w:r w:rsidRPr="00DE0DDB" w:rsidDel="0037359A">
              <w:rPr>
                <w:rFonts w:ascii="Arial" w:hAnsi="Arial" w:cs="Arial"/>
              </w:rPr>
              <w:t>14.48 ± 1.82</w:t>
            </w:r>
            <w:r w:rsidRPr="00DE0DDB" w:rsidDel="0037359A">
              <w:rPr>
                <w:rFonts w:ascii="Arial" w:hAnsi="Arial" w:cs="Arial"/>
                <w:vertAlign w:val="superscript"/>
              </w:rPr>
              <w:t>b</w:t>
            </w:r>
          </w:p>
        </w:tc>
        <w:tc>
          <w:tcPr>
            <w:tcW w:w="1530" w:type="dxa"/>
            <w:tcBorders>
              <w:top w:val="single" w:sz="4" w:space="0" w:color="auto"/>
            </w:tcBorders>
          </w:tcPr>
          <w:p w14:paraId="64DEAF1E" w14:textId="77777777" w:rsidR="00192A67" w:rsidRPr="00DE0DDB" w:rsidDel="0037359A" w:rsidRDefault="00192A67" w:rsidP="00192A67">
            <w:pPr>
              <w:spacing w:before="60"/>
              <w:jc w:val="center"/>
              <w:rPr>
                <w:rFonts w:ascii="Arial" w:hAnsi="Arial" w:cs="Arial"/>
                <w:vertAlign w:val="superscript"/>
              </w:rPr>
            </w:pPr>
            <w:r w:rsidRPr="00DE0DDB" w:rsidDel="0037359A">
              <w:rPr>
                <w:rFonts w:ascii="Arial" w:hAnsi="Arial" w:cs="Arial"/>
              </w:rPr>
              <w:t>14.01 ± 1.79</w:t>
            </w:r>
            <w:r w:rsidRPr="00DE0DDB" w:rsidDel="0037359A">
              <w:rPr>
                <w:rFonts w:ascii="Arial" w:hAnsi="Arial" w:cs="Arial"/>
                <w:vertAlign w:val="superscript"/>
              </w:rPr>
              <w:t>b</w:t>
            </w:r>
          </w:p>
        </w:tc>
      </w:tr>
      <w:tr w:rsidR="00192A67" w:rsidRPr="00DE0DDB" w:rsidDel="0037359A" w14:paraId="37F35EFB" w14:textId="77777777" w:rsidTr="00192A67">
        <w:trPr>
          <w:trHeight w:val="308"/>
        </w:trPr>
        <w:tc>
          <w:tcPr>
            <w:tcW w:w="4410" w:type="dxa"/>
          </w:tcPr>
          <w:p w14:paraId="2F2E9C38" w14:textId="77777777" w:rsidR="00192A67" w:rsidRPr="00DE0DDB" w:rsidDel="0037359A" w:rsidRDefault="00192A67" w:rsidP="00192A67">
            <w:pPr>
              <w:rPr>
                <w:rFonts w:ascii="Arial" w:hAnsi="Arial" w:cs="Arial"/>
              </w:rPr>
            </w:pPr>
            <w:r w:rsidRPr="00DE0DDB" w:rsidDel="0037359A">
              <w:rPr>
                <w:rFonts w:ascii="Arial" w:hAnsi="Arial" w:cs="Arial"/>
              </w:rPr>
              <w:t xml:space="preserve">Adolescent Sex, </w:t>
            </w:r>
            <w:r w:rsidRPr="00DE0DDB" w:rsidDel="0037359A">
              <w:rPr>
                <w:rFonts w:ascii="Arial" w:hAnsi="Arial" w:cs="Arial"/>
                <w:i/>
              </w:rPr>
              <w:t>% (n)</w:t>
            </w:r>
          </w:p>
        </w:tc>
        <w:tc>
          <w:tcPr>
            <w:tcW w:w="2070" w:type="dxa"/>
          </w:tcPr>
          <w:p w14:paraId="2A2BED42" w14:textId="77777777" w:rsidR="00192A67" w:rsidRPr="00DE0DDB" w:rsidDel="0037359A" w:rsidRDefault="00192A67" w:rsidP="00192A67">
            <w:pPr>
              <w:jc w:val="center"/>
              <w:rPr>
                <w:rFonts w:ascii="Arial" w:hAnsi="Arial" w:cs="Arial"/>
              </w:rPr>
            </w:pPr>
          </w:p>
        </w:tc>
        <w:tc>
          <w:tcPr>
            <w:tcW w:w="1620" w:type="dxa"/>
          </w:tcPr>
          <w:p w14:paraId="7239B971" w14:textId="77777777" w:rsidR="00192A67" w:rsidRPr="00DE0DDB" w:rsidDel="0037359A" w:rsidRDefault="00192A67" w:rsidP="00192A67">
            <w:pPr>
              <w:jc w:val="center"/>
              <w:rPr>
                <w:rFonts w:ascii="Arial" w:hAnsi="Arial" w:cs="Arial"/>
              </w:rPr>
            </w:pPr>
          </w:p>
        </w:tc>
        <w:tc>
          <w:tcPr>
            <w:tcW w:w="1530" w:type="dxa"/>
          </w:tcPr>
          <w:p w14:paraId="2B8C144C" w14:textId="77777777" w:rsidR="00192A67" w:rsidRPr="00DE0DDB" w:rsidDel="0037359A" w:rsidRDefault="00192A67" w:rsidP="00192A67">
            <w:pPr>
              <w:jc w:val="center"/>
              <w:rPr>
                <w:rFonts w:ascii="Arial" w:hAnsi="Arial" w:cs="Arial"/>
              </w:rPr>
            </w:pPr>
          </w:p>
        </w:tc>
      </w:tr>
      <w:tr w:rsidR="00192A67" w:rsidRPr="00DE0DDB" w:rsidDel="0037359A" w14:paraId="14450782" w14:textId="77777777" w:rsidTr="00192A67">
        <w:trPr>
          <w:trHeight w:val="294"/>
        </w:trPr>
        <w:tc>
          <w:tcPr>
            <w:tcW w:w="4410" w:type="dxa"/>
          </w:tcPr>
          <w:p w14:paraId="0E8FA5F1" w14:textId="77777777" w:rsidR="00192A67" w:rsidRPr="00DE0DDB" w:rsidDel="0037359A" w:rsidRDefault="00192A67" w:rsidP="00192A67">
            <w:pPr>
              <w:ind w:left="240"/>
              <w:rPr>
                <w:rFonts w:ascii="Arial" w:hAnsi="Arial" w:cs="Arial"/>
              </w:rPr>
            </w:pPr>
            <w:r w:rsidRPr="00DE0DDB" w:rsidDel="0037359A">
              <w:rPr>
                <w:rFonts w:ascii="Arial" w:hAnsi="Arial" w:cs="Arial"/>
              </w:rPr>
              <w:t>Female</w:t>
            </w:r>
          </w:p>
        </w:tc>
        <w:tc>
          <w:tcPr>
            <w:tcW w:w="2070" w:type="dxa"/>
          </w:tcPr>
          <w:p w14:paraId="37DDD176"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79.8% (87)</w:t>
            </w:r>
            <w:r w:rsidRPr="00DE0DDB" w:rsidDel="0037359A">
              <w:rPr>
                <w:rFonts w:ascii="Arial" w:hAnsi="Arial" w:cs="Arial"/>
                <w:vertAlign w:val="superscript"/>
              </w:rPr>
              <w:t>a</w:t>
            </w:r>
          </w:p>
        </w:tc>
        <w:tc>
          <w:tcPr>
            <w:tcW w:w="1620" w:type="dxa"/>
          </w:tcPr>
          <w:p w14:paraId="53B97D93"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66.7% (76)</w:t>
            </w:r>
            <w:r w:rsidRPr="00DE0DDB" w:rsidDel="0037359A">
              <w:rPr>
                <w:rFonts w:ascii="Arial" w:hAnsi="Arial" w:cs="Arial"/>
                <w:vertAlign w:val="superscript"/>
              </w:rPr>
              <w:t>a</w:t>
            </w:r>
          </w:p>
        </w:tc>
        <w:tc>
          <w:tcPr>
            <w:tcW w:w="1530" w:type="dxa"/>
          </w:tcPr>
          <w:p w14:paraId="0E1344DA"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38.2% (21)</w:t>
            </w:r>
            <w:r w:rsidRPr="00DE0DDB" w:rsidDel="0037359A">
              <w:rPr>
                <w:rFonts w:ascii="Arial" w:hAnsi="Arial" w:cs="Arial"/>
                <w:vertAlign w:val="superscript"/>
              </w:rPr>
              <w:t>b</w:t>
            </w:r>
          </w:p>
        </w:tc>
      </w:tr>
      <w:tr w:rsidR="00192A67" w:rsidRPr="00DE0DDB" w:rsidDel="0037359A" w14:paraId="14679D2F" w14:textId="77777777" w:rsidTr="00192A67">
        <w:trPr>
          <w:trHeight w:val="294"/>
        </w:trPr>
        <w:tc>
          <w:tcPr>
            <w:tcW w:w="4410" w:type="dxa"/>
          </w:tcPr>
          <w:p w14:paraId="373DD56D" w14:textId="77777777" w:rsidR="00192A67" w:rsidRPr="00DE0DDB" w:rsidDel="0037359A" w:rsidRDefault="00192A67" w:rsidP="00192A67">
            <w:pPr>
              <w:ind w:left="240"/>
              <w:rPr>
                <w:rFonts w:ascii="Arial" w:hAnsi="Arial" w:cs="Arial"/>
              </w:rPr>
            </w:pPr>
            <w:r w:rsidRPr="00DE0DDB" w:rsidDel="0037359A">
              <w:rPr>
                <w:rFonts w:ascii="Arial" w:hAnsi="Arial" w:cs="Arial"/>
              </w:rPr>
              <w:t>Male</w:t>
            </w:r>
          </w:p>
        </w:tc>
        <w:tc>
          <w:tcPr>
            <w:tcW w:w="2070" w:type="dxa"/>
          </w:tcPr>
          <w:p w14:paraId="5A319036"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20.2% (22)</w:t>
            </w:r>
            <w:r w:rsidRPr="00DE0DDB" w:rsidDel="0037359A">
              <w:rPr>
                <w:rFonts w:ascii="Arial" w:hAnsi="Arial" w:cs="Arial"/>
                <w:vertAlign w:val="superscript"/>
              </w:rPr>
              <w:t>a</w:t>
            </w:r>
          </w:p>
        </w:tc>
        <w:tc>
          <w:tcPr>
            <w:tcW w:w="1620" w:type="dxa"/>
          </w:tcPr>
          <w:p w14:paraId="3A764ABF"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33.3% (38)</w:t>
            </w:r>
            <w:r w:rsidRPr="00DE0DDB" w:rsidDel="0037359A">
              <w:rPr>
                <w:rFonts w:ascii="Arial" w:hAnsi="Arial" w:cs="Arial"/>
                <w:vertAlign w:val="superscript"/>
              </w:rPr>
              <w:t>a</w:t>
            </w:r>
          </w:p>
        </w:tc>
        <w:tc>
          <w:tcPr>
            <w:tcW w:w="1530" w:type="dxa"/>
          </w:tcPr>
          <w:p w14:paraId="671E6723"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61.8% (34)</w:t>
            </w:r>
            <w:r w:rsidRPr="00DE0DDB" w:rsidDel="0037359A">
              <w:rPr>
                <w:rFonts w:ascii="Arial" w:hAnsi="Arial" w:cs="Arial"/>
                <w:vertAlign w:val="superscript"/>
              </w:rPr>
              <w:t>b</w:t>
            </w:r>
          </w:p>
        </w:tc>
      </w:tr>
      <w:tr w:rsidR="00192A67" w:rsidRPr="00DE0DDB" w:rsidDel="0037359A" w14:paraId="76EE6977" w14:textId="77777777" w:rsidTr="00192A67">
        <w:trPr>
          <w:trHeight w:val="294"/>
        </w:trPr>
        <w:tc>
          <w:tcPr>
            <w:tcW w:w="4410" w:type="dxa"/>
          </w:tcPr>
          <w:p w14:paraId="6605C407" w14:textId="77777777" w:rsidR="00192A67" w:rsidRPr="00DE0DDB" w:rsidDel="0037359A" w:rsidRDefault="00192A67" w:rsidP="00192A67">
            <w:pPr>
              <w:spacing w:before="60"/>
              <w:rPr>
                <w:rFonts w:ascii="Arial" w:hAnsi="Arial" w:cs="Arial"/>
                <w:i/>
              </w:rPr>
            </w:pPr>
            <w:r w:rsidRPr="00DE0DDB" w:rsidDel="0037359A">
              <w:rPr>
                <w:rFonts w:ascii="Arial" w:hAnsi="Arial" w:cs="Arial"/>
              </w:rPr>
              <w:t xml:space="preserve">Adolescent Race, </w:t>
            </w:r>
            <w:r w:rsidRPr="00DE0DDB" w:rsidDel="0037359A">
              <w:rPr>
                <w:rFonts w:ascii="Arial" w:hAnsi="Arial" w:cs="Arial"/>
                <w:i/>
              </w:rPr>
              <w:t>% (n)</w:t>
            </w:r>
          </w:p>
        </w:tc>
        <w:tc>
          <w:tcPr>
            <w:tcW w:w="2070" w:type="dxa"/>
          </w:tcPr>
          <w:p w14:paraId="063E23FA" w14:textId="77777777" w:rsidR="00192A67" w:rsidRPr="00DE0DDB" w:rsidDel="0037359A" w:rsidRDefault="00192A67" w:rsidP="00192A67">
            <w:pPr>
              <w:jc w:val="center"/>
              <w:rPr>
                <w:rFonts w:ascii="Arial" w:hAnsi="Arial" w:cs="Arial"/>
              </w:rPr>
            </w:pPr>
          </w:p>
        </w:tc>
        <w:tc>
          <w:tcPr>
            <w:tcW w:w="1620" w:type="dxa"/>
          </w:tcPr>
          <w:p w14:paraId="18F6E2B9" w14:textId="77777777" w:rsidR="00192A67" w:rsidRPr="00DE0DDB" w:rsidDel="0037359A" w:rsidRDefault="00192A67" w:rsidP="00192A67">
            <w:pPr>
              <w:jc w:val="center"/>
              <w:rPr>
                <w:rFonts w:ascii="Arial" w:hAnsi="Arial" w:cs="Arial"/>
              </w:rPr>
            </w:pPr>
          </w:p>
        </w:tc>
        <w:tc>
          <w:tcPr>
            <w:tcW w:w="1530" w:type="dxa"/>
          </w:tcPr>
          <w:p w14:paraId="52648FD3" w14:textId="77777777" w:rsidR="00192A67" w:rsidRPr="00DE0DDB" w:rsidDel="0037359A" w:rsidRDefault="00192A67" w:rsidP="00192A67">
            <w:pPr>
              <w:jc w:val="center"/>
              <w:rPr>
                <w:rFonts w:ascii="Arial" w:hAnsi="Arial" w:cs="Arial"/>
              </w:rPr>
            </w:pPr>
          </w:p>
        </w:tc>
      </w:tr>
      <w:tr w:rsidR="00192A67" w:rsidRPr="00DE0DDB" w:rsidDel="0037359A" w14:paraId="7D2D4261" w14:textId="77777777" w:rsidTr="00192A67">
        <w:trPr>
          <w:trHeight w:val="308"/>
        </w:trPr>
        <w:tc>
          <w:tcPr>
            <w:tcW w:w="4410" w:type="dxa"/>
          </w:tcPr>
          <w:p w14:paraId="3350F5F0" w14:textId="77777777" w:rsidR="00192A67" w:rsidRPr="00DE0DDB" w:rsidDel="0037359A" w:rsidRDefault="00192A67" w:rsidP="00192A67">
            <w:pPr>
              <w:ind w:left="240"/>
              <w:rPr>
                <w:rFonts w:ascii="Arial" w:hAnsi="Arial" w:cs="Arial"/>
              </w:rPr>
            </w:pPr>
            <w:r w:rsidRPr="00DE0DDB" w:rsidDel="0037359A">
              <w:rPr>
                <w:rFonts w:ascii="Arial" w:hAnsi="Arial" w:cs="Arial"/>
              </w:rPr>
              <w:t>Caucasian</w:t>
            </w:r>
          </w:p>
        </w:tc>
        <w:tc>
          <w:tcPr>
            <w:tcW w:w="2070" w:type="dxa"/>
          </w:tcPr>
          <w:p w14:paraId="43F7CDD5"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80.7% (89)</w:t>
            </w:r>
          </w:p>
        </w:tc>
        <w:tc>
          <w:tcPr>
            <w:tcW w:w="1620" w:type="dxa"/>
          </w:tcPr>
          <w:p w14:paraId="14A02F76"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88.6% (101)</w:t>
            </w:r>
          </w:p>
        </w:tc>
        <w:tc>
          <w:tcPr>
            <w:tcW w:w="1530" w:type="dxa"/>
          </w:tcPr>
          <w:p w14:paraId="6049757E"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92.6% (50)</w:t>
            </w:r>
          </w:p>
        </w:tc>
      </w:tr>
      <w:tr w:rsidR="00192A67" w:rsidRPr="00DE0DDB" w:rsidDel="0037359A" w14:paraId="528A8E2B" w14:textId="77777777" w:rsidTr="00192A67">
        <w:trPr>
          <w:trHeight w:val="294"/>
        </w:trPr>
        <w:tc>
          <w:tcPr>
            <w:tcW w:w="4410" w:type="dxa"/>
          </w:tcPr>
          <w:p w14:paraId="4C587AC0" w14:textId="77777777" w:rsidR="00192A67" w:rsidRPr="00DE0DDB" w:rsidDel="0037359A" w:rsidRDefault="00192A67" w:rsidP="00192A67">
            <w:pPr>
              <w:ind w:left="240"/>
              <w:rPr>
                <w:rFonts w:ascii="Arial" w:hAnsi="Arial" w:cs="Arial"/>
              </w:rPr>
            </w:pPr>
            <w:r w:rsidRPr="00DE0DDB" w:rsidDel="0037359A">
              <w:rPr>
                <w:rFonts w:ascii="Arial" w:hAnsi="Arial" w:cs="Arial"/>
              </w:rPr>
              <w:t>Minority Group*</w:t>
            </w:r>
          </w:p>
        </w:tc>
        <w:tc>
          <w:tcPr>
            <w:tcW w:w="2070" w:type="dxa"/>
          </w:tcPr>
          <w:p w14:paraId="7969E6CC"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19.3% (21)</w:t>
            </w:r>
          </w:p>
        </w:tc>
        <w:tc>
          <w:tcPr>
            <w:tcW w:w="1620" w:type="dxa"/>
          </w:tcPr>
          <w:p w14:paraId="6EC81226"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11.4% (13)</w:t>
            </w:r>
          </w:p>
        </w:tc>
        <w:tc>
          <w:tcPr>
            <w:tcW w:w="1530" w:type="dxa"/>
          </w:tcPr>
          <w:p w14:paraId="0C6D2755"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7.4% (4)</w:t>
            </w:r>
          </w:p>
        </w:tc>
      </w:tr>
      <w:tr w:rsidR="00192A67" w:rsidRPr="00DE0DDB" w:rsidDel="0037359A" w14:paraId="7E509CB7" w14:textId="77777777" w:rsidTr="00192A67">
        <w:trPr>
          <w:trHeight w:val="308"/>
        </w:trPr>
        <w:tc>
          <w:tcPr>
            <w:tcW w:w="4410" w:type="dxa"/>
          </w:tcPr>
          <w:p w14:paraId="287CDA7E" w14:textId="77777777" w:rsidR="00192A67" w:rsidRPr="00DE0DDB" w:rsidDel="0037359A" w:rsidRDefault="00192A67" w:rsidP="00192A67">
            <w:pPr>
              <w:spacing w:before="60"/>
              <w:rPr>
                <w:rFonts w:ascii="Arial" w:hAnsi="Arial" w:cs="Arial"/>
              </w:rPr>
            </w:pPr>
            <w:r w:rsidRPr="00DE0DDB" w:rsidDel="0037359A">
              <w:rPr>
                <w:rFonts w:ascii="Arial" w:hAnsi="Arial" w:cs="Arial"/>
              </w:rPr>
              <w:t xml:space="preserve">Parent who participated in study, </w:t>
            </w:r>
            <w:r w:rsidRPr="00DE0DDB" w:rsidDel="0037359A">
              <w:rPr>
                <w:rFonts w:ascii="Arial" w:hAnsi="Arial" w:cs="Arial"/>
                <w:i/>
              </w:rPr>
              <w:t>% (n)</w:t>
            </w:r>
          </w:p>
        </w:tc>
        <w:tc>
          <w:tcPr>
            <w:tcW w:w="2070" w:type="dxa"/>
          </w:tcPr>
          <w:p w14:paraId="58D6E991" w14:textId="77777777" w:rsidR="00192A67" w:rsidRPr="00DE0DDB" w:rsidDel="0037359A" w:rsidRDefault="00192A67" w:rsidP="00192A67">
            <w:pPr>
              <w:jc w:val="center"/>
              <w:rPr>
                <w:rFonts w:ascii="Arial" w:hAnsi="Arial" w:cs="Arial"/>
              </w:rPr>
            </w:pPr>
          </w:p>
        </w:tc>
        <w:tc>
          <w:tcPr>
            <w:tcW w:w="1620" w:type="dxa"/>
          </w:tcPr>
          <w:p w14:paraId="47CB38B1" w14:textId="77777777" w:rsidR="00192A67" w:rsidRPr="00DE0DDB" w:rsidDel="0037359A" w:rsidRDefault="00192A67" w:rsidP="00192A67">
            <w:pPr>
              <w:jc w:val="center"/>
              <w:rPr>
                <w:rFonts w:ascii="Arial" w:hAnsi="Arial" w:cs="Arial"/>
              </w:rPr>
            </w:pPr>
          </w:p>
        </w:tc>
        <w:tc>
          <w:tcPr>
            <w:tcW w:w="1530" w:type="dxa"/>
          </w:tcPr>
          <w:p w14:paraId="5A4AB00C" w14:textId="77777777" w:rsidR="00192A67" w:rsidRPr="00DE0DDB" w:rsidDel="0037359A" w:rsidRDefault="00192A67" w:rsidP="00192A67">
            <w:pPr>
              <w:jc w:val="center"/>
              <w:rPr>
                <w:rFonts w:ascii="Arial" w:hAnsi="Arial" w:cs="Arial"/>
              </w:rPr>
            </w:pPr>
          </w:p>
        </w:tc>
      </w:tr>
      <w:tr w:rsidR="00192A67" w:rsidRPr="00DE0DDB" w:rsidDel="0037359A" w14:paraId="1241ED2D" w14:textId="77777777" w:rsidTr="00192A67">
        <w:trPr>
          <w:trHeight w:val="294"/>
        </w:trPr>
        <w:tc>
          <w:tcPr>
            <w:tcW w:w="4410" w:type="dxa"/>
          </w:tcPr>
          <w:p w14:paraId="759908F2" w14:textId="77777777" w:rsidR="00192A67" w:rsidRPr="00DE0DDB" w:rsidDel="0037359A" w:rsidRDefault="00192A67" w:rsidP="00192A67">
            <w:pPr>
              <w:ind w:left="240"/>
              <w:rPr>
                <w:rFonts w:ascii="Arial" w:hAnsi="Arial" w:cs="Arial"/>
              </w:rPr>
            </w:pPr>
            <w:r w:rsidRPr="00DE0DDB" w:rsidDel="0037359A">
              <w:rPr>
                <w:rFonts w:ascii="Arial" w:hAnsi="Arial" w:cs="Arial"/>
              </w:rPr>
              <w:t>Mother or grandmother</w:t>
            </w:r>
          </w:p>
        </w:tc>
        <w:tc>
          <w:tcPr>
            <w:tcW w:w="2070" w:type="dxa"/>
          </w:tcPr>
          <w:p w14:paraId="0AF91E7C" w14:textId="77777777" w:rsidR="00192A67" w:rsidRPr="00DE0DDB" w:rsidDel="0037359A" w:rsidRDefault="00192A67" w:rsidP="00192A67">
            <w:pPr>
              <w:jc w:val="center"/>
              <w:rPr>
                <w:rFonts w:ascii="Arial" w:hAnsi="Arial" w:cs="Arial"/>
                <w:vertAlign w:val="superscript"/>
              </w:rPr>
            </w:pPr>
            <w:r w:rsidRPr="00DE0DDB" w:rsidDel="0037359A">
              <w:rPr>
                <w:rFonts w:ascii="Arial" w:hAnsi="Arial" w:cs="Arial"/>
              </w:rPr>
              <w:t>93.6% (102)</w:t>
            </w:r>
          </w:p>
        </w:tc>
        <w:tc>
          <w:tcPr>
            <w:tcW w:w="1620" w:type="dxa"/>
          </w:tcPr>
          <w:p w14:paraId="12132430" w14:textId="77777777" w:rsidR="00192A67" w:rsidRPr="00DE0DDB" w:rsidDel="0037359A" w:rsidRDefault="00192A67" w:rsidP="00192A67">
            <w:pPr>
              <w:jc w:val="center"/>
              <w:rPr>
                <w:rFonts w:ascii="Arial" w:hAnsi="Arial" w:cs="Arial"/>
              </w:rPr>
            </w:pPr>
            <w:r w:rsidRPr="00DE0DDB" w:rsidDel="0037359A">
              <w:rPr>
                <w:rFonts w:ascii="Arial" w:hAnsi="Arial" w:cs="Arial"/>
              </w:rPr>
              <w:t>95.6% (109)</w:t>
            </w:r>
          </w:p>
        </w:tc>
        <w:tc>
          <w:tcPr>
            <w:tcW w:w="1530" w:type="dxa"/>
          </w:tcPr>
          <w:p w14:paraId="035FEE34" w14:textId="77777777" w:rsidR="00192A67" w:rsidRPr="00DE0DDB" w:rsidDel="0037359A" w:rsidRDefault="00192A67" w:rsidP="00192A67">
            <w:pPr>
              <w:jc w:val="center"/>
              <w:rPr>
                <w:rFonts w:ascii="Arial" w:hAnsi="Arial" w:cs="Arial"/>
              </w:rPr>
            </w:pPr>
            <w:r w:rsidRPr="00DE0DDB" w:rsidDel="0037359A">
              <w:rPr>
                <w:rFonts w:ascii="Arial" w:hAnsi="Arial" w:cs="Arial"/>
              </w:rPr>
              <w:t>96.4% (53)</w:t>
            </w:r>
          </w:p>
        </w:tc>
      </w:tr>
      <w:tr w:rsidR="00192A67" w:rsidRPr="00DE0DDB" w:rsidDel="0037359A" w14:paraId="036B2104" w14:textId="77777777" w:rsidTr="00192A67">
        <w:trPr>
          <w:trHeight w:val="294"/>
        </w:trPr>
        <w:tc>
          <w:tcPr>
            <w:tcW w:w="4410" w:type="dxa"/>
          </w:tcPr>
          <w:p w14:paraId="0634983D" w14:textId="77777777" w:rsidR="00192A67" w:rsidRPr="00DE0DDB" w:rsidDel="0037359A" w:rsidRDefault="00192A67" w:rsidP="00192A67">
            <w:pPr>
              <w:ind w:left="240"/>
              <w:rPr>
                <w:rFonts w:ascii="Arial" w:hAnsi="Arial" w:cs="Arial"/>
              </w:rPr>
            </w:pPr>
            <w:r w:rsidRPr="00DE0DDB" w:rsidDel="0037359A">
              <w:rPr>
                <w:rFonts w:ascii="Arial" w:hAnsi="Arial" w:cs="Arial"/>
              </w:rPr>
              <w:t>Father</w:t>
            </w:r>
          </w:p>
        </w:tc>
        <w:tc>
          <w:tcPr>
            <w:tcW w:w="2070" w:type="dxa"/>
          </w:tcPr>
          <w:p w14:paraId="2AC11B2D" w14:textId="77777777" w:rsidR="00192A67" w:rsidRPr="00DE0DDB" w:rsidDel="0037359A" w:rsidRDefault="00192A67" w:rsidP="00192A67">
            <w:pPr>
              <w:jc w:val="center"/>
              <w:rPr>
                <w:rFonts w:ascii="Arial" w:hAnsi="Arial" w:cs="Arial"/>
              </w:rPr>
            </w:pPr>
            <w:r w:rsidRPr="00DE0DDB" w:rsidDel="0037359A">
              <w:rPr>
                <w:rFonts w:ascii="Arial" w:hAnsi="Arial" w:cs="Arial"/>
              </w:rPr>
              <w:t>6.4% (7)</w:t>
            </w:r>
          </w:p>
        </w:tc>
        <w:tc>
          <w:tcPr>
            <w:tcW w:w="1620" w:type="dxa"/>
          </w:tcPr>
          <w:p w14:paraId="4D3C5DF8" w14:textId="77777777" w:rsidR="00192A67" w:rsidRPr="00DE0DDB" w:rsidDel="0037359A" w:rsidRDefault="00192A67" w:rsidP="00192A67">
            <w:pPr>
              <w:jc w:val="center"/>
              <w:rPr>
                <w:rFonts w:ascii="Arial" w:hAnsi="Arial" w:cs="Arial"/>
              </w:rPr>
            </w:pPr>
            <w:r w:rsidRPr="00DE0DDB" w:rsidDel="0037359A">
              <w:rPr>
                <w:rFonts w:ascii="Arial" w:hAnsi="Arial" w:cs="Arial"/>
              </w:rPr>
              <w:t>4.4% (5)</w:t>
            </w:r>
          </w:p>
        </w:tc>
        <w:tc>
          <w:tcPr>
            <w:tcW w:w="1530" w:type="dxa"/>
          </w:tcPr>
          <w:p w14:paraId="1FEDDE05" w14:textId="77777777" w:rsidR="00192A67" w:rsidRPr="00DE0DDB" w:rsidDel="0037359A" w:rsidRDefault="00192A67" w:rsidP="00192A67">
            <w:pPr>
              <w:jc w:val="center"/>
              <w:rPr>
                <w:rFonts w:ascii="Arial" w:hAnsi="Arial" w:cs="Arial"/>
              </w:rPr>
            </w:pPr>
            <w:r w:rsidRPr="00DE0DDB" w:rsidDel="0037359A">
              <w:rPr>
                <w:rFonts w:ascii="Arial" w:hAnsi="Arial" w:cs="Arial"/>
              </w:rPr>
              <w:t>3.6% (2)</w:t>
            </w:r>
          </w:p>
        </w:tc>
      </w:tr>
      <w:tr w:rsidR="00192A67" w:rsidRPr="00DE0DDB" w:rsidDel="0037359A" w14:paraId="0B345ECE" w14:textId="77777777" w:rsidTr="00192A67">
        <w:trPr>
          <w:trHeight w:val="294"/>
        </w:trPr>
        <w:tc>
          <w:tcPr>
            <w:tcW w:w="4410" w:type="dxa"/>
          </w:tcPr>
          <w:p w14:paraId="3FDE3699" w14:textId="77777777" w:rsidR="00192A67" w:rsidRPr="00DE0DDB" w:rsidDel="0037359A" w:rsidRDefault="00192A67" w:rsidP="00192A67">
            <w:pPr>
              <w:spacing w:before="60"/>
              <w:rPr>
                <w:rFonts w:ascii="Arial" w:hAnsi="Arial" w:cs="Arial"/>
              </w:rPr>
            </w:pPr>
            <w:r w:rsidRPr="00DE0DDB" w:rsidDel="0037359A">
              <w:rPr>
                <w:rFonts w:ascii="Arial" w:hAnsi="Arial" w:cs="Arial"/>
              </w:rPr>
              <w:t>Parent employment,</w:t>
            </w:r>
            <w:r w:rsidRPr="00DE0DDB" w:rsidDel="0037359A">
              <w:rPr>
                <w:rFonts w:ascii="Arial" w:hAnsi="Arial" w:cs="Arial"/>
                <w:i/>
              </w:rPr>
              <w:t xml:space="preserve"> % (n)</w:t>
            </w:r>
            <w:r w:rsidRPr="00DE0DDB" w:rsidDel="0037359A">
              <w:rPr>
                <w:rFonts w:ascii="Arial" w:hAnsi="Arial" w:cs="Arial"/>
              </w:rPr>
              <w:t xml:space="preserve"> </w:t>
            </w:r>
          </w:p>
        </w:tc>
        <w:tc>
          <w:tcPr>
            <w:tcW w:w="2070" w:type="dxa"/>
          </w:tcPr>
          <w:p w14:paraId="4AE16280" w14:textId="77777777" w:rsidR="00192A67" w:rsidRPr="00DE0DDB" w:rsidDel="0037359A" w:rsidRDefault="00192A67" w:rsidP="00192A67">
            <w:pPr>
              <w:jc w:val="center"/>
              <w:rPr>
                <w:rFonts w:ascii="Arial" w:hAnsi="Arial" w:cs="Arial"/>
              </w:rPr>
            </w:pPr>
          </w:p>
        </w:tc>
        <w:tc>
          <w:tcPr>
            <w:tcW w:w="1620" w:type="dxa"/>
          </w:tcPr>
          <w:p w14:paraId="438C96F3" w14:textId="77777777" w:rsidR="00192A67" w:rsidRPr="00DE0DDB" w:rsidDel="0037359A" w:rsidRDefault="00192A67" w:rsidP="00192A67">
            <w:pPr>
              <w:jc w:val="center"/>
              <w:rPr>
                <w:rFonts w:ascii="Arial" w:hAnsi="Arial" w:cs="Arial"/>
              </w:rPr>
            </w:pPr>
          </w:p>
        </w:tc>
        <w:tc>
          <w:tcPr>
            <w:tcW w:w="1530" w:type="dxa"/>
          </w:tcPr>
          <w:p w14:paraId="0387C8F0" w14:textId="77777777" w:rsidR="00192A67" w:rsidRPr="00DE0DDB" w:rsidDel="0037359A" w:rsidRDefault="00192A67" w:rsidP="00192A67">
            <w:pPr>
              <w:jc w:val="center"/>
              <w:rPr>
                <w:rFonts w:ascii="Arial" w:hAnsi="Arial" w:cs="Arial"/>
              </w:rPr>
            </w:pPr>
          </w:p>
        </w:tc>
      </w:tr>
      <w:tr w:rsidR="00192A67" w:rsidRPr="00DE0DDB" w:rsidDel="0037359A" w14:paraId="420A151F" w14:textId="77777777" w:rsidTr="00192A67">
        <w:trPr>
          <w:trHeight w:val="308"/>
        </w:trPr>
        <w:tc>
          <w:tcPr>
            <w:tcW w:w="4410" w:type="dxa"/>
          </w:tcPr>
          <w:p w14:paraId="7325C07A" w14:textId="77777777" w:rsidR="00192A67" w:rsidRPr="00DE0DDB" w:rsidDel="0037359A" w:rsidRDefault="00192A67" w:rsidP="00192A67">
            <w:pPr>
              <w:ind w:left="240"/>
              <w:rPr>
                <w:rFonts w:ascii="Arial" w:hAnsi="Arial" w:cs="Arial"/>
              </w:rPr>
            </w:pPr>
            <w:r w:rsidRPr="00DE0DDB" w:rsidDel="0037359A">
              <w:rPr>
                <w:rFonts w:ascii="Arial" w:hAnsi="Arial" w:cs="Arial"/>
              </w:rPr>
              <w:t>Employed</w:t>
            </w:r>
          </w:p>
        </w:tc>
        <w:tc>
          <w:tcPr>
            <w:tcW w:w="2070" w:type="dxa"/>
          </w:tcPr>
          <w:p w14:paraId="0A55F8A4" w14:textId="77777777" w:rsidR="00192A67" w:rsidRPr="00DE0DDB" w:rsidDel="0037359A" w:rsidRDefault="00192A67" w:rsidP="00192A67">
            <w:pPr>
              <w:jc w:val="center"/>
              <w:rPr>
                <w:rFonts w:ascii="Arial" w:hAnsi="Arial" w:cs="Arial"/>
              </w:rPr>
            </w:pPr>
            <w:r w:rsidRPr="00DE0DDB" w:rsidDel="0037359A">
              <w:rPr>
                <w:rFonts w:ascii="Arial" w:hAnsi="Arial" w:cs="Arial"/>
              </w:rPr>
              <w:t>66.7% (72)</w:t>
            </w:r>
          </w:p>
        </w:tc>
        <w:tc>
          <w:tcPr>
            <w:tcW w:w="1620" w:type="dxa"/>
          </w:tcPr>
          <w:p w14:paraId="1F3069D9" w14:textId="77777777" w:rsidR="00192A67" w:rsidRPr="00DE0DDB" w:rsidDel="0037359A" w:rsidRDefault="00192A67" w:rsidP="00192A67">
            <w:pPr>
              <w:jc w:val="center"/>
              <w:rPr>
                <w:rFonts w:ascii="Arial" w:hAnsi="Arial" w:cs="Arial"/>
              </w:rPr>
            </w:pPr>
            <w:r w:rsidRPr="00DE0DDB" w:rsidDel="0037359A">
              <w:rPr>
                <w:rFonts w:ascii="Arial" w:hAnsi="Arial" w:cs="Arial"/>
              </w:rPr>
              <w:t>67.5% (77)</w:t>
            </w:r>
          </w:p>
        </w:tc>
        <w:tc>
          <w:tcPr>
            <w:tcW w:w="1530" w:type="dxa"/>
          </w:tcPr>
          <w:p w14:paraId="1F595B23" w14:textId="77777777" w:rsidR="00192A67" w:rsidRPr="00DE0DDB" w:rsidDel="0037359A" w:rsidRDefault="00192A67" w:rsidP="00192A67">
            <w:pPr>
              <w:jc w:val="center"/>
              <w:rPr>
                <w:rFonts w:ascii="Arial" w:hAnsi="Arial" w:cs="Arial"/>
              </w:rPr>
            </w:pPr>
            <w:r w:rsidRPr="00DE0DDB" w:rsidDel="0037359A">
              <w:rPr>
                <w:rFonts w:ascii="Arial" w:hAnsi="Arial" w:cs="Arial"/>
              </w:rPr>
              <w:t>61.8% (34)</w:t>
            </w:r>
          </w:p>
        </w:tc>
      </w:tr>
      <w:tr w:rsidR="00192A67" w:rsidRPr="00DE0DDB" w:rsidDel="0037359A" w14:paraId="540E9EDE" w14:textId="77777777" w:rsidTr="00192A67">
        <w:trPr>
          <w:trHeight w:val="294"/>
        </w:trPr>
        <w:tc>
          <w:tcPr>
            <w:tcW w:w="4410" w:type="dxa"/>
          </w:tcPr>
          <w:p w14:paraId="17D92413" w14:textId="77777777" w:rsidR="00192A67" w:rsidRPr="00DE0DDB" w:rsidDel="0037359A" w:rsidRDefault="00192A67" w:rsidP="00192A67">
            <w:pPr>
              <w:ind w:left="240"/>
              <w:rPr>
                <w:rFonts w:ascii="Arial" w:hAnsi="Arial" w:cs="Arial"/>
              </w:rPr>
            </w:pPr>
            <w:r w:rsidRPr="00DE0DDB" w:rsidDel="0037359A">
              <w:rPr>
                <w:rFonts w:ascii="Arial" w:hAnsi="Arial" w:cs="Arial"/>
              </w:rPr>
              <w:t>Unemployed</w:t>
            </w:r>
          </w:p>
        </w:tc>
        <w:tc>
          <w:tcPr>
            <w:tcW w:w="2070" w:type="dxa"/>
          </w:tcPr>
          <w:p w14:paraId="0049B044" w14:textId="77777777" w:rsidR="00192A67" w:rsidRPr="00DE0DDB" w:rsidDel="0037359A" w:rsidRDefault="00192A67" w:rsidP="00192A67">
            <w:pPr>
              <w:jc w:val="center"/>
              <w:rPr>
                <w:rFonts w:ascii="Arial" w:hAnsi="Arial" w:cs="Arial"/>
              </w:rPr>
            </w:pPr>
            <w:r w:rsidRPr="00DE0DDB" w:rsidDel="0037359A">
              <w:rPr>
                <w:rFonts w:ascii="Arial" w:hAnsi="Arial" w:cs="Arial"/>
              </w:rPr>
              <w:t>33.3% (36)</w:t>
            </w:r>
          </w:p>
        </w:tc>
        <w:tc>
          <w:tcPr>
            <w:tcW w:w="1620" w:type="dxa"/>
          </w:tcPr>
          <w:p w14:paraId="25FBDF7F" w14:textId="77777777" w:rsidR="00192A67" w:rsidRPr="00DE0DDB" w:rsidDel="0037359A" w:rsidRDefault="00192A67" w:rsidP="00192A67">
            <w:pPr>
              <w:jc w:val="center"/>
              <w:rPr>
                <w:rFonts w:ascii="Arial" w:hAnsi="Arial" w:cs="Arial"/>
              </w:rPr>
            </w:pPr>
            <w:r w:rsidRPr="00DE0DDB" w:rsidDel="0037359A">
              <w:rPr>
                <w:rFonts w:ascii="Arial" w:hAnsi="Arial" w:cs="Arial"/>
              </w:rPr>
              <w:t>32.5% (37)</w:t>
            </w:r>
          </w:p>
        </w:tc>
        <w:tc>
          <w:tcPr>
            <w:tcW w:w="1530" w:type="dxa"/>
          </w:tcPr>
          <w:p w14:paraId="4AB9C6DB" w14:textId="77777777" w:rsidR="00192A67" w:rsidRPr="00DE0DDB" w:rsidDel="0037359A" w:rsidRDefault="00192A67" w:rsidP="00192A67">
            <w:pPr>
              <w:jc w:val="center"/>
              <w:rPr>
                <w:rFonts w:ascii="Arial" w:hAnsi="Arial" w:cs="Arial"/>
              </w:rPr>
            </w:pPr>
            <w:r w:rsidRPr="00DE0DDB" w:rsidDel="0037359A">
              <w:rPr>
                <w:rFonts w:ascii="Arial" w:hAnsi="Arial" w:cs="Arial"/>
              </w:rPr>
              <w:t>38.2% (21)</w:t>
            </w:r>
          </w:p>
        </w:tc>
      </w:tr>
      <w:tr w:rsidR="00192A67" w:rsidRPr="00DE0DDB" w:rsidDel="0037359A" w14:paraId="3606D47A" w14:textId="77777777" w:rsidTr="00192A67">
        <w:trPr>
          <w:trHeight w:val="294"/>
        </w:trPr>
        <w:tc>
          <w:tcPr>
            <w:tcW w:w="4410" w:type="dxa"/>
          </w:tcPr>
          <w:p w14:paraId="4FF18649" w14:textId="77777777" w:rsidR="00192A67" w:rsidRPr="00DE0DDB" w:rsidDel="0037359A" w:rsidRDefault="00192A67" w:rsidP="00192A67">
            <w:pPr>
              <w:spacing w:before="60"/>
              <w:rPr>
                <w:rFonts w:ascii="Arial" w:hAnsi="Arial" w:cs="Arial"/>
              </w:rPr>
            </w:pPr>
            <w:r w:rsidRPr="00DE0DDB" w:rsidDel="0037359A">
              <w:rPr>
                <w:rFonts w:ascii="Arial" w:hAnsi="Arial" w:cs="Arial"/>
              </w:rPr>
              <w:t xml:space="preserve">Parent education, </w:t>
            </w:r>
            <w:r w:rsidRPr="00DE0DDB" w:rsidDel="0037359A">
              <w:rPr>
                <w:rFonts w:ascii="Arial" w:hAnsi="Arial" w:cs="Arial"/>
                <w:i/>
              </w:rPr>
              <w:t>% (n)</w:t>
            </w:r>
          </w:p>
        </w:tc>
        <w:tc>
          <w:tcPr>
            <w:tcW w:w="2070" w:type="dxa"/>
          </w:tcPr>
          <w:p w14:paraId="7FB97DFA" w14:textId="77777777" w:rsidR="00192A67" w:rsidRPr="00DE0DDB" w:rsidDel="0037359A" w:rsidRDefault="00192A67" w:rsidP="00192A67">
            <w:pPr>
              <w:jc w:val="center"/>
              <w:rPr>
                <w:rFonts w:ascii="Arial" w:hAnsi="Arial" w:cs="Arial"/>
              </w:rPr>
            </w:pPr>
          </w:p>
        </w:tc>
        <w:tc>
          <w:tcPr>
            <w:tcW w:w="1620" w:type="dxa"/>
          </w:tcPr>
          <w:p w14:paraId="0A22C966" w14:textId="77777777" w:rsidR="00192A67" w:rsidRPr="00DE0DDB" w:rsidDel="0037359A" w:rsidRDefault="00192A67" w:rsidP="00192A67">
            <w:pPr>
              <w:jc w:val="center"/>
              <w:rPr>
                <w:rFonts w:ascii="Arial" w:hAnsi="Arial" w:cs="Arial"/>
              </w:rPr>
            </w:pPr>
          </w:p>
        </w:tc>
        <w:tc>
          <w:tcPr>
            <w:tcW w:w="1530" w:type="dxa"/>
          </w:tcPr>
          <w:p w14:paraId="7394FEFB" w14:textId="77777777" w:rsidR="00192A67" w:rsidRPr="00DE0DDB" w:rsidDel="0037359A" w:rsidRDefault="00192A67" w:rsidP="00192A67">
            <w:pPr>
              <w:jc w:val="center"/>
              <w:rPr>
                <w:rFonts w:ascii="Arial" w:hAnsi="Arial" w:cs="Arial"/>
              </w:rPr>
            </w:pPr>
          </w:p>
        </w:tc>
      </w:tr>
      <w:tr w:rsidR="00192A67" w:rsidRPr="00DE0DDB" w:rsidDel="0037359A" w14:paraId="59852946" w14:textId="77777777" w:rsidTr="00192A67">
        <w:trPr>
          <w:trHeight w:val="308"/>
        </w:trPr>
        <w:tc>
          <w:tcPr>
            <w:tcW w:w="4410" w:type="dxa"/>
          </w:tcPr>
          <w:p w14:paraId="3F12185F" w14:textId="77777777" w:rsidR="00192A67" w:rsidRPr="00DE0DDB" w:rsidDel="0037359A" w:rsidRDefault="00192A67" w:rsidP="00192A67">
            <w:pPr>
              <w:ind w:left="240"/>
              <w:rPr>
                <w:rFonts w:ascii="Arial" w:hAnsi="Arial" w:cs="Arial"/>
              </w:rPr>
            </w:pPr>
            <w:r w:rsidRPr="00DE0DDB" w:rsidDel="0037359A">
              <w:rPr>
                <w:rFonts w:ascii="Arial" w:hAnsi="Arial" w:cs="Arial"/>
              </w:rPr>
              <w:t>High school or less</w:t>
            </w:r>
          </w:p>
        </w:tc>
        <w:tc>
          <w:tcPr>
            <w:tcW w:w="2070" w:type="dxa"/>
          </w:tcPr>
          <w:p w14:paraId="343DDC5D" w14:textId="77777777" w:rsidR="00192A67" w:rsidRPr="00DE0DDB" w:rsidDel="0037359A" w:rsidRDefault="00192A67" w:rsidP="00192A67">
            <w:pPr>
              <w:jc w:val="center"/>
              <w:rPr>
                <w:rFonts w:ascii="Arial" w:hAnsi="Arial" w:cs="Arial"/>
              </w:rPr>
            </w:pPr>
            <w:r w:rsidRPr="00DE0DDB" w:rsidDel="0037359A">
              <w:rPr>
                <w:rFonts w:ascii="Arial" w:hAnsi="Arial" w:cs="Arial"/>
              </w:rPr>
              <w:t>26.6% (29)</w:t>
            </w:r>
          </w:p>
        </w:tc>
        <w:tc>
          <w:tcPr>
            <w:tcW w:w="1620" w:type="dxa"/>
          </w:tcPr>
          <w:p w14:paraId="443BAC2F" w14:textId="77777777" w:rsidR="00192A67" w:rsidRPr="00DE0DDB" w:rsidDel="0037359A" w:rsidRDefault="00192A67" w:rsidP="00192A67">
            <w:pPr>
              <w:jc w:val="center"/>
              <w:rPr>
                <w:rFonts w:ascii="Arial" w:hAnsi="Arial" w:cs="Arial"/>
              </w:rPr>
            </w:pPr>
            <w:r w:rsidRPr="00DE0DDB" w:rsidDel="0037359A">
              <w:rPr>
                <w:rFonts w:ascii="Arial" w:hAnsi="Arial" w:cs="Arial"/>
              </w:rPr>
              <w:t>16.7% (19)</w:t>
            </w:r>
          </w:p>
        </w:tc>
        <w:tc>
          <w:tcPr>
            <w:tcW w:w="1530" w:type="dxa"/>
          </w:tcPr>
          <w:p w14:paraId="40495D18" w14:textId="77777777" w:rsidR="00192A67" w:rsidRPr="00DE0DDB" w:rsidDel="0037359A" w:rsidRDefault="00192A67" w:rsidP="00192A67">
            <w:pPr>
              <w:jc w:val="center"/>
              <w:rPr>
                <w:rFonts w:ascii="Arial" w:hAnsi="Arial" w:cs="Arial"/>
              </w:rPr>
            </w:pPr>
            <w:r w:rsidRPr="00DE0DDB" w:rsidDel="0037359A">
              <w:rPr>
                <w:rFonts w:ascii="Arial" w:hAnsi="Arial" w:cs="Arial"/>
              </w:rPr>
              <w:t>21.8% (12)</w:t>
            </w:r>
          </w:p>
        </w:tc>
      </w:tr>
      <w:tr w:rsidR="00192A67" w:rsidRPr="00DE0DDB" w:rsidDel="0037359A" w14:paraId="5E2B5738" w14:textId="77777777" w:rsidTr="00192A67">
        <w:trPr>
          <w:trHeight w:val="294"/>
        </w:trPr>
        <w:tc>
          <w:tcPr>
            <w:tcW w:w="4410" w:type="dxa"/>
          </w:tcPr>
          <w:p w14:paraId="648D4E2D" w14:textId="77777777" w:rsidR="00192A67" w:rsidRPr="00DE0DDB" w:rsidDel="0037359A" w:rsidRDefault="00192A67" w:rsidP="00192A67">
            <w:pPr>
              <w:ind w:left="240"/>
              <w:rPr>
                <w:rFonts w:ascii="Arial" w:hAnsi="Arial" w:cs="Arial"/>
              </w:rPr>
            </w:pPr>
            <w:r w:rsidRPr="00DE0DDB" w:rsidDel="0037359A">
              <w:rPr>
                <w:rFonts w:ascii="Arial" w:hAnsi="Arial" w:cs="Arial"/>
              </w:rPr>
              <w:t>Vocational school or some college</w:t>
            </w:r>
          </w:p>
        </w:tc>
        <w:tc>
          <w:tcPr>
            <w:tcW w:w="2070" w:type="dxa"/>
          </w:tcPr>
          <w:p w14:paraId="1BFCF5D5" w14:textId="77777777" w:rsidR="00192A67" w:rsidRPr="00DE0DDB" w:rsidDel="0037359A" w:rsidRDefault="00192A67" w:rsidP="00192A67">
            <w:pPr>
              <w:jc w:val="center"/>
              <w:rPr>
                <w:rFonts w:ascii="Arial" w:hAnsi="Arial" w:cs="Arial"/>
              </w:rPr>
            </w:pPr>
            <w:r w:rsidRPr="00DE0DDB" w:rsidDel="0037359A">
              <w:rPr>
                <w:rFonts w:ascii="Arial" w:hAnsi="Arial" w:cs="Arial"/>
              </w:rPr>
              <w:t>32.1% (35)</w:t>
            </w:r>
          </w:p>
        </w:tc>
        <w:tc>
          <w:tcPr>
            <w:tcW w:w="1620" w:type="dxa"/>
          </w:tcPr>
          <w:p w14:paraId="526FABEB" w14:textId="77777777" w:rsidR="00192A67" w:rsidRPr="00DE0DDB" w:rsidDel="0037359A" w:rsidRDefault="00192A67" w:rsidP="00192A67">
            <w:pPr>
              <w:jc w:val="center"/>
              <w:rPr>
                <w:rFonts w:ascii="Arial" w:hAnsi="Arial" w:cs="Arial"/>
              </w:rPr>
            </w:pPr>
            <w:r w:rsidRPr="00DE0DDB" w:rsidDel="0037359A">
              <w:rPr>
                <w:rFonts w:ascii="Arial" w:hAnsi="Arial" w:cs="Arial"/>
              </w:rPr>
              <w:t>36.8% (42)</w:t>
            </w:r>
          </w:p>
        </w:tc>
        <w:tc>
          <w:tcPr>
            <w:tcW w:w="1530" w:type="dxa"/>
          </w:tcPr>
          <w:p w14:paraId="21233169" w14:textId="77777777" w:rsidR="00192A67" w:rsidRPr="00DE0DDB" w:rsidDel="0037359A" w:rsidRDefault="00192A67" w:rsidP="00192A67">
            <w:pPr>
              <w:jc w:val="center"/>
              <w:rPr>
                <w:rFonts w:ascii="Arial" w:hAnsi="Arial" w:cs="Arial"/>
              </w:rPr>
            </w:pPr>
            <w:r w:rsidRPr="00DE0DDB" w:rsidDel="0037359A">
              <w:rPr>
                <w:rFonts w:ascii="Arial" w:hAnsi="Arial" w:cs="Arial"/>
              </w:rPr>
              <w:t>40.0% (22)</w:t>
            </w:r>
          </w:p>
        </w:tc>
      </w:tr>
      <w:tr w:rsidR="00192A67" w:rsidRPr="00DE0DDB" w:rsidDel="0037359A" w14:paraId="44CB7FF0" w14:textId="77777777" w:rsidTr="00192A67">
        <w:trPr>
          <w:trHeight w:val="294"/>
        </w:trPr>
        <w:tc>
          <w:tcPr>
            <w:tcW w:w="4410" w:type="dxa"/>
          </w:tcPr>
          <w:p w14:paraId="3FBDE386" w14:textId="77777777" w:rsidR="00192A67" w:rsidRPr="00DE0DDB" w:rsidDel="0037359A" w:rsidRDefault="00192A67" w:rsidP="00192A67">
            <w:pPr>
              <w:ind w:left="240"/>
              <w:rPr>
                <w:rFonts w:ascii="Arial" w:hAnsi="Arial" w:cs="Arial"/>
              </w:rPr>
            </w:pPr>
            <w:r w:rsidRPr="00DE0DDB" w:rsidDel="0037359A">
              <w:rPr>
                <w:rFonts w:ascii="Arial" w:hAnsi="Arial" w:cs="Arial"/>
              </w:rPr>
              <w:t>Four-year college</w:t>
            </w:r>
          </w:p>
        </w:tc>
        <w:tc>
          <w:tcPr>
            <w:tcW w:w="2070" w:type="dxa"/>
          </w:tcPr>
          <w:p w14:paraId="72CE5FE5" w14:textId="77777777" w:rsidR="00192A67" w:rsidRPr="00DE0DDB" w:rsidDel="0037359A" w:rsidRDefault="00192A67" w:rsidP="00192A67">
            <w:pPr>
              <w:jc w:val="center"/>
              <w:rPr>
                <w:rFonts w:ascii="Arial" w:hAnsi="Arial" w:cs="Arial"/>
              </w:rPr>
            </w:pPr>
            <w:r w:rsidRPr="00DE0DDB" w:rsidDel="0037359A">
              <w:rPr>
                <w:rFonts w:ascii="Arial" w:hAnsi="Arial" w:cs="Arial"/>
              </w:rPr>
              <w:t>31.2% (34)</w:t>
            </w:r>
          </w:p>
        </w:tc>
        <w:tc>
          <w:tcPr>
            <w:tcW w:w="1620" w:type="dxa"/>
          </w:tcPr>
          <w:p w14:paraId="7241DAAF" w14:textId="77777777" w:rsidR="00192A67" w:rsidRPr="00DE0DDB" w:rsidDel="0037359A" w:rsidRDefault="00192A67" w:rsidP="00192A67">
            <w:pPr>
              <w:jc w:val="center"/>
              <w:rPr>
                <w:rFonts w:ascii="Arial" w:hAnsi="Arial" w:cs="Arial"/>
              </w:rPr>
            </w:pPr>
            <w:r w:rsidRPr="00DE0DDB" w:rsidDel="0037359A">
              <w:rPr>
                <w:rFonts w:ascii="Arial" w:hAnsi="Arial" w:cs="Arial"/>
              </w:rPr>
              <w:t>32.5% (37)</w:t>
            </w:r>
          </w:p>
        </w:tc>
        <w:tc>
          <w:tcPr>
            <w:tcW w:w="1530" w:type="dxa"/>
          </w:tcPr>
          <w:p w14:paraId="636F6D93" w14:textId="77777777" w:rsidR="00192A67" w:rsidRPr="00DE0DDB" w:rsidDel="0037359A" w:rsidRDefault="00192A67" w:rsidP="00192A67">
            <w:pPr>
              <w:jc w:val="center"/>
              <w:rPr>
                <w:rFonts w:ascii="Arial" w:hAnsi="Arial" w:cs="Arial"/>
              </w:rPr>
            </w:pPr>
            <w:r w:rsidRPr="00DE0DDB" w:rsidDel="0037359A">
              <w:rPr>
                <w:rFonts w:ascii="Arial" w:hAnsi="Arial" w:cs="Arial"/>
              </w:rPr>
              <w:t>25.5% (14)</w:t>
            </w:r>
          </w:p>
        </w:tc>
      </w:tr>
      <w:tr w:rsidR="00192A67" w:rsidRPr="00DE0DDB" w:rsidDel="0037359A" w14:paraId="4E01854B" w14:textId="77777777" w:rsidTr="00192A67">
        <w:trPr>
          <w:trHeight w:val="308"/>
        </w:trPr>
        <w:tc>
          <w:tcPr>
            <w:tcW w:w="4410" w:type="dxa"/>
          </w:tcPr>
          <w:p w14:paraId="4DF7E45E" w14:textId="77777777" w:rsidR="00192A67" w:rsidRPr="00DE0DDB" w:rsidDel="0037359A" w:rsidRDefault="00192A67" w:rsidP="00192A67">
            <w:pPr>
              <w:ind w:left="240"/>
              <w:rPr>
                <w:rFonts w:ascii="Arial" w:hAnsi="Arial" w:cs="Arial"/>
              </w:rPr>
            </w:pPr>
            <w:r w:rsidRPr="00DE0DDB" w:rsidDel="0037359A">
              <w:rPr>
                <w:rFonts w:ascii="Arial" w:hAnsi="Arial" w:cs="Arial"/>
              </w:rPr>
              <w:t>Graduate or professional school</w:t>
            </w:r>
          </w:p>
        </w:tc>
        <w:tc>
          <w:tcPr>
            <w:tcW w:w="2070" w:type="dxa"/>
          </w:tcPr>
          <w:p w14:paraId="3A00BD3F" w14:textId="77777777" w:rsidR="00192A67" w:rsidRPr="00DE0DDB" w:rsidDel="0037359A" w:rsidRDefault="00192A67" w:rsidP="00192A67">
            <w:pPr>
              <w:jc w:val="center"/>
              <w:rPr>
                <w:rFonts w:ascii="Arial" w:hAnsi="Arial" w:cs="Arial"/>
              </w:rPr>
            </w:pPr>
            <w:r w:rsidRPr="00DE0DDB" w:rsidDel="0037359A">
              <w:rPr>
                <w:rFonts w:ascii="Arial" w:hAnsi="Arial" w:cs="Arial"/>
              </w:rPr>
              <w:t>10.1% (11)</w:t>
            </w:r>
          </w:p>
        </w:tc>
        <w:tc>
          <w:tcPr>
            <w:tcW w:w="1620" w:type="dxa"/>
          </w:tcPr>
          <w:p w14:paraId="4968DE39" w14:textId="77777777" w:rsidR="00192A67" w:rsidRPr="00DE0DDB" w:rsidDel="0037359A" w:rsidRDefault="00192A67" w:rsidP="00192A67">
            <w:pPr>
              <w:jc w:val="center"/>
              <w:rPr>
                <w:rFonts w:ascii="Arial" w:hAnsi="Arial" w:cs="Arial"/>
              </w:rPr>
            </w:pPr>
            <w:r w:rsidRPr="00DE0DDB" w:rsidDel="0037359A">
              <w:rPr>
                <w:rFonts w:ascii="Arial" w:hAnsi="Arial" w:cs="Arial"/>
              </w:rPr>
              <w:t>14.0% (16)</w:t>
            </w:r>
          </w:p>
        </w:tc>
        <w:tc>
          <w:tcPr>
            <w:tcW w:w="1530" w:type="dxa"/>
          </w:tcPr>
          <w:p w14:paraId="5721FD5C" w14:textId="77777777" w:rsidR="00192A67" w:rsidRPr="00DE0DDB" w:rsidDel="0037359A" w:rsidRDefault="00192A67" w:rsidP="00192A67">
            <w:pPr>
              <w:jc w:val="center"/>
              <w:rPr>
                <w:rFonts w:ascii="Arial" w:hAnsi="Arial" w:cs="Arial"/>
              </w:rPr>
            </w:pPr>
            <w:r w:rsidRPr="00DE0DDB" w:rsidDel="0037359A">
              <w:rPr>
                <w:rFonts w:ascii="Arial" w:hAnsi="Arial" w:cs="Arial"/>
              </w:rPr>
              <w:t>12.7% (7)</w:t>
            </w:r>
          </w:p>
        </w:tc>
      </w:tr>
      <w:tr w:rsidR="00192A67" w:rsidRPr="00DE0DDB" w:rsidDel="0037359A" w14:paraId="432FB4BC" w14:textId="77777777" w:rsidTr="00192A67">
        <w:trPr>
          <w:trHeight w:val="294"/>
        </w:trPr>
        <w:tc>
          <w:tcPr>
            <w:tcW w:w="4410" w:type="dxa"/>
          </w:tcPr>
          <w:p w14:paraId="2B63640A" w14:textId="77777777" w:rsidR="00192A67" w:rsidRPr="00DE0DDB" w:rsidDel="0037359A" w:rsidRDefault="00192A67" w:rsidP="00192A67">
            <w:pPr>
              <w:spacing w:before="60"/>
              <w:ind w:hanging="29"/>
              <w:rPr>
                <w:rFonts w:ascii="Arial" w:hAnsi="Arial" w:cs="Arial"/>
              </w:rPr>
            </w:pPr>
            <w:r w:rsidRPr="00DE0DDB" w:rsidDel="0037359A">
              <w:rPr>
                <w:rFonts w:ascii="Arial" w:hAnsi="Arial" w:cs="Arial"/>
              </w:rPr>
              <w:t xml:space="preserve">Parent marital status, </w:t>
            </w:r>
            <w:r w:rsidRPr="00DE0DDB" w:rsidDel="0037359A">
              <w:rPr>
                <w:rFonts w:ascii="Arial" w:hAnsi="Arial" w:cs="Arial"/>
                <w:i/>
              </w:rPr>
              <w:t>% (n)</w:t>
            </w:r>
          </w:p>
        </w:tc>
        <w:tc>
          <w:tcPr>
            <w:tcW w:w="2070" w:type="dxa"/>
          </w:tcPr>
          <w:p w14:paraId="1F01ACA6" w14:textId="77777777" w:rsidR="00192A67" w:rsidRPr="00DE0DDB" w:rsidDel="0037359A" w:rsidRDefault="00192A67" w:rsidP="00192A67">
            <w:pPr>
              <w:jc w:val="center"/>
              <w:rPr>
                <w:rFonts w:ascii="Arial" w:hAnsi="Arial" w:cs="Arial"/>
              </w:rPr>
            </w:pPr>
          </w:p>
        </w:tc>
        <w:tc>
          <w:tcPr>
            <w:tcW w:w="1620" w:type="dxa"/>
          </w:tcPr>
          <w:p w14:paraId="1E492E0E" w14:textId="77777777" w:rsidR="00192A67" w:rsidRPr="00DE0DDB" w:rsidDel="0037359A" w:rsidRDefault="00192A67" w:rsidP="00192A67">
            <w:pPr>
              <w:jc w:val="center"/>
              <w:rPr>
                <w:rFonts w:ascii="Arial" w:hAnsi="Arial" w:cs="Arial"/>
              </w:rPr>
            </w:pPr>
          </w:p>
        </w:tc>
        <w:tc>
          <w:tcPr>
            <w:tcW w:w="1530" w:type="dxa"/>
          </w:tcPr>
          <w:p w14:paraId="78788914" w14:textId="77777777" w:rsidR="00192A67" w:rsidRPr="00DE0DDB" w:rsidDel="0037359A" w:rsidRDefault="00192A67" w:rsidP="00192A67">
            <w:pPr>
              <w:jc w:val="center"/>
              <w:rPr>
                <w:rFonts w:ascii="Arial" w:hAnsi="Arial" w:cs="Arial"/>
              </w:rPr>
            </w:pPr>
          </w:p>
        </w:tc>
      </w:tr>
      <w:tr w:rsidR="00192A67" w:rsidRPr="00DE0DDB" w:rsidDel="0037359A" w14:paraId="492AED1D" w14:textId="77777777" w:rsidTr="00192A67">
        <w:trPr>
          <w:trHeight w:val="294"/>
        </w:trPr>
        <w:tc>
          <w:tcPr>
            <w:tcW w:w="4410" w:type="dxa"/>
          </w:tcPr>
          <w:p w14:paraId="18355C80" w14:textId="77777777" w:rsidR="00192A67" w:rsidRPr="00DE0DDB" w:rsidDel="0037359A" w:rsidRDefault="00192A67" w:rsidP="00192A67">
            <w:pPr>
              <w:ind w:left="-30" w:firstLine="270"/>
              <w:rPr>
                <w:rFonts w:ascii="Arial" w:hAnsi="Arial" w:cs="Arial"/>
              </w:rPr>
            </w:pPr>
            <w:r w:rsidRPr="00DE0DDB" w:rsidDel="0037359A">
              <w:rPr>
                <w:rFonts w:ascii="Arial" w:hAnsi="Arial" w:cs="Arial"/>
              </w:rPr>
              <w:t>Married or partnered</w:t>
            </w:r>
          </w:p>
        </w:tc>
        <w:tc>
          <w:tcPr>
            <w:tcW w:w="2070" w:type="dxa"/>
          </w:tcPr>
          <w:p w14:paraId="522A69EC" w14:textId="77777777" w:rsidR="00192A67" w:rsidRPr="00DE0DDB" w:rsidDel="0037359A" w:rsidRDefault="00192A67" w:rsidP="00192A67">
            <w:pPr>
              <w:jc w:val="center"/>
              <w:rPr>
                <w:rFonts w:ascii="Arial" w:hAnsi="Arial" w:cs="Arial"/>
              </w:rPr>
            </w:pPr>
            <w:r w:rsidRPr="00DE0DDB" w:rsidDel="0037359A">
              <w:rPr>
                <w:rFonts w:ascii="Arial" w:hAnsi="Arial" w:cs="Arial"/>
              </w:rPr>
              <w:t>69.7% (76)</w:t>
            </w:r>
          </w:p>
        </w:tc>
        <w:tc>
          <w:tcPr>
            <w:tcW w:w="1620" w:type="dxa"/>
          </w:tcPr>
          <w:p w14:paraId="402E7141" w14:textId="77777777" w:rsidR="00192A67" w:rsidRPr="00DE0DDB" w:rsidDel="0037359A" w:rsidRDefault="00192A67" w:rsidP="00192A67">
            <w:pPr>
              <w:jc w:val="center"/>
              <w:rPr>
                <w:rFonts w:ascii="Arial" w:hAnsi="Arial" w:cs="Arial"/>
              </w:rPr>
            </w:pPr>
            <w:r w:rsidRPr="00DE0DDB" w:rsidDel="0037359A">
              <w:rPr>
                <w:rFonts w:ascii="Arial" w:hAnsi="Arial" w:cs="Arial"/>
              </w:rPr>
              <w:t>71.9% (82)</w:t>
            </w:r>
          </w:p>
        </w:tc>
        <w:tc>
          <w:tcPr>
            <w:tcW w:w="1530" w:type="dxa"/>
          </w:tcPr>
          <w:p w14:paraId="50BBA161" w14:textId="77777777" w:rsidR="00192A67" w:rsidRPr="00DE0DDB" w:rsidDel="0037359A" w:rsidRDefault="00192A67" w:rsidP="00192A67">
            <w:pPr>
              <w:jc w:val="center"/>
              <w:rPr>
                <w:rFonts w:ascii="Arial" w:hAnsi="Arial" w:cs="Arial"/>
              </w:rPr>
            </w:pPr>
            <w:r w:rsidRPr="00DE0DDB" w:rsidDel="0037359A">
              <w:rPr>
                <w:rFonts w:ascii="Arial" w:hAnsi="Arial" w:cs="Arial"/>
              </w:rPr>
              <w:t>78.2% (43)</w:t>
            </w:r>
          </w:p>
        </w:tc>
      </w:tr>
      <w:tr w:rsidR="00192A67" w:rsidRPr="00DE0DDB" w:rsidDel="0037359A" w14:paraId="2DBB50FC" w14:textId="77777777" w:rsidTr="00192A67">
        <w:trPr>
          <w:trHeight w:val="627"/>
        </w:trPr>
        <w:tc>
          <w:tcPr>
            <w:tcW w:w="4410" w:type="dxa"/>
          </w:tcPr>
          <w:p w14:paraId="0ED75A70" w14:textId="77777777" w:rsidR="00192A67" w:rsidRPr="00DE0DDB" w:rsidDel="0037359A" w:rsidRDefault="00192A67" w:rsidP="00192A67">
            <w:pPr>
              <w:ind w:left="240"/>
              <w:rPr>
                <w:rFonts w:ascii="Arial" w:hAnsi="Arial" w:cs="Arial"/>
              </w:rPr>
            </w:pPr>
            <w:r w:rsidRPr="00DE0DDB" w:rsidDel="0037359A">
              <w:rPr>
                <w:rFonts w:ascii="Arial" w:hAnsi="Arial" w:cs="Arial"/>
              </w:rPr>
              <w:t>Single, Divorced, or Separated</w:t>
            </w:r>
          </w:p>
        </w:tc>
        <w:tc>
          <w:tcPr>
            <w:tcW w:w="2070" w:type="dxa"/>
          </w:tcPr>
          <w:p w14:paraId="76B5398D" w14:textId="77777777" w:rsidR="00192A67" w:rsidRPr="00DE0DDB" w:rsidDel="0037359A" w:rsidRDefault="00192A67" w:rsidP="00192A67">
            <w:pPr>
              <w:jc w:val="center"/>
              <w:rPr>
                <w:rFonts w:ascii="Arial" w:hAnsi="Arial" w:cs="Arial"/>
              </w:rPr>
            </w:pPr>
            <w:r w:rsidRPr="00DE0DDB" w:rsidDel="0037359A">
              <w:rPr>
                <w:rFonts w:ascii="Arial" w:hAnsi="Arial" w:cs="Arial"/>
              </w:rPr>
              <w:t>30.3% (33)</w:t>
            </w:r>
          </w:p>
        </w:tc>
        <w:tc>
          <w:tcPr>
            <w:tcW w:w="1620" w:type="dxa"/>
          </w:tcPr>
          <w:p w14:paraId="216DBF46" w14:textId="77777777" w:rsidR="00192A67" w:rsidRPr="00DE0DDB" w:rsidDel="0037359A" w:rsidRDefault="00192A67" w:rsidP="00192A67">
            <w:pPr>
              <w:jc w:val="center"/>
              <w:rPr>
                <w:rFonts w:ascii="Arial" w:hAnsi="Arial" w:cs="Arial"/>
              </w:rPr>
            </w:pPr>
            <w:r w:rsidRPr="00DE0DDB" w:rsidDel="0037359A">
              <w:rPr>
                <w:rFonts w:ascii="Arial" w:hAnsi="Arial" w:cs="Arial"/>
              </w:rPr>
              <w:t>21.1% (32)</w:t>
            </w:r>
          </w:p>
        </w:tc>
        <w:tc>
          <w:tcPr>
            <w:tcW w:w="1530" w:type="dxa"/>
          </w:tcPr>
          <w:p w14:paraId="0A4FAD62" w14:textId="77777777" w:rsidR="00192A67" w:rsidRPr="00DE0DDB" w:rsidDel="0037359A" w:rsidRDefault="00192A67" w:rsidP="00192A67">
            <w:pPr>
              <w:jc w:val="center"/>
              <w:rPr>
                <w:rFonts w:ascii="Arial" w:hAnsi="Arial" w:cs="Arial"/>
              </w:rPr>
            </w:pPr>
            <w:r w:rsidRPr="00DE0DDB" w:rsidDel="0037359A">
              <w:rPr>
                <w:rFonts w:ascii="Arial" w:hAnsi="Arial" w:cs="Arial"/>
              </w:rPr>
              <w:t>21.8% (12)</w:t>
            </w:r>
          </w:p>
        </w:tc>
      </w:tr>
      <w:tr w:rsidR="00192A67" w:rsidRPr="00DE0DDB" w:rsidDel="0037359A" w14:paraId="04DC2E6C" w14:textId="77777777" w:rsidTr="00192A67">
        <w:trPr>
          <w:trHeight w:val="340"/>
        </w:trPr>
        <w:tc>
          <w:tcPr>
            <w:tcW w:w="4410" w:type="dxa"/>
          </w:tcPr>
          <w:p w14:paraId="061E98DC" w14:textId="77777777" w:rsidR="00192A67" w:rsidRPr="00DE0DDB" w:rsidRDefault="00192A67" w:rsidP="00192A67">
            <w:pPr>
              <w:ind w:left="255" w:hanging="285"/>
              <w:rPr>
                <w:rFonts w:ascii="Arial" w:hAnsi="Arial" w:cs="Arial"/>
              </w:rPr>
            </w:pPr>
            <w:r w:rsidRPr="00DE0DDB">
              <w:rPr>
                <w:rFonts w:ascii="Arial" w:hAnsi="Arial" w:cs="Arial"/>
              </w:rPr>
              <w:t xml:space="preserve">Baseline GI symptom severity (CSSI), </w:t>
            </w:r>
            <w:r w:rsidRPr="00DE0DDB" w:rsidDel="0037359A">
              <w:rPr>
                <w:rFonts w:ascii="Arial" w:hAnsi="Arial" w:cs="Arial"/>
                <w:i/>
              </w:rPr>
              <w:t>M ± SD</w:t>
            </w:r>
          </w:p>
        </w:tc>
        <w:tc>
          <w:tcPr>
            <w:tcW w:w="2070" w:type="dxa"/>
          </w:tcPr>
          <w:p w14:paraId="5EDAE412" w14:textId="77777777" w:rsidR="00192A67" w:rsidRPr="00DE0DDB" w:rsidRDefault="00192A67" w:rsidP="00192A67">
            <w:pPr>
              <w:jc w:val="center"/>
              <w:rPr>
                <w:rFonts w:ascii="Arial" w:hAnsi="Arial" w:cs="Arial"/>
              </w:rPr>
            </w:pPr>
            <w:r w:rsidRPr="00DE0DDB">
              <w:rPr>
                <w:rFonts w:ascii="Arial" w:hAnsi="Arial" w:cs="Arial"/>
              </w:rPr>
              <w:t xml:space="preserve">2.05 </w:t>
            </w:r>
            <w:r w:rsidRPr="00DE0DDB" w:rsidDel="0037359A">
              <w:rPr>
                <w:rFonts w:ascii="Arial" w:hAnsi="Arial" w:cs="Arial"/>
              </w:rPr>
              <w:t>±</w:t>
            </w:r>
            <w:r w:rsidRPr="00DE0DDB">
              <w:rPr>
                <w:rFonts w:ascii="Arial" w:hAnsi="Arial" w:cs="Arial"/>
              </w:rPr>
              <w:t xml:space="preserve"> .67</w:t>
            </w:r>
            <w:r w:rsidRPr="00DE0DDB">
              <w:rPr>
                <w:rFonts w:ascii="Arial" w:hAnsi="Arial" w:cs="Arial"/>
                <w:vertAlign w:val="superscript"/>
              </w:rPr>
              <w:t>a</w:t>
            </w:r>
          </w:p>
        </w:tc>
        <w:tc>
          <w:tcPr>
            <w:tcW w:w="1620" w:type="dxa"/>
          </w:tcPr>
          <w:p w14:paraId="0E6C7091" w14:textId="77777777" w:rsidR="00192A67" w:rsidRPr="00DE0DDB" w:rsidRDefault="00192A67" w:rsidP="00192A67">
            <w:pPr>
              <w:jc w:val="center"/>
              <w:rPr>
                <w:rFonts w:ascii="Arial" w:hAnsi="Arial" w:cs="Arial"/>
              </w:rPr>
            </w:pPr>
            <w:r w:rsidRPr="00DE0DDB">
              <w:rPr>
                <w:rFonts w:ascii="Arial" w:hAnsi="Arial" w:cs="Arial"/>
              </w:rPr>
              <w:t xml:space="preserve">1.50 </w:t>
            </w:r>
            <w:r w:rsidRPr="00DE0DDB" w:rsidDel="0037359A">
              <w:rPr>
                <w:rFonts w:ascii="Arial" w:hAnsi="Arial" w:cs="Arial"/>
              </w:rPr>
              <w:t>±</w:t>
            </w:r>
            <w:r w:rsidRPr="00DE0DDB">
              <w:rPr>
                <w:rFonts w:ascii="Arial" w:hAnsi="Arial" w:cs="Arial"/>
              </w:rPr>
              <w:t xml:space="preserve"> .62</w:t>
            </w:r>
            <w:r w:rsidRPr="00DE0DDB">
              <w:rPr>
                <w:rFonts w:ascii="Arial" w:hAnsi="Arial" w:cs="Arial"/>
                <w:vertAlign w:val="superscript"/>
              </w:rPr>
              <w:t>b</w:t>
            </w:r>
          </w:p>
        </w:tc>
        <w:tc>
          <w:tcPr>
            <w:tcW w:w="1530" w:type="dxa"/>
          </w:tcPr>
          <w:p w14:paraId="71271EF9" w14:textId="77777777" w:rsidR="00192A67" w:rsidRPr="00DE0DDB" w:rsidRDefault="00192A67" w:rsidP="00192A67">
            <w:pPr>
              <w:jc w:val="center"/>
              <w:rPr>
                <w:rFonts w:ascii="Arial" w:hAnsi="Arial" w:cs="Arial"/>
              </w:rPr>
            </w:pPr>
            <w:r w:rsidRPr="00DE0DDB">
              <w:rPr>
                <w:rFonts w:ascii="Arial" w:hAnsi="Arial" w:cs="Arial"/>
              </w:rPr>
              <w:t xml:space="preserve">.92 </w:t>
            </w:r>
            <w:r w:rsidRPr="00DE0DDB" w:rsidDel="0037359A">
              <w:rPr>
                <w:rFonts w:ascii="Arial" w:hAnsi="Arial" w:cs="Arial"/>
              </w:rPr>
              <w:t>±</w:t>
            </w:r>
            <w:r w:rsidRPr="00DE0DDB">
              <w:rPr>
                <w:rFonts w:ascii="Arial" w:hAnsi="Arial" w:cs="Arial"/>
              </w:rPr>
              <w:t xml:space="preserve"> .56</w:t>
            </w:r>
            <w:r w:rsidRPr="00DE0DDB">
              <w:rPr>
                <w:rFonts w:ascii="Arial" w:hAnsi="Arial" w:cs="Arial"/>
                <w:vertAlign w:val="superscript"/>
              </w:rPr>
              <w:t>c</w:t>
            </w:r>
          </w:p>
        </w:tc>
      </w:tr>
      <w:tr w:rsidR="00192A67" w:rsidRPr="00DE0DDB" w:rsidDel="0037359A" w14:paraId="0FEFA312" w14:textId="77777777" w:rsidTr="00192A67">
        <w:trPr>
          <w:trHeight w:val="340"/>
        </w:trPr>
        <w:tc>
          <w:tcPr>
            <w:tcW w:w="4410" w:type="dxa"/>
          </w:tcPr>
          <w:p w14:paraId="0DED915F" w14:textId="77777777" w:rsidR="00192A67" w:rsidRPr="00DE0DDB" w:rsidDel="0037359A" w:rsidRDefault="00192A67" w:rsidP="00192A67">
            <w:pPr>
              <w:ind w:left="255" w:hanging="285"/>
              <w:rPr>
                <w:rFonts w:ascii="Arial" w:hAnsi="Arial" w:cs="Arial"/>
              </w:rPr>
            </w:pPr>
            <w:r w:rsidRPr="00DE0DDB">
              <w:rPr>
                <w:rFonts w:ascii="Arial" w:hAnsi="Arial" w:cs="Arial"/>
              </w:rPr>
              <w:t xml:space="preserve">Baseline abdominal pain severity (API), </w:t>
            </w:r>
            <w:r w:rsidRPr="00DE0DDB" w:rsidDel="0037359A">
              <w:rPr>
                <w:rFonts w:ascii="Arial" w:hAnsi="Arial" w:cs="Arial"/>
                <w:i/>
              </w:rPr>
              <w:t>M ± SD</w:t>
            </w:r>
          </w:p>
        </w:tc>
        <w:tc>
          <w:tcPr>
            <w:tcW w:w="2070" w:type="dxa"/>
          </w:tcPr>
          <w:p w14:paraId="6DEE9C76" w14:textId="77777777" w:rsidR="00192A67" w:rsidRPr="00DE0DDB" w:rsidDel="0037359A" w:rsidRDefault="00192A67" w:rsidP="00192A67">
            <w:pPr>
              <w:jc w:val="center"/>
              <w:rPr>
                <w:rFonts w:ascii="Arial" w:hAnsi="Arial" w:cs="Arial"/>
                <w:vertAlign w:val="superscript"/>
              </w:rPr>
            </w:pPr>
            <w:r w:rsidRPr="00DE0DDB">
              <w:rPr>
                <w:rFonts w:ascii="Arial" w:hAnsi="Arial" w:cs="Arial"/>
              </w:rPr>
              <w:t xml:space="preserve">2.75 </w:t>
            </w:r>
            <w:proofErr w:type="gramStart"/>
            <w:r w:rsidRPr="00DE0DDB" w:rsidDel="0037359A">
              <w:rPr>
                <w:rFonts w:ascii="Arial" w:hAnsi="Arial" w:cs="Arial"/>
              </w:rPr>
              <w:t>±</w:t>
            </w:r>
            <w:r w:rsidRPr="00DE0DDB">
              <w:rPr>
                <w:rFonts w:ascii="Arial" w:hAnsi="Arial" w:cs="Arial"/>
              </w:rPr>
              <w:t xml:space="preserve">  .</w:t>
            </w:r>
            <w:proofErr w:type="gramEnd"/>
            <w:r w:rsidRPr="00DE0DDB">
              <w:rPr>
                <w:rFonts w:ascii="Arial" w:hAnsi="Arial" w:cs="Arial"/>
              </w:rPr>
              <w:t>75</w:t>
            </w:r>
            <w:r w:rsidRPr="00DE0DDB">
              <w:rPr>
                <w:rFonts w:ascii="Arial" w:hAnsi="Arial" w:cs="Arial"/>
                <w:vertAlign w:val="superscript"/>
              </w:rPr>
              <w:t>a</w:t>
            </w:r>
          </w:p>
        </w:tc>
        <w:tc>
          <w:tcPr>
            <w:tcW w:w="1620" w:type="dxa"/>
          </w:tcPr>
          <w:p w14:paraId="75F5487C" w14:textId="77777777" w:rsidR="00192A67" w:rsidRPr="00DE0DDB" w:rsidDel="0037359A" w:rsidRDefault="00192A67" w:rsidP="00192A67">
            <w:pPr>
              <w:jc w:val="center"/>
              <w:rPr>
                <w:rFonts w:ascii="Arial" w:hAnsi="Arial" w:cs="Arial"/>
                <w:vertAlign w:val="superscript"/>
              </w:rPr>
            </w:pPr>
            <w:r w:rsidRPr="00DE0DDB">
              <w:rPr>
                <w:rFonts w:ascii="Arial" w:hAnsi="Arial" w:cs="Arial"/>
              </w:rPr>
              <w:t xml:space="preserve">2.24 </w:t>
            </w:r>
            <w:r w:rsidRPr="00DE0DDB" w:rsidDel="0037359A">
              <w:rPr>
                <w:rFonts w:ascii="Arial" w:hAnsi="Arial" w:cs="Arial"/>
              </w:rPr>
              <w:t>±</w:t>
            </w:r>
            <w:r w:rsidRPr="00DE0DDB">
              <w:rPr>
                <w:rFonts w:ascii="Arial" w:hAnsi="Arial" w:cs="Arial"/>
              </w:rPr>
              <w:t xml:space="preserve"> .75</w:t>
            </w:r>
            <w:r w:rsidRPr="00DE0DDB">
              <w:rPr>
                <w:rFonts w:ascii="Arial" w:hAnsi="Arial" w:cs="Arial"/>
                <w:vertAlign w:val="superscript"/>
              </w:rPr>
              <w:t>b</w:t>
            </w:r>
          </w:p>
        </w:tc>
        <w:tc>
          <w:tcPr>
            <w:tcW w:w="1530" w:type="dxa"/>
          </w:tcPr>
          <w:p w14:paraId="5DEAB35B" w14:textId="77777777" w:rsidR="00192A67" w:rsidRPr="00DE0DDB" w:rsidDel="0037359A" w:rsidRDefault="00192A67" w:rsidP="00192A67">
            <w:pPr>
              <w:jc w:val="center"/>
              <w:rPr>
                <w:rFonts w:ascii="Arial" w:hAnsi="Arial" w:cs="Arial"/>
                <w:vertAlign w:val="superscript"/>
              </w:rPr>
            </w:pPr>
            <w:r w:rsidRPr="00DE0DDB">
              <w:rPr>
                <w:rFonts w:ascii="Arial" w:hAnsi="Arial" w:cs="Arial"/>
              </w:rPr>
              <w:t xml:space="preserve">1.33 </w:t>
            </w:r>
            <w:proofErr w:type="gramStart"/>
            <w:r w:rsidRPr="00DE0DDB" w:rsidDel="0037359A">
              <w:rPr>
                <w:rFonts w:ascii="Arial" w:hAnsi="Arial" w:cs="Arial"/>
              </w:rPr>
              <w:t>±</w:t>
            </w:r>
            <w:r w:rsidRPr="00DE0DDB">
              <w:rPr>
                <w:rFonts w:ascii="Arial" w:hAnsi="Arial" w:cs="Arial"/>
              </w:rPr>
              <w:t xml:space="preserve">  .</w:t>
            </w:r>
            <w:proofErr w:type="gramEnd"/>
            <w:r w:rsidRPr="00DE0DDB">
              <w:rPr>
                <w:rFonts w:ascii="Arial" w:hAnsi="Arial" w:cs="Arial"/>
              </w:rPr>
              <w:t>48</w:t>
            </w:r>
            <w:r w:rsidRPr="00DE0DDB">
              <w:rPr>
                <w:rFonts w:ascii="Arial" w:hAnsi="Arial" w:cs="Arial"/>
                <w:vertAlign w:val="superscript"/>
              </w:rPr>
              <w:t>c</w:t>
            </w:r>
          </w:p>
        </w:tc>
      </w:tr>
      <w:tr w:rsidR="00192A67" w:rsidRPr="00DE0DDB" w:rsidDel="0037359A" w14:paraId="23BD1BE8" w14:textId="77777777" w:rsidTr="00192A67">
        <w:trPr>
          <w:trHeight w:val="340"/>
        </w:trPr>
        <w:tc>
          <w:tcPr>
            <w:tcW w:w="4410" w:type="dxa"/>
            <w:tcBorders>
              <w:bottom w:val="single" w:sz="4" w:space="0" w:color="auto"/>
            </w:tcBorders>
          </w:tcPr>
          <w:p w14:paraId="774FAA6D" w14:textId="77777777" w:rsidR="00192A67" w:rsidRPr="00DE0DDB" w:rsidDel="0037359A" w:rsidRDefault="00192A67" w:rsidP="00192A67">
            <w:pPr>
              <w:rPr>
                <w:rFonts w:ascii="Arial" w:hAnsi="Arial" w:cs="Arial"/>
              </w:rPr>
            </w:pPr>
            <w:r w:rsidRPr="00DE0DDB">
              <w:rPr>
                <w:rFonts w:ascii="Arial" w:hAnsi="Arial" w:cs="Arial"/>
              </w:rPr>
              <w:t xml:space="preserve">Baseline pain interference (PROMIS), </w:t>
            </w:r>
            <w:r w:rsidRPr="00DE0DDB" w:rsidDel="0037359A">
              <w:rPr>
                <w:rFonts w:ascii="Arial" w:hAnsi="Arial" w:cs="Arial"/>
                <w:i/>
              </w:rPr>
              <w:t>M ± SD</w:t>
            </w:r>
          </w:p>
        </w:tc>
        <w:tc>
          <w:tcPr>
            <w:tcW w:w="2070" w:type="dxa"/>
            <w:tcBorders>
              <w:bottom w:val="single" w:sz="4" w:space="0" w:color="auto"/>
            </w:tcBorders>
          </w:tcPr>
          <w:p w14:paraId="4649FCFA" w14:textId="77777777" w:rsidR="00192A67" w:rsidRPr="00DE0DDB" w:rsidDel="0037359A" w:rsidRDefault="00192A67" w:rsidP="00192A67">
            <w:pPr>
              <w:jc w:val="center"/>
              <w:rPr>
                <w:rFonts w:ascii="Arial" w:hAnsi="Arial" w:cs="Arial"/>
                <w:vertAlign w:val="superscript"/>
              </w:rPr>
            </w:pPr>
            <w:r w:rsidRPr="00DE0DDB">
              <w:rPr>
                <w:rFonts w:ascii="Arial" w:hAnsi="Arial" w:cs="Arial"/>
              </w:rPr>
              <w:t xml:space="preserve">57.16 </w:t>
            </w:r>
            <w:r w:rsidRPr="00DE0DDB" w:rsidDel="0037359A">
              <w:rPr>
                <w:rFonts w:ascii="Arial" w:hAnsi="Arial" w:cs="Arial"/>
              </w:rPr>
              <w:t>±</w:t>
            </w:r>
            <w:r w:rsidRPr="00DE0DDB">
              <w:rPr>
                <w:rFonts w:ascii="Arial" w:hAnsi="Arial" w:cs="Arial"/>
              </w:rPr>
              <w:t xml:space="preserve"> 7.24</w:t>
            </w:r>
            <w:r w:rsidRPr="00DE0DDB">
              <w:rPr>
                <w:rFonts w:ascii="Arial" w:hAnsi="Arial" w:cs="Arial"/>
                <w:vertAlign w:val="superscript"/>
              </w:rPr>
              <w:t>a</w:t>
            </w:r>
          </w:p>
        </w:tc>
        <w:tc>
          <w:tcPr>
            <w:tcW w:w="1620" w:type="dxa"/>
            <w:tcBorders>
              <w:bottom w:val="single" w:sz="4" w:space="0" w:color="auto"/>
            </w:tcBorders>
          </w:tcPr>
          <w:p w14:paraId="1F7AD385" w14:textId="77777777" w:rsidR="00192A67" w:rsidRPr="00DE0DDB" w:rsidDel="0037359A" w:rsidRDefault="00192A67" w:rsidP="00192A67">
            <w:pPr>
              <w:jc w:val="center"/>
              <w:rPr>
                <w:rFonts w:ascii="Arial" w:hAnsi="Arial" w:cs="Arial"/>
                <w:vertAlign w:val="superscript"/>
              </w:rPr>
            </w:pPr>
            <w:r w:rsidRPr="00DE0DDB">
              <w:rPr>
                <w:rFonts w:ascii="Arial" w:hAnsi="Arial" w:cs="Arial"/>
              </w:rPr>
              <w:t xml:space="preserve">50.92 </w:t>
            </w:r>
            <w:r w:rsidRPr="00DE0DDB" w:rsidDel="0037359A">
              <w:rPr>
                <w:rFonts w:ascii="Arial" w:hAnsi="Arial" w:cs="Arial"/>
              </w:rPr>
              <w:t>±</w:t>
            </w:r>
            <w:r w:rsidRPr="00DE0DDB">
              <w:rPr>
                <w:rFonts w:ascii="Arial" w:hAnsi="Arial" w:cs="Arial"/>
              </w:rPr>
              <w:t xml:space="preserve"> 6.79</w:t>
            </w:r>
            <w:r w:rsidRPr="00DE0DDB">
              <w:rPr>
                <w:rFonts w:ascii="Arial" w:hAnsi="Arial" w:cs="Arial"/>
                <w:vertAlign w:val="superscript"/>
              </w:rPr>
              <w:t>b</w:t>
            </w:r>
          </w:p>
        </w:tc>
        <w:tc>
          <w:tcPr>
            <w:tcW w:w="1530" w:type="dxa"/>
            <w:tcBorders>
              <w:bottom w:val="single" w:sz="4" w:space="0" w:color="auto"/>
            </w:tcBorders>
          </w:tcPr>
          <w:p w14:paraId="461160D8" w14:textId="77777777" w:rsidR="00192A67" w:rsidRPr="00DE0DDB" w:rsidDel="0037359A" w:rsidRDefault="00192A67" w:rsidP="00192A67">
            <w:pPr>
              <w:jc w:val="center"/>
              <w:rPr>
                <w:rFonts w:ascii="Arial" w:hAnsi="Arial" w:cs="Arial"/>
                <w:vertAlign w:val="superscript"/>
              </w:rPr>
            </w:pPr>
            <w:r w:rsidRPr="00DE0DDB">
              <w:rPr>
                <w:rFonts w:ascii="Arial" w:hAnsi="Arial" w:cs="Arial"/>
              </w:rPr>
              <w:t xml:space="preserve">43.21 </w:t>
            </w:r>
            <w:r w:rsidRPr="00DE0DDB" w:rsidDel="0037359A">
              <w:rPr>
                <w:rFonts w:ascii="Arial" w:hAnsi="Arial" w:cs="Arial"/>
              </w:rPr>
              <w:t>±</w:t>
            </w:r>
            <w:r w:rsidRPr="00DE0DDB">
              <w:rPr>
                <w:rFonts w:ascii="Arial" w:hAnsi="Arial" w:cs="Arial"/>
              </w:rPr>
              <w:t xml:space="preserve"> 5.82</w:t>
            </w:r>
            <w:r w:rsidRPr="00DE0DDB">
              <w:rPr>
                <w:rFonts w:ascii="Arial" w:hAnsi="Arial" w:cs="Arial"/>
                <w:vertAlign w:val="superscript"/>
              </w:rPr>
              <w:t>c</w:t>
            </w:r>
          </w:p>
        </w:tc>
      </w:tr>
    </w:tbl>
    <w:p w14:paraId="5B63D0A7" w14:textId="77777777" w:rsidR="00192A67" w:rsidRDefault="00192A67" w:rsidP="00C43C24">
      <w:pPr>
        <w:spacing w:after="0" w:line="240" w:lineRule="auto"/>
        <w:rPr>
          <w:rFonts w:ascii="Arial" w:hAnsi="Arial" w:cs="Arial"/>
        </w:rPr>
      </w:pPr>
    </w:p>
    <w:p w14:paraId="7A14FE44" w14:textId="5892A971" w:rsidR="00C43C24" w:rsidRPr="00DE0DDB" w:rsidRDefault="00C43C24" w:rsidP="00C43C24">
      <w:pPr>
        <w:spacing w:after="0" w:line="240" w:lineRule="auto"/>
        <w:rPr>
          <w:rFonts w:ascii="Arial" w:eastAsia="Times New Roman" w:hAnsi="Arial" w:cs="Arial"/>
        </w:rPr>
        <w:sectPr w:rsidR="00C43C24" w:rsidRPr="00DE0DDB" w:rsidSect="003E2909">
          <w:headerReference w:type="default" r:id="rId10"/>
          <w:footerReference w:type="even" r:id="rId11"/>
          <w:footerReference w:type="default" r:id="rId12"/>
          <w:pgSz w:w="12240" w:h="15840"/>
          <w:pgMar w:top="1440" w:right="1440" w:bottom="1440" w:left="1440" w:header="720" w:footer="720" w:gutter="0"/>
          <w:cols w:space="720"/>
          <w:docGrid w:linePitch="360"/>
        </w:sectPr>
      </w:pPr>
      <w:r w:rsidRPr="00DE0DDB">
        <w:rPr>
          <w:rFonts w:ascii="Arial" w:hAnsi="Arial" w:cs="Arial"/>
        </w:rPr>
        <w:t xml:space="preserve">Note. Adolescent age and sex differed </w:t>
      </w:r>
      <w:r w:rsidR="00657A84" w:rsidRPr="00DE0DDB">
        <w:rPr>
          <w:rFonts w:ascii="Arial" w:hAnsi="Arial" w:cs="Arial"/>
        </w:rPr>
        <w:t>significantly by pa</w:t>
      </w:r>
      <w:r w:rsidR="00740AE7">
        <w:rPr>
          <w:rFonts w:ascii="Arial" w:hAnsi="Arial" w:cs="Arial"/>
        </w:rPr>
        <w:t>tient</w:t>
      </w:r>
      <w:r w:rsidR="00657A84" w:rsidRPr="00DE0DDB">
        <w:rPr>
          <w:rFonts w:ascii="Arial" w:hAnsi="Arial" w:cs="Arial"/>
        </w:rPr>
        <w:t xml:space="preserve"> subgroup (</w:t>
      </w:r>
      <w:r w:rsidRPr="00DE0DDB">
        <w:rPr>
          <w:rFonts w:ascii="Arial" w:hAnsi="Arial" w:cs="Arial"/>
        </w:rPr>
        <w:t>p &lt; .05</w:t>
      </w:r>
      <w:proofErr w:type="gramStart"/>
      <w:r w:rsidR="00657A84" w:rsidRPr="00DE0DDB">
        <w:rPr>
          <w:rFonts w:ascii="Arial" w:hAnsi="Arial" w:cs="Arial"/>
        </w:rPr>
        <w:t>)</w:t>
      </w:r>
      <w:r w:rsidRPr="00DE0DDB">
        <w:rPr>
          <w:rFonts w:ascii="Arial" w:hAnsi="Arial" w:cs="Arial"/>
        </w:rPr>
        <w:t xml:space="preserve"> .</w:t>
      </w:r>
      <w:proofErr w:type="gramEnd"/>
      <w:r w:rsidRPr="00DE0DDB">
        <w:rPr>
          <w:rFonts w:ascii="Arial" w:hAnsi="Arial" w:cs="Arial"/>
        </w:rPr>
        <w:t xml:space="preserve"> Within rows, differing superscripts indicate significant differences between subgroups at p &lt; .05 level. *Due to the low frequency of some racial groups, races identified by the National Institutes of Health as minority groups were collapsed into a single category. Percentages do not always add up to 100% due to missing data for some demographic variables.</w:t>
      </w:r>
      <w:r w:rsidR="00192A67">
        <w:rPr>
          <w:rFonts w:ascii="Arial" w:hAnsi="Arial" w:cs="Arial"/>
        </w:rPr>
        <w:t xml:space="preserve"> </w:t>
      </w:r>
      <w:r w:rsidR="0037605F">
        <w:rPr>
          <w:rFonts w:ascii="Arial" w:hAnsi="Arial" w:cs="Arial"/>
        </w:rPr>
        <w:t xml:space="preserve">GI = Gastrointestinal, </w:t>
      </w:r>
      <w:r w:rsidR="00192A67">
        <w:rPr>
          <w:rFonts w:ascii="Arial" w:hAnsi="Arial" w:cs="Arial"/>
        </w:rPr>
        <w:t xml:space="preserve">CSSI = Children’s Somatic Symptoms Inventory, API = Abdominal Pain Index, PROMIS = </w:t>
      </w:r>
      <w:r w:rsidR="00192A67" w:rsidRPr="00192A67">
        <w:rPr>
          <w:rFonts w:ascii="Arial" w:hAnsi="Arial" w:cs="Arial"/>
        </w:rPr>
        <w:t>Patient-Reported Outcomes Measurement Information System</w:t>
      </w:r>
    </w:p>
    <w:p w14:paraId="0B2DC174" w14:textId="75D028FC" w:rsidR="00C65D64" w:rsidRPr="00DE0DDB" w:rsidRDefault="00C65D64" w:rsidP="00C65D64">
      <w:pPr>
        <w:spacing w:after="0" w:line="240" w:lineRule="auto"/>
        <w:rPr>
          <w:rFonts w:ascii="Arial" w:hAnsi="Arial" w:cs="Arial"/>
          <w:lang w:val="en-US"/>
        </w:rPr>
      </w:pPr>
      <w:r w:rsidRPr="00E16FD4">
        <w:rPr>
          <w:rFonts w:ascii="Arial" w:hAnsi="Arial" w:cs="Arial"/>
          <w:b/>
          <w:bCs/>
          <w:lang w:val="en-US"/>
        </w:rPr>
        <w:lastRenderedPageBreak/>
        <w:t>Table 2.</w:t>
      </w:r>
      <w:r w:rsidRPr="00DE0DDB">
        <w:rPr>
          <w:rFonts w:ascii="Arial" w:hAnsi="Arial" w:cs="Arial"/>
          <w:b/>
          <w:bCs/>
          <w:lang w:val="en-US"/>
        </w:rPr>
        <w:t xml:space="preserve"> </w:t>
      </w:r>
      <w:r w:rsidRPr="00DE0DDB">
        <w:rPr>
          <w:rFonts w:ascii="Arial" w:hAnsi="Arial" w:cs="Arial"/>
          <w:lang w:val="en-US"/>
        </w:rPr>
        <w:t xml:space="preserve">Estimated </w:t>
      </w:r>
      <w:r w:rsidR="00C0687E" w:rsidRPr="00DE0DDB">
        <w:rPr>
          <w:rFonts w:ascii="Arial" w:hAnsi="Arial" w:cs="Arial"/>
          <w:lang w:val="en-US"/>
        </w:rPr>
        <w:t>S</w:t>
      </w:r>
      <w:r w:rsidRPr="00DE0DDB">
        <w:rPr>
          <w:rFonts w:ascii="Arial" w:hAnsi="Arial" w:cs="Arial"/>
          <w:lang w:val="en-US"/>
        </w:rPr>
        <w:t xml:space="preserve">lopes (change) from </w:t>
      </w:r>
      <w:r w:rsidR="00C0687E" w:rsidRPr="00DE0DDB">
        <w:rPr>
          <w:rFonts w:ascii="Arial" w:hAnsi="Arial" w:cs="Arial"/>
          <w:lang w:val="en-US"/>
        </w:rPr>
        <w:t>P</w:t>
      </w:r>
      <w:r w:rsidRPr="00DE0DDB">
        <w:rPr>
          <w:rFonts w:ascii="Arial" w:hAnsi="Arial" w:cs="Arial"/>
          <w:lang w:val="en-US"/>
        </w:rPr>
        <w:t xml:space="preserve">re- to </w:t>
      </w:r>
      <w:r w:rsidR="00C0687E" w:rsidRPr="00DE0DDB">
        <w:rPr>
          <w:rFonts w:ascii="Arial" w:hAnsi="Arial" w:cs="Arial"/>
          <w:lang w:val="en-US"/>
        </w:rPr>
        <w:t>P</w:t>
      </w:r>
      <w:r w:rsidRPr="00DE0DDB">
        <w:rPr>
          <w:rFonts w:ascii="Arial" w:hAnsi="Arial" w:cs="Arial"/>
          <w:lang w:val="en-US"/>
        </w:rPr>
        <w:t xml:space="preserve">ost-treatment </w:t>
      </w:r>
      <w:r w:rsidR="00B320A5" w:rsidRPr="00DE0DDB">
        <w:rPr>
          <w:rFonts w:ascii="Arial" w:hAnsi="Arial" w:cs="Arial"/>
          <w:lang w:val="en-US"/>
        </w:rPr>
        <w:t xml:space="preserve">(Piece 1) </w:t>
      </w:r>
      <w:r w:rsidRPr="00DE0DDB">
        <w:rPr>
          <w:rFonts w:ascii="Arial" w:hAnsi="Arial" w:cs="Arial"/>
          <w:lang w:val="en-US"/>
        </w:rPr>
        <w:t xml:space="preserve">and </w:t>
      </w:r>
      <w:r w:rsidR="00C0687E" w:rsidRPr="00DE0DDB">
        <w:rPr>
          <w:rFonts w:ascii="Arial" w:hAnsi="Arial" w:cs="Arial"/>
          <w:lang w:val="en-US"/>
        </w:rPr>
        <w:t>E</w:t>
      </w:r>
      <w:r w:rsidRPr="00DE0DDB">
        <w:rPr>
          <w:rFonts w:ascii="Arial" w:hAnsi="Arial" w:cs="Arial"/>
          <w:lang w:val="en-US"/>
        </w:rPr>
        <w:t xml:space="preserve">ffect </w:t>
      </w:r>
      <w:r w:rsidR="00C0687E" w:rsidRPr="00DE0DDB">
        <w:rPr>
          <w:rFonts w:ascii="Arial" w:hAnsi="Arial" w:cs="Arial"/>
          <w:lang w:val="en-US"/>
        </w:rPr>
        <w:t>S</w:t>
      </w:r>
      <w:r w:rsidRPr="00DE0DDB">
        <w:rPr>
          <w:rFonts w:ascii="Arial" w:hAnsi="Arial" w:cs="Arial"/>
          <w:lang w:val="en-US"/>
        </w:rPr>
        <w:t xml:space="preserve">izes (Cohen’s d) for </w:t>
      </w:r>
      <w:r w:rsidR="00C0687E" w:rsidRPr="00DE0DDB">
        <w:rPr>
          <w:rFonts w:ascii="Arial" w:hAnsi="Arial" w:cs="Arial"/>
          <w:lang w:val="en-US"/>
        </w:rPr>
        <w:t>P</w:t>
      </w:r>
      <w:r w:rsidRPr="00DE0DDB">
        <w:rPr>
          <w:rFonts w:ascii="Arial" w:hAnsi="Arial" w:cs="Arial"/>
          <w:lang w:val="en-US"/>
        </w:rPr>
        <w:t xml:space="preserve">airwise </w:t>
      </w:r>
      <w:r w:rsidR="00C0687E" w:rsidRPr="00DE0DDB">
        <w:rPr>
          <w:rFonts w:ascii="Arial" w:hAnsi="Arial" w:cs="Arial"/>
          <w:lang w:val="en-US"/>
        </w:rPr>
        <w:t>S</w:t>
      </w:r>
      <w:r w:rsidRPr="00DE0DDB">
        <w:rPr>
          <w:rFonts w:ascii="Arial" w:hAnsi="Arial" w:cs="Arial"/>
          <w:lang w:val="en-US"/>
        </w:rPr>
        <w:t xml:space="preserve">lope </w:t>
      </w:r>
      <w:r w:rsidR="00C0687E" w:rsidRPr="00DE0DDB">
        <w:rPr>
          <w:rFonts w:ascii="Arial" w:hAnsi="Arial" w:cs="Arial"/>
          <w:lang w:val="en-US"/>
        </w:rPr>
        <w:t>C</w:t>
      </w:r>
      <w:r w:rsidRPr="00DE0DDB">
        <w:rPr>
          <w:rFonts w:ascii="Arial" w:hAnsi="Arial" w:cs="Arial"/>
          <w:lang w:val="en-US"/>
        </w:rPr>
        <w:t>omparisons of Treatment Condition by Pa</w:t>
      </w:r>
      <w:r w:rsidR="00740AE7">
        <w:rPr>
          <w:rFonts w:ascii="Arial" w:hAnsi="Arial" w:cs="Arial"/>
          <w:lang w:val="en-US"/>
        </w:rPr>
        <w:t>tient</w:t>
      </w:r>
      <w:r w:rsidRPr="00DE0DDB">
        <w:rPr>
          <w:rFonts w:ascii="Arial" w:hAnsi="Arial" w:cs="Arial"/>
          <w:lang w:val="en-US"/>
        </w:rPr>
        <w:t xml:space="preserve"> Sub</w:t>
      </w:r>
      <w:r w:rsidR="00110FAD" w:rsidRPr="00DE0DDB">
        <w:rPr>
          <w:rFonts w:ascii="Arial" w:hAnsi="Arial" w:cs="Arial"/>
          <w:lang w:val="en-US"/>
        </w:rPr>
        <w:t>group</w:t>
      </w:r>
    </w:p>
    <w:p w14:paraId="75634233" w14:textId="77777777" w:rsidR="00C65D64" w:rsidRPr="00DE0DDB" w:rsidRDefault="00C65D64" w:rsidP="00C65D64">
      <w:pPr>
        <w:spacing w:after="0" w:line="240" w:lineRule="auto"/>
        <w:rPr>
          <w:rFonts w:ascii="Arial" w:hAnsi="Arial" w:cs="Arial"/>
          <w:lang w:val="en-US"/>
        </w:rPr>
      </w:pPr>
    </w:p>
    <w:tbl>
      <w:tblPr>
        <w:tblStyle w:val="TableGrid"/>
        <w:tblW w:w="9540" w:type="dxa"/>
        <w:tblBorders>
          <w:left w:val="none" w:sz="0" w:space="0" w:color="auto"/>
          <w:right w:val="none" w:sz="0" w:space="0" w:color="auto"/>
        </w:tblBorders>
        <w:tblLayout w:type="fixed"/>
        <w:tblLook w:val="04A0" w:firstRow="1" w:lastRow="0" w:firstColumn="1" w:lastColumn="0" w:noHBand="0" w:noVBand="1"/>
      </w:tblPr>
      <w:tblGrid>
        <w:gridCol w:w="1337"/>
        <w:gridCol w:w="1273"/>
        <w:gridCol w:w="1350"/>
        <w:gridCol w:w="2880"/>
        <w:gridCol w:w="2700"/>
      </w:tblGrid>
      <w:tr w:rsidR="00C65D64" w:rsidRPr="00DE0DDB" w14:paraId="2FC2FD8A" w14:textId="77777777" w:rsidTr="009A7188">
        <w:trPr>
          <w:trHeight w:val="969"/>
        </w:trPr>
        <w:tc>
          <w:tcPr>
            <w:tcW w:w="1337" w:type="dxa"/>
            <w:tcBorders>
              <w:top w:val="single" w:sz="12" w:space="0" w:color="auto"/>
              <w:bottom w:val="single" w:sz="12" w:space="0" w:color="auto"/>
              <w:right w:val="single" w:sz="12" w:space="0" w:color="auto"/>
            </w:tcBorders>
            <w:vAlign w:val="center"/>
          </w:tcPr>
          <w:p w14:paraId="7BEF8E2B" w14:textId="77777777" w:rsidR="00C65D64" w:rsidRPr="009A7188" w:rsidRDefault="00C65D64" w:rsidP="00FC6D8A">
            <w:pPr>
              <w:jc w:val="center"/>
              <w:rPr>
                <w:rFonts w:ascii="Arial" w:hAnsi="Arial" w:cs="Arial"/>
                <w:b/>
                <w:bCs/>
                <w:noProof/>
              </w:rPr>
            </w:pPr>
            <w:r w:rsidRPr="009A7188">
              <w:rPr>
                <w:rFonts w:ascii="Arial" w:hAnsi="Arial" w:cs="Arial"/>
                <w:b/>
                <w:bCs/>
                <w:noProof/>
              </w:rPr>
              <w:t>Measure</w:t>
            </w:r>
          </w:p>
        </w:tc>
        <w:tc>
          <w:tcPr>
            <w:tcW w:w="1273" w:type="dxa"/>
            <w:tcBorders>
              <w:top w:val="single" w:sz="12" w:space="0" w:color="auto"/>
              <w:left w:val="single" w:sz="12" w:space="0" w:color="auto"/>
              <w:bottom w:val="single" w:sz="12" w:space="0" w:color="auto"/>
              <w:right w:val="single" w:sz="12" w:space="0" w:color="auto"/>
            </w:tcBorders>
            <w:vAlign w:val="center"/>
          </w:tcPr>
          <w:p w14:paraId="302DFA56" w14:textId="77777777" w:rsidR="00C65D64" w:rsidRPr="009A7188" w:rsidRDefault="00C65D64" w:rsidP="00FC6D8A">
            <w:pPr>
              <w:jc w:val="center"/>
              <w:rPr>
                <w:rFonts w:ascii="Arial" w:hAnsi="Arial" w:cs="Arial"/>
                <w:b/>
                <w:bCs/>
                <w:noProof/>
              </w:rPr>
            </w:pPr>
            <w:r w:rsidRPr="009A7188">
              <w:rPr>
                <w:rFonts w:ascii="Arial" w:hAnsi="Arial" w:cs="Arial"/>
                <w:b/>
                <w:bCs/>
                <w:noProof/>
              </w:rPr>
              <w:t>FAP Subgroup</w:t>
            </w:r>
          </w:p>
        </w:tc>
        <w:tc>
          <w:tcPr>
            <w:tcW w:w="1350" w:type="dxa"/>
            <w:tcBorders>
              <w:top w:val="single" w:sz="12" w:space="0" w:color="auto"/>
              <w:left w:val="single" w:sz="12" w:space="0" w:color="auto"/>
              <w:bottom w:val="single" w:sz="12" w:space="0" w:color="auto"/>
            </w:tcBorders>
            <w:vAlign w:val="center"/>
          </w:tcPr>
          <w:p w14:paraId="6EE992AD" w14:textId="77777777" w:rsidR="00C65D64" w:rsidRPr="009A7188" w:rsidRDefault="00C65D64" w:rsidP="00FC6D8A">
            <w:pPr>
              <w:jc w:val="center"/>
              <w:rPr>
                <w:rFonts w:ascii="Arial" w:hAnsi="Arial" w:cs="Arial"/>
                <w:b/>
                <w:bCs/>
                <w:noProof/>
              </w:rPr>
            </w:pPr>
            <w:r w:rsidRPr="009A7188">
              <w:rPr>
                <w:rFonts w:ascii="Arial" w:hAnsi="Arial" w:cs="Arial"/>
                <w:b/>
                <w:bCs/>
                <w:noProof/>
              </w:rPr>
              <w:t>Treatment Condition</w:t>
            </w:r>
          </w:p>
        </w:tc>
        <w:tc>
          <w:tcPr>
            <w:tcW w:w="2880" w:type="dxa"/>
            <w:tcBorders>
              <w:top w:val="single" w:sz="12" w:space="0" w:color="auto"/>
              <w:bottom w:val="single" w:sz="12" w:space="0" w:color="auto"/>
            </w:tcBorders>
            <w:vAlign w:val="center"/>
          </w:tcPr>
          <w:p w14:paraId="11ACE419" w14:textId="77777777" w:rsidR="00C65D64" w:rsidRPr="009A7188" w:rsidRDefault="00C65D64" w:rsidP="00FC6D8A">
            <w:pPr>
              <w:jc w:val="center"/>
              <w:rPr>
                <w:rFonts w:ascii="Arial" w:hAnsi="Arial" w:cs="Arial"/>
                <w:b/>
                <w:bCs/>
                <w:noProof/>
              </w:rPr>
            </w:pPr>
            <w:r w:rsidRPr="009A7188">
              <w:rPr>
                <w:rFonts w:ascii="Arial" w:hAnsi="Arial" w:cs="Arial"/>
                <w:b/>
                <w:bCs/>
                <w:noProof/>
              </w:rPr>
              <w:t>Slope from Pre- to Post-Treatment (SE)</w:t>
            </w:r>
          </w:p>
          <w:p w14:paraId="0129387D" w14:textId="77777777" w:rsidR="00C65D64" w:rsidRPr="009A7188" w:rsidRDefault="00C65D64" w:rsidP="00FC6D8A">
            <w:pPr>
              <w:jc w:val="center"/>
              <w:rPr>
                <w:rFonts w:ascii="Arial" w:hAnsi="Arial" w:cs="Arial"/>
                <w:b/>
                <w:bCs/>
                <w:noProof/>
              </w:rPr>
            </w:pPr>
            <w:r w:rsidRPr="009A7188">
              <w:rPr>
                <w:rFonts w:ascii="Arial" w:hAnsi="Arial" w:cs="Arial"/>
                <w:b/>
                <w:bCs/>
                <w:noProof/>
              </w:rPr>
              <w:t>[95% CI]</w:t>
            </w:r>
          </w:p>
        </w:tc>
        <w:tc>
          <w:tcPr>
            <w:tcW w:w="2700" w:type="dxa"/>
            <w:tcBorders>
              <w:top w:val="single" w:sz="12" w:space="0" w:color="auto"/>
              <w:bottom w:val="single" w:sz="12" w:space="0" w:color="auto"/>
            </w:tcBorders>
            <w:vAlign w:val="center"/>
          </w:tcPr>
          <w:p w14:paraId="2568C756" w14:textId="77777777" w:rsidR="00C65D64" w:rsidRPr="009A7188" w:rsidRDefault="00C65D64" w:rsidP="00FC6D8A">
            <w:pPr>
              <w:jc w:val="center"/>
              <w:rPr>
                <w:rFonts w:ascii="Arial" w:hAnsi="Arial" w:cs="Arial"/>
                <w:b/>
                <w:bCs/>
                <w:noProof/>
              </w:rPr>
            </w:pPr>
            <w:r w:rsidRPr="009A7188">
              <w:rPr>
                <w:rFonts w:ascii="Arial" w:hAnsi="Arial" w:cs="Arial"/>
                <w:b/>
                <w:bCs/>
                <w:noProof/>
              </w:rPr>
              <w:t>Pairwise Contrast (SE)</w:t>
            </w:r>
          </w:p>
          <w:p w14:paraId="13369370" w14:textId="120F83A4" w:rsidR="00C65D64" w:rsidRPr="009A7188" w:rsidRDefault="00C65D64" w:rsidP="00CC69C5">
            <w:pPr>
              <w:jc w:val="center"/>
              <w:rPr>
                <w:rFonts w:ascii="Arial" w:hAnsi="Arial" w:cs="Arial"/>
                <w:b/>
                <w:bCs/>
                <w:noProof/>
              </w:rPr>
            </w:pPr>
            <w:r w:rsidRPr="009A7188">
              <w:rPr>
                <w:rFonts w:ascii="Arial" w:hAnsi="Arial" w:cs="Arial"/>
                <w:b/>
                <w:bCs/>
                <w:noProof/>
              </w:rPr>
              <w:t xml:space="preserve">Effect Size </w:t>
            </w:r>
            <w:r w:rsidR="00CC69C5" w:rsidRPr="009A7188">
              <w:rPr>
                <w:rFonts w:ascii="Arial" w:hAnsi="Arial" w:cs="Arial"/>
                <w:b/>
                <w:bCs/>
                <w:noProof/>
              </w:rPr>
              <w:t xml:space="preserve"> </w:t>
            </w:r>
            <w:r w:rsidRPr="009A7188">
              <w:rPr>
                <w:rFonts w:ascii="Arial" w:hAnsi="Arial" w:cs="Arial"/>
                <w:b/>
                <w:bCs/>
                <w:noProof/>
              </w:rPr>
              <w:t>(Cohen’s d)</w:t>
            </w:r>
          </w:p>
        </w:tc>
      </w:tr>
      <w:tr w:rsidR="00C65D64" w:rsidRPr="00DE0DDB" w14:paraId="769D0AAC" w14:textId="77777777" w:rsidTr="009A7188">
        <w:tc>
          <w:tcPr>
            <w:tcW w:w="1337" w:type="dxa"/>
            <w:vMerge w:val="restart"/>
            <w:tcBorders>
              <w:top w:val="single" w:sz="12" w:space="0" w:color="auto"/>
              <w:right w:val="single" w:sz="12" w:space="0" w:color="auto"/>
            </w:tcBorders>
            <w:vAlign w:val="center"/>
          </w:tcPr>
          <w:p w14:paraId="66856668" w14:textId="77777777" w:rsidR="00C65D64" w:rsidRPr="00DE0DDB" w:rsidRDefault="00C65D64" w:rsidP="00FC6D8A">
            <w:pPr>
              <w:jc w:val="center"/>
              <w:rPr>
                <w:rFonts w:ascii="Arial" w:hAnsi="Arial" w:cs="Arial"/>
                <w:noProof/>
              </w:rPr>
            </w:pPr>
            <w:r w:rsidRPr="00DE0DDB">
              <w:rPr>
                <w:rFonts w:ascii="Arial" w:hAnsi="Arial" w:cs="Arial"/>
                <w:noProof/>
              </w:rPr>
              <w:t>GI Symptoms</w:t>
            </w:r>
          </w:p>
        </w:tc>
        <w:tc>
          <w:tcPr>
            <w:tcW w:w="1273" w:type="dxa"/>
            <w:vMerge w:val="restart"/>
            <w:tcBorders>
              <w:top w:val="single" w:sz="12" w:space="0" w:color="auto"/>
              <w:left w:val="single" w:sz="12" w:space="0" w:color="auto"/>
              <w:right w:val="single" w:sz="12" w:space="0" w:color="auto"/>
            </w:tcBorders>
            <w:vAlign w:val="center"/>
          </w:tcPr>
          <w:p w14:paraId="26B6845E" w14:textId="77777777" w:rsidR="00C65D64" w:rsidRPr="00DE0DDB" w:rsidRDefault="00C65D64" w:rsidP="00FC6D8A">
            <w:pPr>
              <w:jc w:val="center"/>
              <w:rPr>
                <w:rFonts w:ascii="Arial" w:hAnsi="Arial" w:cs="Arial"/>
                <w:noProof/>
              </w:rPr>
            </w:pPr>
            <w:r w:rsidRPr="00DE0DDB">
              <w:rPr>
                <w:rFonts w:ascii="Arial" w:hAnsi="Arial" w:cs="Arial"/>
                <w:noProof/>
              </w:rPr>
              <w:t>HPD</w:t>
            </w:r>
          </w:p>
        </w:tc>
        <w:tc>
          <w:tcPr>
            <w:tcW w:w="1350" w:type="dxa"/>
            <w:tcBorders>
              <w:top w:val="single" w:sz="12" w:space="0" w:color="auto"/>
              <w:left w:val="single" w:sz="12" w:space="0" w:color="auto"/>
            </w:tcBorders>
            <w:vAlign w:val="center"/>
          </w:tcPr>
          <w:p w14:paraId="4300C2CB"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CBT</w:t>
            </w:r>
          </w:p>
        </w:tc>
        <w:tc>
          <w:tcPr>
            <w:tcW w:w="2880" w:type="dxa"/>
            <w:tcBorders>
              <w:top w:val="single" w:sz="12" w:space="0" w:color="auto"/>
            </w:tcBorders>
            <w:vAlign w:val="center"/>
          </w:tcPr>
          <w:p w14:paraId="50C319F4" w14:textId="3302F45C" w:rsidR="00C65D64" w:rsidRPr="00DE0DDB" w:rsidRDefault="00C65D64" w:rsidP="00CC69C5">
            <w:pPr>
              <w:spacing w:before="120" w:after="120"/>
              <w:jc w:val="center"/>
              <w:rPr>
                <w:rFonts w:ascii="Arial" w:hAnsi="Arial" w:cs="Arial"/>
                <w:noProof/>
              </w:rPr>
            </w:pPr>
            <w:r w:rsidRPr="00DE0DDB">
              <w:rPr>
                <w:rFonts w:ascii="Arial" w:hAnsi="Arial" w:cs="Arial"/>
                <w:noProof/>
              </w:rPr>
              <w:t>-0.06 (0.007)</w:t>
            </w:r>
            <w:r w:rsidR="00104766" w:rsidRPr="00DE0DDB">
              <w:rPr>
                <w:rFonts w:ascii="Arial" w:hAnsi="Arial" w:cs="Arial"/>
                <w:noProof/>
              </w:rPr>
              <w:t xml:space="preserve"> </w:t>
            </w:r>
            <w:r w:rsidRPr="00DE0DDB">
              <w:rPr>
                <w:rFonts w:ascii="Arial" w:hAnsi="Arial" w:cs="Arial"/>
                <w:noProof/>
              </w:rPr>
              <w:t>[-0.07, -0.04]</w:t>
            </w:r>
          </w:p>
        </w:tc>
        <w:tc>
          <w:tcPr>
            <w:tcW w:w="2700" w:type="dxa"/>
            <w:vMerge w:val="restart"/>
            <w:tcBorders>
              <w:top w:val="single" w:sz="12" w:space="0" w:color="auto"/>
            </w:tcBorders>
            <w:vAlign w:val="center"/>
          </w:tcPr>
          <w:p w14:paraId="6D948AC8" w14:textId="49C195AE" w:rsidR="00C65D64" w:rsidRPr="00DE0DDB" w:rsidRDefault="00C65D64" w:rsidP="00CC69C5">
            <w:pPr>
              <w:jc w:val="center"/>
              <w:rPr>
                <w:rFonts w:ascii="Arial" w:hAnsi="Arial" w:cs="Arial"/>
                <w:noProof/>
              </w:rPr>
            </w:pPr>
            <w:r w:rsidRPr="00DE0DDB">
              <w:rPr>
                <w:rFonts w:ascii="Arial" w:hAnsi="Arial" w:cs="Arial"/>
                <w:noProof/>
              </w:rPr>
              <w:t>-0.03 (0.009)</w:t>
            </w:r>
            <w:r w:rsidR="00CC69C5" w:rsidRPr="00DE0DDB">
              <w:rPr>
                <w:rFonts w:ascii="Arial" w:hAnsi="Arial" w:cs="Arial"/>
                <w:noProof/>
              </w:rPr>
              <w:t xml:space="preserve">  </w:t>
            </w:r>
            <w:r w:rsidRPr="00DE0DDB">
              <w:rPr>
                <w:rFonts w:ascii="Arial" w:hAnsi="Arial" w:cs="Arial"/>
                <w:b/>
                <w:bCs/>
                <w:i/>
                <w:iCs/>
                <w:noProof/>
              </w:rPr>
              <w:t>d</w:t>
            </w:r>
            <w:r w:rsidRPr="00DE0DDB">
              <w:rPr>
                <w:rFonts w:ascii="Arial" w:hAnsi="Arial" w:cs="Arial"/>
                <w:b/>
                <w:bCs/>
                <w:noProof/>
              </w:rPr>
              <w:t xml:space="preserve"> = -0.</w:t>
            </w:r>
            <w:r w:rsidR="00B8277D" w:rsidRPr="00DE0DDB">
              <w:rPr>
                <w:rFonts w:ascii="Arial" w:hAnsi="Arial" w:cs="Arial"/>
                <w:b/>
                <w:bCs/>
                <w:noProof/>
              </w:rPr>
              <w:t>22</w:t>
            </w:r>
            <w:r w:rsidRPr="00DE0DDB">
              <w:rPr>
                <w:rFonts w:ascii="Arial" w:hAnsi="Arial" w:cs="Arial"/>
                <w:b/>
                <w:bCs/>
                <w:noProof/>
              </w:rPr>
              <w:t>***</w:t>
            </w:r>
          </w:p>
        </w:tc>
      </w:tr>
      <w:tr w:rsidR="00C65D64" w:rsidRPr="00DE0DDB" w14:paraId="1CE56F3F" w14:textId="77777777" w:rsidTr="009A7188">
        <w:tc>
          <w:tcPr>
            <w:tcW w:w="1337" w:type="dxa"/>
            <w:vMerge/>
            <w:tcBorders>
              <w:right w:val="single" w:sz="12" w:space="0" w:color="auto"/>
            </w:tcBorders>
            <w:vAlign w:val="center"/>
          </w:tcPr>
          <w:p w14:paraId="01AF579B" w14:textId="77777777" w:rsidR="00C65D64" w:rsidRPr="00DE0DDB" w:rsidRDefault="00C65D64" w:rsidP="00FC6D8A">
            <w:pPr>
              <w:jc w:val="center"/>
              <w:rPr>
                <w:rFonts w:ascii="Arial" w:hAnsi="Arial" w:cs="Arial"/>
                <w:noProof/>
              </w:rPr>
            </w:pPr>
          </w:p>
        </w:tc>
        <w:tc>
          <w:tcPr>
            <w:tcW w:w="1273" w:type="dxa"/>
            <w:vMerge/>
            <w:tcBorders>
              <w:left w:val="single" w:sz="12" w:space="0" w:color="auto"/>
              <w:right w:val="single" w:sz="12" w:space="0" w:color="auto"/>
            </w:tcBorders>
            <w:vAlign w:val="center"/>
          </w:tcPr>
          <w:p w14:paraId="3EC0972C" w14:textId="77777777" w:rsidR="00C65D64" w:rsidRPr="00DE0DDB" w:rsidRDefault="00C65D64" w:rsidP="00FC6D8A">
            <w:pPr>
              <w:jc w:val="center"/>
              <w:rPr>
                <w:rFonts w:ascii="Arial" w:hAnsi="Arial" w:cs="Arial"/>
                <w:noProof/>
              </w:rPr>
            </w:pPr>
          </w:p>
        </w:tc>
        <w:tc>
          <w:tcPr>
            <w:tcW w:w="1350" w:type="dxa"/>
            <w:tcBorders>
              <w:left w:val="single" w:sz="12" w:space="0" w:color="auto"/>
            </w:tcBorders>
            <w:vAlign w:val="center"/>
          </w:tcPr>
          <w:p w14:paraId="7D743FDC"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EDU</w:t>
            </w:r>
          </w:p>
        </w:tc>
        <w:tc>
          <w:tcPr>
            <w:tcW w:w="2880" w:type="dxa"/>
            <w:vAlign w:val="center"/>
          </w:tcPr>
          <w:p w14:paraId="21268EC2" w14:textId="35F7C0C2" w:rsidR="00C65D64" w:rsidRPr="00DE0DDB" w:rsidRDefault="00C65D64" w:rsidP="00CC69C5">
            <w:pPr>
              <w:spacing w:before="120" w:after="120"/>
              <w:jc w:val="center"/>
              <w:rPr>
                <w:rFonts w:ascii="Arial" w:hAnsi="Arial" w:cs="Arial"/>
                <w:noProof/>
              </w:rPr>
            </w:pPr>
            <w:r w:rsidRPr="00DE0DDB">
              <w:rPr>
                <w:rFonts w:ascii="Arial" w:hAnsi="Arial" w:cs="Arial"/>
                <w:noProof/>
              </w:rPr>
              <w:t>-0.03 (0.006)</w:t>
            </w:r>
            <w:r w:rsidR="00104766" w:rsidRPr="00DE0DDB">
              <w:rPr>
                <w:rFonts w:ascii="Arial" w:hAnsi="Arial" w:cs="Arial"/>
                <w:noProof/>
              </w:rPr>
              <w:t xml:space="preserve"> </w:t>
            </w:r>
            <w:r w:rsidRPr="00DE0DDB">
              <w:rPr>
                <w:rFonts w:ascii="Arial" w:hAnsi="Arial" w:cs="Arial"/>
                <w:noProof/>
              </w:rPr>
              <w:t>[-0.04, -0.01]</w:t>
            </w:r>
          </w:p>
        </w:tc>
        <w:tc>
          <w:tcPr>
            <w:tcW w:w="2700" w:type="dxa"/>
            <w:vMerge/>
            <w:vAlign w:val="center"/>
          </w:tcPr>
          <w:p w14:paraId="5F3F5D26" w14:textId="77777777" w:rsidR="00C65D64" w:rsidRPr="00DE0DDB" w:rsidRDefault="00C65D64" w:rsidP="00FC6D8A">
            <w:pPr>
              <w:jc w:val="center"/>
              <w:rPr>
                <w:rFonts w:ascii="Arial" w:hAnsi="Arial" w:cs="Arial"/>
                <w:noProof/>
              </w:rPr>
            </w:pPr>
          </w:p>
        </w:tc>
      </w:tr>
      <w:tr w:rsidR="00C65D64" w:rsidRPr="00DE0DDB" w14:paraId="4ADFE27F" w14:textId="77777777" w:rsidTr="009A7188">
        <w:tc>
          <w:tcPr>
            <w:tcW w:w="1337" w:type="dxa"/>
            <w:vMerge/>
            <w:tcBorders>
              <w:right w:val="single" w:sz="12" w:space="0" w:color="auto"/>
            </w:tcBorders>
            <w:vAlign w:val="center"/>
          </w:tcPr>
          <w:p w14:paraId="28E981B4" w14:textId="77777777" w:rsidR="00C65D64" w:rsidRPr="00DE0DDB" w:rsidRDefault="00C65D64" w:rsidP="00FC6D8A">
            <w:pPr>
              <w:jc w:val="center"/>
              <w:rPr>
                <w:rFonts w:ascii="Arial" w:hAnsi="Arial" w:cs="Arial"/>
                <w:noProof/>
              </w:rPr>
            </w:pPr>
          </w:p>
        </w:tc>
        <w:tc>
          <w:tcPr>
            <w:tcW w:w="1273" w:type="dxa"/>
            <w:vMerge w:val="restart"/>
            <w:tcBorders>
              <w:left w:val="single" w:sz="12" w:space="0" w:color="auto"/>
              <w:right w:val="single" w:sz="12" w:space="0" w:color="auto"/>
            </w:tcBorders>
            <w:vAlign w:val="center"/>
          </w:tcPr>
          <w:p w14:paraId="2121AA9D" w14:textId="77777777" w:rsidR="00C65D64" w:rsidRPr="00DE0DDB" w:rsidRDefault="00C65D64" w:rsidP="00FC6D8A">
            <w:pPr>
              <w:jc w:val="center"/>
              <w:rPr>
                <w:rFonts w:ascii="Arial" w:hAnsi="Arial" w:cs="Arial"/>
                <w:noProof/>
              </w:rPr>
            </w:pPr>
            <w:r w:rsidRPr="00DE0DDB">
              <w:rPr>
                <w:rFonts w:ascii="Arial" w:hAnsi="Arial" w:cs="Arial"/>
                <w:noProof/>
              </w:rPr>
              <w:t>HPA</w:t>
            </w:r>
          </w:p>
        </w:tc>
        <w:tc>
          <w:tcPr>
            <w:tcW w:w="1350" w:type="dxa"/>
            <w:tcBorders>
              <w:left w:val="single" w:sz="12" w:space="0" w:color="auto"/>
            </w:tcBorders>
            <w:vAlign w:val="center"/>
          </w:tcPr>
          <w:p w14:paraId="239B02CF"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CBT</w:t>
            </w:r>
          </w:p>
        </w:tc>
        <w:tc>
          <w:tcPr>
            <w:tcW w:w="2880" w:type="dxa"/>
            <w:vAlign w:val="center"/>
          </w:tcPr>
          <w:p w14:paraId="5AC9458B" w14:textId="4E1AB78F" w:rsidR="00C65D64" w:rsidRPr="00DE0DDB" w:rsidRDefault="00C65D64" w:rsidP="00CC69C5">
            <w:pPr>
              <w:spacing w:before="120" w:after="120"/>
              <w:jc w:val="center"/>
              <w:rPr>
                <w:rFonts w:ascii="Arial" w:hAnsi="Arial" w:cs="Arial"/>
                <w:noProof/>
              </w:rPr>
            </w:pPr>
            <w:r w:rsidRPr="00DE0DDB">
              <w:rPr>
                <w:rFonts w:ascii="Arial" w:hAnsi="Arial" w:cs="Arial"/>
                <w:noProof/>
              </w:rPr>
              <w:t>-0.03 (0.006)</w:t>
            </w:r>
            <w:r w:rsidR="00104766" w:rsidRPr="00DE0DDB">
              <w:rPr>
                <w:rFonts w:ascii="Arial" w:hAnsi="Arial" w:cs="Arial"/>
                <w:noProof/>
              </w:rPr>
              <w:t xml:space="preserve"> </w:t>
            </w:r>
            <w:r w:rsidRPr="00DE0DDB">
              <w:rPr>
                <w:rFonts w:ascii="Arial" w:hAnsi="Arial" w:cs="Arial"/>
                <w:noProof/>
              </w:rPr>
              <w:t>[-0.05, -0.02]</w:t>
            </w:r>
          </w:p>
        </w:tc>
        <w:tc>
          <w:tcPr>
            <w:tcW w:w="2700" w:type="dxa"/>
            <w:vMerge w:val="restart"/>
            <w:vAlign w:val="center"/>
          </w:tcPr>
          <w:p w14:paraId="541BD5A4" w14:textId="3CF9A9FC" w:rsidR="00C65D64" w:rsidRPr="00DE0DDB" w:rsidRDefault="00C65D64" w:rsidP="00CC69C5">
            <w:pPr>
              <w:jc w:val="center"/>
              <w:rPr>
                <w:rFonts w:ascii="Arial" w:hAnsi="Arial" w:cs="Arial"/>
                <w:noProof/>
              </w:rPr>
            </w:pPr>
            <w:r w:rsidRPr="00DE0DDB">
              <w:rPr>
                <w:rFonts w:ascii="Arial" w:hAnsi="Arial" w:cs="Arial"/>
                <w:noProof/>
              </w:rPr>
              <w:t>-0.004 (0.009)</w:t>
            </w:r>
            <w:r w:rsidR="00CC69C5" w:rsidRPr="00DE0DDB">
              <w:rPr>
                <w:rFonts w:ascii="Arial" w:hAnsi="Arial" w:cs="Arial"/>
                <w:noProof/>
              </w:rPr>
              <w:t xml:space="preserve">  </w:t>
            </w:r>
            <w:r w:rsidRPr="00DE0DDB">
              <w:rPr>
                <w:rFonts w:ascii="Arial" w:hAnsi="Arial" w:cs="Arial"/>
                <w:i/>
                <w:iCs/>
                <w:noProof/>
              </w:rPr>
              <w:t>d</w:t>
            </w:r>
            <w:r w:rsidRPr="00DE0DDB">
              <w:rPr>
                <w:rFonts w:ascii="Arial" w:hAnsi="Arial" w:cs="Arial"/>
                <w:noProof/>
              </w:rPr>
              <w:t xml:space="preserve"> = -0.0</w:t>
            </w:r>
            <w:r w:rsidR="00B8277D" w:rsidRPr="00DE0DDB">
              <w:rPr>
                <w:rFonts w:ascii="Arial" w:hAnsi="Arial" w:cs="Arial"/>
                <w:noProof/>
              </w:rPr>
              <w:t>3</w:t>
            </w:r>
          </w:p>
        </w:tc>
      </w:tr>
      <w:tr w:rsidR="00C65D64" w:rsidRPr="00DE0DDB" w14:paraId="7BE82892" w14:textId="77777777" w:rsidTr="009A7188">
        <w:tc>
          <w:tcPr>
            <w:tcW w:w="1337" w:type="dxa"/>
            <w:vMerge/>
            <w:tcBorders>
              <w:right w:val="single" w:sz="12" w:space="0" w:color="auto"/>
            </w:tcBorders>
            <w:vAlign w:val="center"/>
          </w:tcPr>
          <w:p w14:paraId="0A010DE3" w14:textId="77777777" w:rsidR="00C65D64" w:rsidRPr="00DE0DDB" w:rsidRDefault="00C65D64" w:rsidP="00FC6D8A">
            <w:pPr>
              <w:jc w:val="center"/>
              <w:rPr>
                <w:rFonts w:ascii="Arial" w:hAnsi="Arial" w:cs="Arial"/>
                <w:noProof/>
              </w:rPr>
            </w:pPr>
          </w:p>
        </w:tc>
        <w:tc>
          <w:tcPr>
            <w:tcW w:w="1273" w:type="dxa"/>
            <w:vMerge/>
            <w:tcBorders>
              <w:left w:val="single" w:sz="12" w:space="0" w:color="auto"/>
              <w:right w:val="single" w:sz="12" w:space="0" w:color="auto"/>
            </w:tcBorders>
            <w:vAlign w:val="center"/>
          </w:tcPr>
          <w:p w14:paraId="657E7895" w14:textId="77777777" w:rsidR="00C65D64" w:rsidRPr="00DE0DDB" w:rsidRDefault="00C65D64" w:rsidP="00FC6D8A">
            <w:pPr>
              <w:jc w:val="center"/>
              <w:rPr>
                <w:rFonts w:ascii="Arial" w:hAnsi="Arial" w:cs="Arial"/>
                <w:noProof/>
              </w:rPr>
            </w:pPr>
          </w:p>
        </w:tc>
        <w:tc>
          <w:tcPr>
            <w:tcW w:w="1350" w:type="dxa"/>
            <w:tcBorders>
              <w:left w:val="single" w:sz="12" w:space="0" w:color="auto"/>
            </w:tcBorders>
            <w:vAlign w:val="center"/>
          </w:tcPr>
          <w:p w14:paraId="3FE4D208"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EDU</w:t>
            </w:r>
          </w:p>
        </w:tc>
        <w:tc>
          <w:tcPr>
            <w:tcW w:w="2880" w:type="dxa"/>
            <w:vAlign w:val="center"/>
          </w:tcPr>
          <w:p w14:paraId="4CECACFD" w14:textId="278A68B3" w:rsidR="00C65D64" w:rsidRPr="00DE0DDB" w:rsidRDefault="00C65D64" w:rsidP="00CC69C5">
            <w:pPr>
              <w:spacing w:before="120" w:after="120"/>
              <w:jc w:val="center"/>
              <w:rPr>
                <w:rFonts w:ascii="Arial" w:hAnsi="Arial" w:cs="Arial"/>
                <w:noProof/>
              </w:rPr>
            </w:pPr>
            <w:r w:rsidRPr="00DE0DDB">
              <w:rPr>
                <w:rFonts w:ascii="Arial" w:hAnsi="Arial" w:cs="Arial"/>
                <w:noProof/>
              </w:rPr>
              <w:t>-0.03 (0.006)</w:t>
            </w:r>
            <w:r w:rsidR="00104766" w:rsidRPr="00DE0DDB">
              <w:rPr>
                <w:rFonts w:ascii="Arial" w:hAnsi="Arial" w:cs="Arial"/>
                <w:noProof/>
              </w:rPr>
              <w:t xml:space="preserve"> </w:t>
            </w:r>
            <w:r w:rsidRPr="00DE0DDB">
              <w:rPr>
                <w:rFonts w:ascii="Arial" w:hAnsi="Arial" w:cs="Arial"/>
                <w:noProof/>
              </w:rPr>
              <w:t>[-0.04, -0.02]</w:t>
            </w:r>
          </w:p>
        </w:tc>
        <w:tc>
          <w:tcPr>
            <w:tcW w:w="2700" w:type="dxa"/>
            <w:vMerge/>
            <w:vAlign w:val="center"/>
          </w:tcPr>
          <w:p w14:paraId="2EB54A17" w14:textId="77777777" w:rsidR="00C65D64" w:rsidRPr="00DE0DDB" w:rsidRDefault="00C65D64" w:rsidP="00FC6D8A">
            <w:pPr>
              <w:jc w:val="center"/>
              <w:rPr>
                <w:rFonts w:ascii="Arial" w:hAnsi="Arial" w:cs="Arial"/>
                <w:noProof/>
              </w:rPr>
            </w:pPr>
          </w:p>
        </w:tc>
      </w:tr>
      <w:tr w:rsidR="00C65D64" w:rsidRPr="00DE0DDB" w14:paraId="374C4F0F" w14:textId="77777777" w:rsidTr="009A7188">
        <w:tc>
          <w:tcPr>
            <w:tcW w:w="1337" w:type="dxa"/>
            <w:vMerge/>
            <w:tcBorders>
              <w:right w:val="single" w:sz="12" w:space="0" w:color="auto"/>
            </w:tcBorders>
            <w:vAlign w:val="center"/>
          </w:tcPr>
          <w:p w14:paraId="14696F8A" w14:textId="77777777" w:rsidR="00C65D64" w:rsidRPr="00DE0DDB" w:rsidRDefault="00C65D64" w:rsidP="00FC6D8A">
            <w:pPr>
              <w:jc w:val="center"/>
              <w:rPr>
                <w:rFonts w:ascii="Arial" w:hAnsi="Arial" w:cs="Arial"/>
                <w:noProof/>
              </w:rPr>
            </w:pPr>
          </w:p>
        </w:tc>
        <w:tc>
          <w:tcPr>
            <w:tcW w:w="1273" w:type="dxa"/>
            <w:vMerge w:val="restart"/>
            <w:tcBorders>
              <w:left w:val="single" w:sz="12" w:space="0" w:color="auto"/>
              <w:right w:val="single" w:sz="12" w:space="0" w:color="auto"/>
            </w:tcBorders>
            <w:vAlign w:val="center"/>
          </w:tcPr>
          <w:p w14:paraId="2BE8B669" w14:textId="77777777" w:rsidR="00C65D64" w:rsidRPr="00DE0DDB" w:rsidRDefault="00C65D64" w:rsidP="00FC6D8A">
            <w:pPr>
              <w:jc w:val="center"/>
              <w:rPr>
                <w:rFonts w:ascii="Arial" w:hAnsi="Arial" w:cs="Arial"/>
                <w:noProof/>
              </w:rPr>
            </w:pPr>
            <w:r w:rsidRPr="00DE0DDB">
              <w:rPr>
                <w:rFonts w:ascii="Arial" w:hAnsi="Arial" w:cs="Arial"/>
                <w:noProof/>
              </w:rPr>
              <w:t>LPA</w:t>
            </w:r>
          </w:p>
        </w:tc>
        <w:tc>
          <w:tcPr>
            <w:tcW w:w="1350" w:type="dxa"/>
            <w:tcBorders>
              <w:left w:val="single" w:sz="12" w:space="0" w:color="auto"/>
            </w:tcBorders>
            <w:vAlign w:val="center"/>
          </w:tcPr>
          <w:p w14:paraId="19AA933E"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CBT</w:t>
            </w:r>
          </w:p>
        </w:tc>
        <w:tc>
          <w:tcPr>
            <w:tcW w:w="2880" w:type="dxa"/>
            <w:vAlign w:val="center"/>
          </w:tcPr>
          <w:p w14:paraId="7A8E2783" w14:textId="0F28FA5B" w:rsidR="00C65D64" w:rsidRPr="00DE0DDB" w:rsidRDefault="00C65D64" w:rsidP="00CC69C5">
            <w:pPr>
              <w:spacing w:before="120" w:after="120"/>
              <w:jc w:val="center"/>
              <w:rPr>
                <w:rFonts w:ascii="Arial" w:hAnsi="Arial" w:cs="Arial"/>
                <w:noProof/>
              </w:rPr>
            </w:pPr>
            <w:r w:rsidRPr="00DE0DDB">
              <w:rPr>
                <w:rFonts w:ascii="Arial" w:hAnsi="Arial" w:cs="Arial"/>
                <w:noProof/>
              </w:rPr>
              <w:t>-0.01 (0.009)</w:t>
            </w:r>
            <w:r w:rsidR="00104766" w:rsidRPr="00DE0DDB">
              <w:rPr>
                <w:rFonts w:ascii="Arial" w:hAnsi="Arial" w:cs="Arial"/>
                <w:noProof/>
              </w:rPr>
              <w:t xml:space="preserve"> </w:t>
            </w:r>
            <w:r w:rsidRPr="00DE0DDB">
              <w:rPr>
                <w:rFonts w:ascii="Arial" w:hAnsi="Arial" w:cs="Arial"/>
                <w:noProof/>
              </w:rPr>
              <w:t>[-0.03, 0.005]</w:t>
            </w:r>
          </w:p>
        </w:tc>
        <w:tc>
          <w:tcPr>
            <w:tcW w:w="2700" w:type="dxa"/>
            <w:vMerge w:val="restart"/>
            <w:vAlign w:val="center"/>
          </w:tcPr>
          <w:p w14:paraId="100BFF42" w14:textId="3B37A300" w:rsidR="00C65D64" w:rsidRPr="00DE0DDB" w:rsidRDefault="00C65D64" w:rsidP="00CC69C5">
            <w:pPr>
              <w:jc w:val="center"/>
              <w:rPr>
                <w:rFonts w:ascii="Arial" w:hAnsi="Arial" w:cs="Arial"/>
                <w:noProof/>
              </w:rPr>
            </w:pPr>
            <w:r w:rsidRPr="00DE0DDB">
              <w:rPr>
                <w:rFonts w:ascii="Arial" w:hAnsi="Arial" w:cs="Arial"/>
                <w:noProof/>
              </w:rPr>
              <w:t>0.02 (0.01)</w:t>
            </w:r>
            <w:r w:rsidR="00CC69C5" w:rsidRPr="00DE0DDB">
              <w:rPr>
                <w:rFonts w:ascii="Arial" w:hAnsi="Arial" w:cs="Arial"/>
                <w:noProof/>
              </w:rPr>
              <w:t xml:space="preserve">  </w:t>
            </w:r>
            <w:r w:rsidRPr="00DE0DDB">
              <w:rPr>
                <w:rFonts w:ascii="Arial" w:hAnsi="Arial" w:cs="Arial"/>
                <w:i/>
                <w:iCs/>
                <w:noProof/>
              </w:rPr>
              <w:t>d</w:t>
            </w:r>
            <w:r w:rsidRPr="00DE0DDB">
              <w:rPr>
                <w:rFonts w:ascii="Arial" w:hAnsi="Arial" w:cs="Arial"/>
                <w:noProof/>
              </w:rPr>
              <w:t xml:space="preserve"> = 0.</w:t>
            </w:r>
            <w:r w:rsidR="00B8277D" w:rsidRPr="00DE0DDB">
              <w:rPr>
                <w:rFonts w:ascii="Arial" w:hAnsi="Arial" w:cs="Arial"/>
                <w:noProof/>
              </w:rPr>
              <w:t>09</w:t>
            </w:r>
          </w:p>
        </w:tc>
      </w:tr>
      <w:tr w:rsidR="00C65D64" w:rsidRPr="00DE0DDB" w14:paraId="591466B8" w14:textId="77777777" w:rsidTr="009A7188">
        <w:tc>
          <w:tcPr>
            <w:tcW w:w="1337" w:type="dxa"/>
            <w:vMerge/>
            <w:tcBorders>
              <w:bottom w:val="single" w:sz="12" w:space="0" w:color="auto"/>
              <w:right w:val="single" w:sz="12" w:space="0" w:color="auto"/>
            </w:tcBorders>
            <w:vAlign w:val="center"/>
          </w:tcPr>
          <w:p w14:paraId="0581C240" w14:textId="77777777" w:rsidR="00C65D64" w:rsidRPr="00DE0DDB" w:rsidRDefault="00C65D64" w:rsidP="00FC6D8A">
            <w:pPr>
              <w:jc w:val="center"/>
              <w:rPr>
                <w:rFonts w:ascii="Arial" w:hAnsi="Arial" w:cs="Arial"/>
                <w:noProof/>
              </w:rPr>
            </w:pPr>
          </w:p>
        </w:tc>
        <w:tc>
          <w:tcPr>
            <w:tcW w:w="1273" w:type="dxa"/>
            <w:vMerge/>
            <w:tcBorders>
              <w:left w:val="single" w:sz="12" w:space="0" w:color="auto"/>
              <w:bottom w:val="single" w:sz="12" w:space="0" w:color="auto"/>
              <w:right w:val="single" w:sz="12" w:space="0" w:color="auto"/>
            </w:tcBorders>
            <w:vAlign w:val="center"/>
          </w:tcPr>
          <w:p w14:paraId="5E05D5E2" w14:textId="77777777" w:rsidR="00C65D64" w:rsidRPr="00DE0DDB" w:rsidRDefault="00C65D64" w:rsidP="00FC6D8A">
            <w:pPr>
              <w:jc w:val="center"/>
              <w:rPr>
                <w:rFonts w:ascii="Arial" w:hAnsi="Arial" w:cs="Arial"/>
                <w:noProof/>
              </w:rPr>
            </w:pPr>
          </w:p>
        </w:tc>
        <w:tc>
          <w:tcPr>
            <w:tcW w:w="1350" w:type="dxa"/>
            <w:tcBorders>
              <w:left w:val="single" w:sz="12" w:space="0" w:color="auto"/>
              <w:bottom w:val="single" w:sz="12" w:space="0" w:color="auto"/>
            </w:tcBorders>
            <w:vAlign w:val="center"/>
          </w:tcPr>
          <w:p w14:paraId="20EB27A1"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EDU</w:t>
            </w:r>
          </w:p>
        </w:tc>
        <w:tc>
          <w:tcPr>
            <w:tcW w:w="2880" w:type="dxa"/>
            <w:tcBorders>
              <w:bottom w:val="single" w:sz="12" w:space="0" w:color="auto"/>
            </w:tcBorders>
            <w:vAlign w:val="center"/>
          </w:tcPr>
          <w:p w14:paraId="7E8D21AA" w14:textId="57F16F74" w:rsidR="00C65D64" w:rsidRPr="00DE0DDB" w:rsidRDefault="00C65D64" w:rsidP="00CC69C5">
            <w:pPr>
              <w:spacing w:before="120" w:after="120"/>
              <w:jc w:val="center"/>
              <w:rPr>
                <w:rFonts w:ascii="Arial" w:hAnsi="Arial" w:cs="Arial"/>
                <w:noProof/>
              </w:rPr>
            </w:pPr>
            <w:r w:rsidRPr="00DE0DDB">
              <w:rPr>
                <w:rFonts w:ascii="Arial" w:hAnsi="Arial" w:cs="Arial"/>
                <w:noProof/>
              </w:rPr>
              <w:t>-0.03 (0.01)</w:t>
            </w:r>
            <w:r w:rsidR="00104766" w:rsidRPr="00DE0DDB">
              <w:rPr>
                <w:rFonts w:ascii="Arial" w:hAnsi="Arial" w:cs="Arial"/>
                <w:noProof/>
              </w:rPr>
              <w:t xml:space="preserve"> </w:t>
            </w:r>
            <w:r w:rsidRPr="00DE0DDB">
              <w:rPr>
                <w:rFonts w:ascii="Arial" w:hAnsi="Arial" w:cs="Arial"/>
                <w:noProof/>
              </w:rPr>
              <w:t>[-0.05, -0.01]</w:t>
            </w:r>
          </w:p>
        </w:tc>
        <w:tc>
          <w:tcPr>
            <w:tcW w:w="2700" w:type="dxa"/>
            <w:vMerge/>
            <w:tcBorders>
              <w:bottom w:val="single" w:sz="12" w:space="0" w:color="auto"/>
            </w:tcBorders>
            <w:vAlign w:val="center"/>
          </w:tcPr>
          <w:p w14:paraId="07516821" w14:textId="77777777" w:rsidR="00C65D64" w:rsidRPr="00DE0DDB" w:rsidRDefault="00C65D64" w:rsidP="00FC6D8A">
            <w:pPr>
              <w:jc w:val="center"/>
              <w:rPr>
                <w:rFonts w:ascii="Arial" w:hAnsi="Arial" w:cs="Arial"/>
                <w:noProof/>
              </w:rPr>
            </w:pPr>
          </w:p>
        </w:tc>
      </w:tr>
      <w:tr w:rsidR="00C65D64" w:rsidRPr="00DE0DDB" w14:paraId="5F5C7D5D" w14:textId="77777777" w:rsidTr="009A7188">
        <w:tc>
          <w:tcPr>
            <w:tcW w:w="1337" w:type="dxa"/>
            <w:vMerge w:val="restart"/>
            <w:tcBorders>
              <w:top w:val="single" w:sz="12" w:space="0" w:color="auto"/>
              <w:right w:val="single" w:sz="12" w:space="0" w:color="auto"/>
            </w:tcBorders>
            <w:vAlign w:val="center"/>
          </w:tcPr>
          <w:p w14:paraId="7EB58B8A" w14:textId="77777777" w:rsidR="00C65D64" w:rsidRPr="00DE0DDB" w:rsidRDefault="00C65D64" w:rsidP="00FC6D8A">
            <w:pPr>
              <w:jc w:val="center"/>
              <w:rPr>
                <w:rFonts w:ascii="Arial" w:hAnsi="Arial" w:cs="Arial"/>
                <w:noProof/>
              </w:rPr>
            </w:pPr>
            <w:r w:rsidRPr="00DE0DDB">
              <w:rPr>
                <w:rFonts w:ascii="Arial" w:hAnsi="Arial" w:cs="Arial"/>
                <w:noProof/>
              </w:rPr>
              <w:t>Abdominal Pain</w:t>
            </w:r>
          </w:p>
        </w:tc>
        <w:tc>
          <w:tcPr>
            <w:tcW w:w="1273" w:type="dxa"/>
            <w:vMerge w:val="restart"/>
            <w:tcBorders>
              <w:top w:val="single" w:sz="12" w:space="0" w:color="auto"/>
              <w:left w:val="single" w:sz="12" w:space="0" w:color="auto"/>
              <w:right w:val="single" w:sz="12" w:space="0" w:color="auto"/>
            </w:tcBorders>
            <w:vAlign w:val="center"/>
          </w:tcPr>
          <w:p w14:paraId="15B72027" w14:textId="77777777" w:rsidR="00C65D64" w:rsidRPr="00DE0DDB" w:rsidRDefault="00C65D64" w:rsidP="00FC6D8A">
            <w:pPr>
              <w:jc w:val="center"/>
              <w:rPr>
                <w:rFonts w:ascii="Arial" w:hAnsi="Arial" w:cs="Arial"/>
                <w:noProof/>
              </w:rPr>
            </w:pPr>
            <w:r w:rsidRPr="00DE0DDB">
              <w:rPr>
                <w:rFonts w:ascii="Arial" w:hAnsi="Arial" w:cs="Arial"/>
                <w:noProof/>
              </w:rPr>
              <w:t>HPD</w:t>
            </w:r>
          </w:p>
        </w:tc>
        <w:tc>
          <w:tcPr>
            <w:tcW w:w="1350" w:type="dxa"/>
            <w:tcBorders>
              <w:top w:val="single" w:sz="12" w:space="0" w:color="auto"/>
              <w:left w:val="single" w:sz="12" w:space="0" w:color="auto"/>
            </w:tcBorders>
            <w:vAlign w:val="center"/>
          </w:tcPr>
          <w:p w14:paraId="2D5924C0"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CBT</w:t>
            </w:r>
          </w:p>
        </w:tc>
        <w:tc>
          <w:tcPr>
            <w:tcW w:w="2880" w:type="dxa"/>
            <w:tcBorders>
              <w:top w:val="single" w:sz="12" w:space="0" w:color="auto"/>
            </w:tcBorders>
            <w:vAlign w:val="center"/>
          </w:tcPr>
          <w:p w14:paraId="6DDD947B" w14:textId="0625FC92" w:rsidR="00C65D64" w:rsidRPr="00DE0DDB" w:rsidRDefault="00C65D64" w:rsidP="00CC69C5">
            <w:pPr>
              <w:spacing w:before="120" w:after="120"/>
              <w:jc w:val="center"/>
              <w:rPr>
                <w:rFonts w:ascii="Arial" w:hAnsi="Arial" w:cs="Arial"/>
                <w:noProof/>
              </w:rPr>
            </w:pPr>
            <w:r w:rsidRPr="00DE0DDB">
              <w:rPr>
                <w:rFonts w:ascii="Arial" w:hAnsi="Arial" w:cs="Arial"/>
                <w:noProof/>
              </w:rPr>
              <w:t>-0.07 (0.009)</w:t>
            </w:r>
            <w:r w:rsidR="00A0481F" w:rsidRPr="00DE0DDB">
              <w:rPr>
                <w:rFonts w:ascii="Arial" w:hAnsi="Arial" w:cs="Arial"/>
                <w:noProof/>
              </w:rPr>
              <w:t xml:space="preserve"> </w:t>
            </w:r>
            <w:r w:rsidRPr="00DE0DDB">
              <w:rPr>
                <w:rFonts w:ascii="Arial" w:hAnsi="Arial" w:cs="Arial"/>
                <w:noProof/>
              </w:rPr>
              <w:t>[-0.09, -0.06]</w:t>
            </w:r>
          </w:p>
        </w:tc>
        <w:tc>
          <w:tcPr>
            <w:tcW w:w="2700" w:type="dxa"/>
            <w:vMerge w:val="restart"/>
            <w:tcBorders>
              <w:top w:val="single" w:sz="12" w:space="0" w:color="auto"/>
            </w:tcBorders>
            <w:vAlign w:val="center"/>
          </w:tcPr>
          <w:p w14:paraId="6402ED75" w14:textId="6117F809" w:rsidR="00C65D64" w:rsidRPr="00DE0DDB" w:rsidRDefault="00C65D64" w:rsidP="00CC69C5">
            <w:pPr>
              <w:jc w:val="center"/>
              <w:rPr>
                <w:rFonts w:ascii="Arial" w:hAnsi="Arial" w:cs="Arial"/>
                <w:noProof/>
              </w:rPr>
            </w:pPr>
            <w:r w:rsidRPr="00DE0DDB">
              <w:rPr>
                <w:rFonts w:ascii="Arial" w:hAnsi="Arial" w:cs="Arial"/>
                <w:noProof/>
              </w:rPr>
              <w:t>-0.02 (0.01)</w:t>
            </w:r>
            <w:r w:rsidR="00CC69C5" w:rsidRPr="00DE0DDB">
              <w:rPr>
                <w:rFonts w:ascii="Arial" w:hAnsi="Arial" w:cs="Arial"/>
                <w:noProof/>
              </w:rPr>
              <w:t xml:space="preserve">  </w:t>
            </w:r>
            <w:r w:rsidRPr="00DE0DDB">
              <w:rPr>
                <w:rFonts w:ascii="Arial" w:hAnsi="Arial" w:cs="Arial"/>
                <w:i/>
                <w:iCs/>
                <w:noProof/>
              </w:rPr>
              <w:t xml:space="preserve">d </w:t>
            </w:r>
            <w:r w:rsidRPr="00DE0DDB">
              <w:rPr>
                <w:rFonts w:ascii="Arial" w:hAnsi="Arial" w:cs="Arial"/>
                <w:noProof/>
              </w:rPr>
              <w:t>= -0.</w:t>
            </w:r>
            <w:r w:rsidR="00B8277D" w:rsidRPr="00DE0DDB">
              <w:rPr>
                <w:rFonts w:ascii="Arial" w:hAnsi="Arial" w:cs="Arial"/>
                <w:noProof/>
              </w:rPr>
              <w:t>1</w:t>
            </w:r>
            <w:r w:rsidRPr="00DE0DDB">
              <w:rPr>
                <w:rFonts w:ascii="Arial" w:hAnsi="Arial" w:cs="Arial"/>
                <w:noProof/>
              </w:rPr>
              <w:t>2</w:t>
            </w:r>
          </w:p>
        </w:tc>
      </w:tr>
      <w:tr w:rsidR="00C65D64" w:rsidRPr="00DE0DDB" w14:paraId="653DB08C" w14:textId="77777777" w:rsidTr="009A7188">
        <w:tc>
          <w:tcPr>
            <w:tcW w:w="1337" w:type="dxa"/>
            <w:vMerge/>
            <w:tcBorders>
              <w:right w:val="single" w:sz="12" w:space="0" w:color="auto"/>
            </w:tcBorders>
            <w:vAlign w:val="center"/>
          </w:tcPr>
          <w:p w14:paraId="7A424D25" w14:textId="77777777" w:rsidR="00C65D64" w:rsidRPr="00DE0DDB" w:rsidRDefault="00C65D64" w:rsidP="00FC6D8A">
            <w:pPr>
              <w:jc w:val="center"/>
              <w:rPr>
                <w:rFonts w:ascii="Arial" w:hAnsi="Arial" w:cs="Arial"/>
                <w:noProof/>
              </w:rPr>
            </w:pPr>
          </w:p>
        </w:tc>
        <w:tc>
          <w:tcPr>
            <w:tcW w:w="1273" w:type="dxa"/>
            <w:vMerge/>
            <w:tcBorders>
              <w:left w:val="single" w:sz="12" w:space="0" w:color="auto"/>
              <w:right w:val="single" w:sz="12" w:space="0" w:color="auto"/>
            </w:tcBorders>
            <w:vAlign w:val="center"/>
          </w:tcPr>
          <w:p w14:paraId="5C968804" w14:textId="77777777" w:rsidR="00C65D64" w:rsidRPr="00DE0DDB" w:rsidRDefault="00C65D64" w:rsidP="00FC6D8A">
            <w:pPr>
              <w:jc w:val="center"/>
              <w:rPr>
                <w:rFonts w:ascii="Arial" w:hAnsi="Arial" w:cs="Arial"/>
                <w:noProof/>
              </w:rPr>
            </w:pPr>
          </w:p>
        </w:tc>
        <w:tc>
          <w:tcPr>
            <w:tcW w:w="1350" w:type="dxa"/>
            <w:tcBorders>
              <w:left w:val="single" w:sz="12" w:space="0" w:color="auto"/>
            </w:tcBorders>
            <w:vAlign w:val="center"/>
          </w:tcPr>
          <w:p w14:paraId="15ECD9CC"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EDU</w:t>
            </w:r>
          </w:p>
        </w:tc>
        <w:tc>
          <w:tcPr>
            <w:tcW w:w="2880" w:type="dxa"/>
            <w:vAlign w:val="center"/>
          </w:tcPr>
          <w:p w14:paraId="6127D3F2" w14:textId="694018AF" w:rsidR="00C65D64" w:rsidRPr="00DE0DDB" w:rsidRDefault="00C65D64" w:rsidP="00CC69C5">
            <w:pPr>
              <w:spacing w:before="120" w:after="120"/>
              <w:jc w:val="center"/>
              <w:rPr>
                <w:rFonts w:ascii="Arial" w:hAnsi="Arial" w:cs="Arial"/>
                <w:noProof/>
              </w:rPr>
            </w:pPr>
            <w:r w:rsidRPr="00DE0DDB">
              <w:rPr>
                <w:rFonts w:ascii="Arial" w:hAnsi="Arial" w:cs="Arial"/>
                <w:noProof/>
              </w:rPr>
              <w:t>-0.05 (0.008)</w:t>
            </w:r>
            <w:r w:rsidR="00A0481F" w:rsidRPr="00DE0DDB">
              <w:rPr>
                <w:rFonts w:ascii="Arial" w:hAnsi="Arial" w:cs="Arial"/>
                <w:noProof/>
              </w:rPr>
              <w:t xml:space="preserve"> </w:t>
            </w:r>
            <w:r w:rsidRPr="00DE0DDB">
              <w:rPr>
                <w:rFonts w:ascii="Arial" w:hAnsi="Arial" w:cs="Arial"/>
                <w:noProof/>
              </w:rPr>
              <w:t>[-0.07, -0.03]</w:t>
            </w:r>
          </w:p>
        </w:tc>
        <w:tc>
          <w:tcPr>
            <w:tcW w:w="2700" w:type="dxa"/>
            <w:vMerge/>
            <w:vAlign w:val="center"/>
          </w:tcPr>
          <w:p w14:paraId="4FFAD802" w14:textId="77777777" w:rsidR="00C65D64" w:rsidRPr="00DE0DDB" w:rsidRDefault="00C65D64" w:rsidP="00FC6D8A">
            <w:pPr>
              <w:jc w:val="center"/>
              <w:rPr>
                <w:rFonts w:ascii="Arial" w:hAnsi="Arial" w:cs="Arial"/>
                <w:noProof/>
              </w:rPr>
            </w:pPr>
          </w:p>
        </w:tc>
      </w:tr>
      <w:tr w:rsidR="00C65D64" w:rsidRPr="00DE0DDB" w14:paraId="7AA31906" w14:textId="77777777" w:rsidTr="009A7188">
        <w:tc>
          <w:tcPr>
            <w:tcW w:w="1337" w:type="dxa"/>
            <w:vMerge/>
            <w:tcBorders>
              <w:right w:val="single" w:sz="12" w:space="0" w:color="auto"/>
            </w:tcBorders>
            <w:vAlign w:val="center"/>
          </w:tcPr>
          <w:p w14:paraId="0AAAD350" w14:textId="77777777" w:rsidR="00C65D64" w:rsidRPr="00DE0DDB" w:rsidRDefault="00C65D64" w:rsidP="00FC6D8A">
            <w:pPr>
              <w:jc w:val="center"/>
              <w:rPr>
                <w:rFonts w:ascii="Arial" w:hAnsi="Arial" w:cs="Arial"/>
                <w:noProof/>
              </w:rPr>
            </w:pPr>
          </w:p>
        </w:tc>
        <w:tc>
          <w:tcPr>
            <w:tcW w:w="1273" w:type="dxa"/>
            <w:vMerge w:val="restart"/>
            <w:tcBorders>
              <w:left w:val="single" w:sz="12" w:space="0" w:color="auto"/>
              <w:right w:val="single" w:sz="12" w:space="0" w:color="auto"/>
            </w:tcBorders>
            <w:vAlign w:val="center"/>
          </w:tcPr>
          <w:p w14:paraId="56795F7B" w14:textId="77777777" w:rsidR="00C65D64" w:rsidRPr="00DE0DDB" w:rsidRDefault="00C65D64" w:rsidP="00FC6D8A">
            <w:pPr>
              <w:jc w:val="center"/>
              <w:rPr>
                <w:rFonts w:ascii="Arial" w:hAnsi="Arial" w:cs="Arial"/>
                <w:noProof/>
              </w:rPr>
            </w:pPr>
            <w:r w:rsidRPr="00DE0DDB">
              <w:rPr>
                <w:rFonts w:ascii="Arial" w:hAnsi="Arial" w:cs="Arial"/>
                <w:noProof/>
              </w:rPr>
              <w:t>HPA</w:t>
            </w:r>
          </w:p>
        </w:tc>
        <w:tc>
          <w:tcPr>
            <w:tcW w:w="1350" w:type="dxa"/>
            <w:tcBorders>
              <w:left w:val="single" w:sz="12" w:space="0" w:color="auto"/>
            </w:tcBorders>
            <w:vAlign w:val="center"/>
          </w:tcPr>
          <w:p w14:paraId="0950CD1A"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CBT</w:t>
            </w:r>
          </w:p>
        </w:tc>
        <w:tc>
          <w:tcPr>
            <w:tcW w:w="2880" w:type="dxa"/>
            <w:vAlign w:val="center"/>
          </w:tcPr>
          <w:p w14:paraId="4F46F6CA" w14:textId="5047A790" w:rsidR="00C65D64" w:rsidRPr="00DE0DDB" w:rsidRDefault="00C65D64" w:rsidP="00CC69C5">
            <w:pPr>
              <w:spacing w:before="120" w:after="120"/>
              <w:jc w:val="center"/>
              <w:rPr>
                <w:rFonts w:ascii="Arial" w:hAnsi="Arial" w:cs="Arial"/>
                <w:noProof/>
              </w:rPr>
            </w:pPr>
            <w:r w:rsidRPr="00DE0DDB">
              <w:rPr>
                <w:rFonts w:ascii="Arial" w:hAnsi="Arial" w:cs="Arial"/>
                <w:noProof/>
              </w:rPr>
              <w:t>-0.06 (0.009)</w:t>
            </w:r>
            <w:r w:rsidR="00A0481F" w:rsidRPr="00DE0DDB">
              <w:rPr>
                <w:rFonts w:ascii="Arial" w:hAnsi="Arial" w:cs="Arial"/>
                <w:noProof/>
              </w:rPr>
              <w:t xml:space="preserve"> </w:t>
            </w:r>
            <w:r w:rsidRPr="00DE0DDB">
              <w:rPr>
                <w:rFonts w:ascii="Arial" w:hAnsi="Arial" w:cs="Arial"/>
                <w:noProof/>
              </w:rPr>
              <w:t>[-0.08, -0.04]</w:t>
            </w:r>
          </w:p>
        </w:tc>
        <w:tc>
          <w:tcPr>
            <w:tcW w:w="2700" w:type="dxa"/>
            <w:vMerge w:val="restart"/>
            <w:vAlign w:val="center"/>
          </w:tcPr>
          <w:p w14:paraId="0C24CB97" w14:textId="5DCA00E7" w:rsidR="00C65D64" w:rsidRPr="00DE0DDB" w:rsidRDefault="00C65D64" w:rsidP="00CC69C5">
            <w:pPr>
              <w:jc w:val="center"/>
              <w:rPr>
                <w:rFonts w:ascii="Arial" w:hAnsi="Arial" w:cs="Arial"/>
                <w:noProof/>
              </w:rPr>
            </w:pPr>
            <w:r w:rsidRPr="00DE0DDB">
              <w:rPr>
                <w:rFonts w:ascii="Arial" w:hAnsi="Arial" w:cs="Arial"/>
                <w:noProof/>
              </w:rPr>
              <w:t>-0.01 (0.01)</w:t>
            </w:r>
            <w:r w:rsidR="00CC69C5" w:rsidRPr="00DE0DDB">
              <w:rPr>
                <w:rFonts w:ascii="Arial" w:hAnsi="Arial" w:cs="Arial"/>
                <w:noProof/>
              </w:rPr>
              <w:t xml:space="preserve">  </w:t>
            </w:r>
            <w:r w:rsidRPr="00DE0DDB">
              <w:rPr>
                <w:rFonts w:ascii="Arial" w:hAnsi="Arial" w:cs="Arial"/>
                <w:i/>
                <w:iCs/>
                <w:noProof/>
              </w:rPr>
              <w:t>d</w:t>
            </w:r>
            <w:r w:rsidRPr="00DE0DDB">
              <w:rPr>
                <w:rFonts w:ascii="Arial" w:hAnsi="Arial" w:cs="Arial"/>
                <w:noProof/>
              </w:rPr>
              <w:t xml:space="preserve"> = -0.</w:t>
            </w:r>
            <w:r w:rsidR="00B8277D" w:rsidRPr="00DE0DDB">
              <w:rPr>
                <w:rFonts w:ascii="Arial" w:hAnsi="Arial" w:cs="Arial"/>
                <w:noProof/>
              </w:rPr>
              <w:t>06</w:t>
            </w:r>
          </w:p>
        </w:tc>
      </w:tr>
      <w:tr w:rsidR="00C65D64" w:rsidRPr="00DE0DDB" w14:paraId="5D3BDA59" w14:textId="77777777" w:rsidTr="009A7188">
        <w:tc>
          <w:tcPr>
            <w:tcW w:w="1337" w:type="dxa"/>
            <w:vMerge/>
            <w:tcBorders>
              <w:right w:val="single" w:sz="12" w:space="0" w:color="auto"/>
            </w:tcBorders>
            <w:vAlign w:val="center"/>
          </w:tcPr>
          <w:p w14:paraId="5E03EBB8" w14:textId="77777777" w:rsidR="00C65D64" w:rsidRPr="00DE0DDB" w:rsidRDefault="00C65D64" w:rsidP="00FC6D8A">
            <w:pPr>
              <w:jc w:val="center"/>
              <w:rPr>
                <w:rFonts w:ascii="Arial" w:hAnsi="Arial" w:cs="Arial"/>
                <w:noProof/>
              </w:rPr>
            </w:pPr>
          </w:p>
        </w:tc>
        <w:tc>
          <w:tcPr>
            <w:tcW w:w="1273" w:type="dxa"/>
            <w:vMerge/>
            <w:tcBorders>
              <w:left w:val="single" w:sz="12" w:space="0" w:color="auto"/>
              <w:right w:val="single" w:sz="12" w:space="0" w:color="auto"/>
            </w:tcBorders>
            <w:vAlign w:val="center"/>
          </w:tcPr>
          <w:p w14:paraId="5776EB74" w14:textId="77777777" w:rsidR="00C65D64" w:rsidRPr="00DE0DDB" w:rsidRDefault="00C65D64" w:rsidP="00FC6D8A">
            <w:pPr>
              <w:jc w:val="center"/>
              <w:rPr>
                <w:rFonts w:ascii="Arial" w:hAnsi="Arial" w:cs="Arial"/>
                <w:noProof/>
              </w:rPr>
            </w:pPr>
          </w:p>
        </w:tc>
        <w:tc>
          <w:tcPr>
            <w:tcW w:w="1350" w:type="dxa"/>
            <w:tcBorders>
              <w:left w:val="single" w:sz="12" w:space="0" w:color="auto"/>
            </w:tcBorders>
            <w:vAlign w:val="center"/>
          </w:tcPr>
          <w:p w14:paraId="0833936A"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EDU</w:t>
            </w:r>
          </w:p>
        </w:tc>
        <w:tc>
          <w:tcPr>
            <w:tcW w:w="2880" w:type="dxa"/>
            <w:vAlign w:val="center"/>
          </w:tcPr>
          <w:p w14:paraId="6641C3FD" w14:textId="08101ECE" w:rsidR="00C65D64" w:rsidRPr="00DE0DDB" w:rsidRDefault="00C65D64" w:rsidP="00CC69C5">
            <w:pPr>
              <w:spacing w:before="120" w:after="120"/>
              <w:jc w:val="center"/>
              <w:rPr>
                <w:rFonts w:ascii="Arial" w:hAnsi="Arial" w:cs="Arial"/>
                <w:noProof/>
              </w:rPr>
            </w:pPr>
            <w:r w:rsidRPr="00DE0DDB">
              <w:rPr>
                <w:rFonts w:ascii="Arial" w:hAnsi="Arial" w:cs="Arial"/>
                <w:noProof/>
              </w:rPr>
              <w:t>-0.05 (0.008)</w:t>
            </w:r>
            <w:r w:rsidR="00A0481F" w:rsidRPr="00DE0DDB">
              <w:rPr>
                <w:rFonts w:ascii="Arial" w:hAnsi="Arial" w:cs="Arial"/>
                <w:noProof/>
              </w:rPr>
              <w:t xml:space="preserve"> </w:t>
            </w:r>
            <w:r w:rsidRPr="00DE0DDB">
              <w:rPr>
                <w:rFonts w:ascii="Arial" w:hAnsi="Arial" w:cs="Arial"/>
                <w:noProof/>
              </w:rPr>
              <w:t>[-0.06, -0.03]</w:t>
            </w:r>
          </w:p>
        </w:tc>
        <w:tc>
          <w:tcPr>
            <w:tcW w:w="2700" w:type="dxa"/>
            <w:vMerge/>
            <w:vAlign w:val="center"/>
          </w:tcPr>
          <w:p w14:paraId="0408B607" w14:textId="77777777" w:rsidR="00C65D64" w:rsidRPr="00DE0DDB" w:rsidRDefault="00C65D64" w:rsidP="00FC6D8A">
            <w:pPr>
              <w:jc w:val="center"/>
              <w:rPr>
                <w:rFonts w:ascii="Arial" w:hAnsi="Arial" w:cs="Arial"/>
                <w:noProof/>
              </w:rPr>
            </w:pPr>
          </w:p>
        </w:tc>
      </w:tr>
      <w:tr w:rsidR="00C65D64" w:rsidRPr="00DE0DDB" w14:paraId="34FAA17A" w14:textId="77777777" w:rsidTr="009A7188">
        <w:tc>
          <w:tcPr>
            <w:tcW w:w="1337" w:type="dxa"/>
            <w:vMerge/>
            <w:tcBorders>
              <w:right w:val="single" w:sz="12" w:space="0" w:color="auto"/>
            </w:tcBorders>
            <w:vAlign w:val="center"/>
          </w:tcPr>
          <w:p w14:paraId="5C345DD3" w14:textId="77777777" w:rsidR="00C65D64" w:rsidRPr="00DE0DDB" w:rsidRDefault="00C65D64" w:rsidP="00FC6D8A">
            <w:pPr>
              <w:jc w:val="center"/>
              <w:rPr>
                <w:rFonts w:ascii="Arial" w:hAnsi="Arial" w:cs="Arial"/>
                <w:noProof/>
              </w:rPr>
            </w:pPr>
          </w:p>
        </w:tc>
        <w:tc>
          <w:tcPr>
            <w:tcW w:w="1273" w:type="dxa"/>
            <w:vMerge w:val="restart"/>
            <w:tcBorders>
              <w:left w:val="single" w:sz="12" w:space="0" w:color="auto"/>
              <w:right w:val="single" w:sz="12" w:space="0" w:color="auto"/>
            </w:tcBorders>
            <w:vAlign w:val="center"/>
          </w:tcPr>
          <w:p w14:paraId="60004B28" w14:textId="77777777" w:rsidR="00C65D64" w:rsidRPr="00DE0DDB" w:rsidRDefault="00C65D64" w:rsidP="00FC6D8A">
            <w:pPr>
              <w:jc w:val="center"/>
              <w:rPr>
                <w:rFonts w:ascii="Arial" w:hAnsi="Arial" w:cs="Arial"/>
                <w:noProof/>
              </w:rPr>
            </w:pPr>
            <w:r w:rsidRPr="00DE0DDB">
              <w:rPr>
                <w:rFonts w:ascii="Arial" w:hAnsi="Arial" w:cs="Arial"/>
                <w:noProof/>
              </w:rPr>
              <w:t>LPA</w:t>
            </w:r>
          </w:p>
        </w:tc>
        <w:tc>
          <w:tcPr>
            <w:tcW w:w="1350" w:type="dxa"/>
            <w:tcBorders>
              <w:left w:val="single" w:sz="12" w:space="0" w:color="auto"/>
            </w:tcBorders>
            <w:vAlign w:val="center"/>
          </w:tcPr>
          <w:p w14:paraId="06501FC4"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CBT</w:t>
            </w:r>
          </w:p>
        </w:tc>
        <w:tc>
          <w:tcPr>
            <w:tcW w:w="2880" w:type="dxa"/>
            <w:vAlign w:val="center"/>
          </w:tcPr>
          <w:p w14:paraId="75A75D37" w14:textId="5EC9D22D" w:rsidR="00C65D64" w:rsidRPr="00DE0DDB" w:rsidRDefault="00C65D64" w:rsidP="00CC69C5">
            <w:pPr>
              <w:spacing w:before="120" w:after="120"/>
              <w:jc w:val="center"/>
              <w:rPr>
                <w:rFonts w:ascii="Arial" w:hAnsi="Arial" w:cs="Arial"/>
                <w:noProof/>
              </w:rPr>
            </w:pPr>
            <w:r w:rsidRPr="00DE0DDB">
              <w:rPr>
                <w:rFonts w:ascii="Arial" w:hAnsi="Arial" w:cs="Arial"/>
                <w:noProof/>
              </w:rPr>
              <w:t>-0.02 (0.01)</w:t>
            </w:r>
            <w:r w:rsidR="00A0481F" w:rsidRPr="00DE0DDB">
              <w:rPr>
                <w:rFonts w:ascii="Arial" w:hAnsi="Arial" w:cs="Arial"/>
                <w:noProof/>
              </w:rPr>
              <w:t xml:space="preserve"> </w:t>
            </w:r>
            <w:r w:rsidRPr="00DE0DDB">
              <w:rPr>
                <w:rFonts w:ascii="Arial" w:hAnsi="Arial" w:cs="Arial"/>
                <w:noProof/>
              </w:rPr>
              <w:t>[-0.04, 0.008]</w:t>
            </w:r>
          </w:p>
        </w:tc>
        <w:tc>
          <w:tcPr>
            <w:tcW w:w="2700" w:type="dxa"/>
            <w:vMerge w:val="restart"/>
            <w:vAlign w:val="center"/>
          </w:tcPr>
          <w:p w14:paraId="6ADCD595" w14:textId="13ED644E" w:rsidR="00C65D64" w:rsidRPr="00DE0DDB" w:rsidRDefault="00C65D64" w:rsidP="00CC69C5">
            <w:pPr>
              <w:jc w:val="center"/>
              <w:rPr>
                <w:rFonts w:ascii="Arial" w:hAnsi="Arial" w:cs="Arial"/>
                <w:noProof/>
              </w:rPr>
            </w:pPr>
            <w:r w:rsidRPr="00DE0DDB">
              <w:rPr>
                <w:rFonts w:ascii="Arial" w:hAnsi="Arial" w:cs="Arial"/>
                <w:noProof/>
              </w:rPr>
              <w:t>0.02 (0.01)</w:t>
            </w:r>
            <w:r w:rsidR="00CC69C5" w:rsidRPr="00DE0DDB">
              <w:rPr>
                <w:rFonts w:ascii="Arial" w:hAnsi="Arial" w:cs="Arial"/>
                <w:noProof/>
              </w:rPr>
              <w:t xml:space="preserve">  </w:t>
            </w:r>
            <w:r w:rsidRPr="00DE0DDB">
              <w:rPr>
                <w:rFonts w:ascii="Arial" w:hAnsi="Arial" w:cs="Arial"/>
                <w:i/>
                <w:iCs/>
                <w:noProof/>
              </w:rPr>
              <w:t>d</w:t>
            </w:r>
            <w:r w:rsidRPr="00DE0DDB">
              <w:rPr>
                <w:rFonts w:ascii="Arial" w:hAnsi="Arial" w:cs="Arial"/>
                <w:noProof/>
              </w:rPr>
              <w:t xml:space="preserve"> = 0.</w:t>
            </w:r>
            <w:r w:rsidR="00B8277D" w:rsidRPr="00DE0DDB">
              <w:rPr>
                <w:rFonts w:ascii="Arial" w:hAnsi="Arial" w:cs="Arial"/>
                <w:noProof/>
              </w:rPr>
              <w:t>09</w:t>
            </w:r>
          </w:p>
        </w:tc>
      </w:tr>
      <w:tr w:rsidR="00C65D64" w:rsidRPr="00DE0DDB" w14:paraId="1AE5C838" w14:textId="77777777" w:rsidTr="009A7188">
        <w:tc>
          <w:tcPr>
            <w:tcW w:w="1337" w:type="dxa"/>
            <w:vMerge/>
            <w:tcBorders>
              <w:bottom w:val="single" w:sz="12" w:space="0" w:color="auto"/>
              <w:right w:val="single" w:sz="12" w:space="0" w:color="auto"/>
            </w:tcBorders>
            <w:vAlign w:val="center"/>
          </w:tcPr>
          <w:p w14:paraId="0E1191FA" w14:textId="77777777" w:rsidR="00C65D64" w:rsidRPr="00DE0DDB" w:rsidRDefault="00C65D64" w:rsidP="00FC6D8A">
            <w:pPr>
              <w:rPr>
                <w:rFonts w:ascii="Arial" w:hAnsi="Arial" w:cs="Arial"/>
                <w:noProof/>
              </w:rPr>
            </w:pPr>
          </w:p>
        </w:tc>
        <w:tc>
          <w:tcPr>
            <w:tcW w:w="1273" w:type="dxa"/>
            <w:vMerge/>
            <w:tcBorders>
              <w:left w:val="single" w:sz="12" w:space="0" w:color="auto"/>
              <w:bottom w:val="single" w:sz="12" w:space="0" w:color="auto"/>
              <w:right w:val="single" w:sz="12" w:space="0" w:color="auto"/>
            </w:tcBorders>
            <w:vAlign w:val="center"/>
          </w:tcPr>
          <w:p w14:paraId="5319D054" w14:textId="77777777" w:rsidR="00C65D64" w:rsidRPr="00DE0DDB" w:rsidRDefault="00C65D64" w:rsidP="00FC6D8A">
            <w:pPr>
              <w:rPr>
                <w:rFonts w:ascii="Arial" w:hAnsi="Arial" w:cs="Arial"/>
                <w:noProof/>
              </w:rPr>
            </w:pPr>
          </w:p>
        </w:tc>
        <w:tc>
          <w:tcPr>
            <w:tcW w:w="1350" w:type="dxa"/>
            <w:tcBorders>
              <w:left w:val="single" w:sz="12" w:space="0" w:color="auto"/>
              <w:bottom w:val="single" w:sz="12" w:space="0" w:color="auto"/>
            </w:tcBorders>
            <w:vAlign w:val="center"/>
          </w:tcPr>
          <w:p w14:paraId="2059FC50" w14:textId="77777777" w:rsidR="00C65D64" w:rsidRPr="00DE0DDB" w:rsidRDefault="00C65D64" w:rsidP="00CC69C5">
            <w:pPr>
              <w:spacing w:before="120" w:after="120"/>
              <w:jc w:val="center"/>
              <w:rPr>
                <w:rFonts w:ascii="Arial" w:hAnsi="Arial" w:cs="Arial"/>
                <w:noProof/>
              </w:rPr>
            </w:pPr>
            <w:r w:rsidRPr="00DE0DDB">
              <w:rPr>
                <w:rFonts w:ascii="Arial" w:hAnsi="Arial" w:cs="Arial"/>
                <w:noProof/>
              </w:rPr>
              <w:t>EDU</w:t>
            </w:r>
          </w:p>
        </w:tc>
        <w:tc>
          <w:tcPr>
            <w:tcW w:w="2880" w:type="dxa"/>
            <w:tcBorders>
              <w:bottom w:val="single" w:sz="12" w:space="0" w:color="auto"/>
            </w:tcBorders>
            <w:vAlign w:val="center"/>
          </w:tcPr>
          <w:p w14:paraId="76CCAD39" w14:textId="1BD6ECD8" w:rsidR="00C65D64" w:rsidRPr="00DE0DDB" w:rsidRDefault="00C65D64" w:rsidP="00CC69C5">
            <w:pPr>
              <w:spacing w:before="120" w:after="120"/>
              <w:jc w:val="center"/>
              <w:rPr>
                <w:rFonts w:ascii="Arial" w:hAnsi="Arial" w:cs="Arial"/>
                <w:noProof/>
              </w:rPr>
            </w:pPr>
            <w:r w:rsidRPr="00DE0DDB">
              <w:rPr>
                <w:rFonts w:ascii="Arial" w:hAnsi="Arial" w:cs="Arial"/>
                <w:noProof/>
              </w:rPr>
              <w:t>-0.04 (0.01)</w:t>
            </w:r>
            <w:r w:rsidR="00A0481F" w:rsidRPr="00DE0DDB">
              <w:rPr>
                <w:rFonts w:ascii="Arial" w:hAnsi="Arial" w:cs="Arial"/>
                <w:noProof/>
              </w:rPr>
              <w:t xml:space="preserve"> </w:t>
            </w:r>
            <w:r w:rsidRPr="00DE0DDB">
              <w:rPr>
                <w:rFonts w:ascii="Arial" w:hAnsi="Arial" w:cs="Arial"/>
                <w:noProof/>
              </w:rPr>
              <w:t>[-0.07, -0.02]</w:t>
            </w:r>
          </w:p>
        </w:tc>
        <w:tc>
          <w:tcPr>
            <w:tcW w:w="2700" w:type="dxa"/>
            <w:vMerge/>
            <w:tcBorders>
              <w:bottom w:val="single" w:sz="12" w:space="0" w:color="auto"/>
            </w:tcBorders>
            <w:vAlign w:val="center"/>
          </w:tcPr>
          <w:p w14:paraId="251E6A6E" w14:textId="77777777" w:rsidR="00C65D64" w:rsidRPr="00DE0DDB" w:rsidRDefault="00C65D64" w:rsidP="00FC6D8A">
            <w:pPr>
              <w:jc w:val="center"/>
              <w:rPr>
                <w:rFonts w:ascii="Arial" w:hAnsi="Arial" w:cs="Arial"/>
                <w:noProof/>
              </w:rPr>
            </w:pPr>
          </w:p>
        </w:tc>
      </w:tr>
    </w:tbl>
    <w:p w14:paraId="7C3EC00A" w14:textId="5440FB4A" w:rsidR="00C65D64" w:rsidRPr="00DE0DDB" w:rsidRDefault="00C65D64" w:rsidP="00C65D64">
      <w:pPr>
        <w:spacing w:after="0" w:line="240" w:lineRule="auto"/>
        <w:rPr>
          <w:rFonts w:ascii="Arial" w:hAnsi="Arial" w:cs="Arial"/>
          <w:lang w:val="en-US"/>
        </w:rPr>
      </w:pPr>
      <w:r w:rsidRPr="00DE0DDB">
        <w:rPr>
          <w:rFonts w:ascii="Arial" w:hAnsi="Arial" w:cs="Arial"/>
          <w:lang w:val="en-US"/>
        </w:rPr>
        <w:t>***p &lt; 0.001</w:t>
      </w:r>
    </w:p>
    <w:p w14:paraId="0E5A4C94" w14:textId="1978A062" w:rsidR="00C65D64" w:rsidRPr="00DE0DDB" w:rsidRDefault="00C65D64" w:rsidP="00C65D64">
      <w:pPr>
        <w:spacing w:after="0" w:line="240" w:lineRule="auto"/>
        <w:rPr>
          <w:rFonts w:ascii="Arial" w:hAnsi="Arial" w:cs="Arial"/>
          <w:lang w:val="en-US"/>
        </w:rPr>
      </w:pPr>
      <w:r w:rsidRPr="00DE0DDB">
        <w:rPr>
          <w:rFonts w:ascii="Arial" w:hAnsi="Arial" w:cs="Arial"/>
          <w:lang w:val="en-US"/>
        </w:rPr>
        <w:t xml:space="preserve">Effect sizes were calculated </w:t>
      </w:r>
      <w:r w:rsidR="006653C0" w:rsidRPr="00DE0DDB">
        <w:rPr>
          <w:rFonts w:ascii="Arial" w:hAnsi="Arial" w:cs="Arial"/>
          <w:lang w:val="en-US"/>
        </w:rPr>
        <w:t xml:space="preserve">using the following formula:  </w:t>
      </w:r>
      <m:oMath>
        <m:r>
          <w:rPr>
            <w:rFonts w:ascii="Cambria Math" w:hAnsi="Cambria Math" w:cs="Arial"/>
            <w:lang w:val="en-US"/>
          </w:rPr>
          <m:t>Cohe</m:t>
        </m:r>
        <m:sSup>
          <m:sSupPr>
            <m:ctrlPr>
              <w:rPr>
                <w:rFonts w:ascii="Cambria Math" w:hAnsi="Cambria Math" w:cs="Arial"/>
                <w:i/>
                <w:lang w:val="en-US"/>
              </w:rPr>
            </m:ctrlPr>
          </m:sSupPr>
          <m:e>
            <m:r>
              <w:rPr>
                <w:rFonts w:ascii="Cambria Math" w:hAnsi="Cambria Math" w:cs="Arial"/>
                <w:lang w:val="en-US"/>
              </w:rPr>
              <m:t>n</m:t>
            </m:r>
          </m:e>
          <m:sup>
            <m:r>
              <w:rPr>
                <w:rFonts w:ascii="Cambria Math" w:hAnsi="Cambria Math" w:cs="Arial"/>
                <w:lang w:val="en-US"/>
              </w:rPr>
              <m:t>'</m:t>
            </m:r>
          </m:sup>
        </m:sSup>
        <m:r>
          <w:rPr>
            <w:rFonts w:ascii="Cambria Math" w:hAnsi="Cambria Math" w:cs="Arial"/>
            <w:lang w:val="en-US"/>
          </w:rPr>
          <m:t>s d=2t/</m:t>
        </m:r>
        <m:rad>
          <m:radPr>
            <m:degHide m:val="1"/>
            <m:ctrlPr>
              <w:rPr>
                <w:rFonts w:ascii="Cambria Math" w:hAnsi="Cambria Math" w:cs="Arial"/>
                <w:i/>
                <w:lang w:val="en-US"/>
              </w:rPr>
            </m:ctrlPr>
          </m:radPr>
          <m:deg/>
          <m:e>
            <m:r>
              <w:rPr>
                <w:rFonts w:ascii="Cambria Math" w:hAnsi="Cambria Math" w:cs="Arial"/>
                <w:lang w:val="en-US"/>
              </w:rPr>
              <m:t>df</m:t>
            </m:r>
          </m:e>
        </m:rad>
      </m:oMath>
      <w:r w:rsidR="006653C0" w:rsidRPr="00DE0DDB">
        <w:rPr>
          <w:rFonts w:ascii="Arial" w:eastAsiaTheme="minorEastAsia" w:hAnsi="Arial" w:cs="Arial"/>
          <w:lang w:val="en-US"/>
        </w:rPr>
        <w:t xml:space="preserve"> where </w:t>
      </w:r>
      <m:oMath>
        <m:r>
          <w:rPr>
            <w:rFonts w:ascii="Cambria Math" w:hAnsi="Cambria Math" w:cs="Arial"/>
            <w:lang w:val="en-US"/>
          </w:rPr>
          <m:t>t</m:t>
        </m:r>
      </m:oMath>
      <w:r w:rsidR="006653C0" w:rsidRPr="00DE0DDB">
        <w:rPr>
          <w:rFonts w:ascii="Arial" w:eastAsiaTheme="minorEastAsia" w:hAnsi="Arial" w:cs="Arial"/>
          <w:lang w:val="en-US"/>
        </w:rPr>
        <w:t xml:space="preserve"> represents the </w:t>
      </w:r>
      <m:oMath>
        <m:r>
          <w:rPr>
            <w:rFonts w:ascii="Cambria Math" w:hAnsi="Cambria Math" w:cs="Arial"/>
            <w:lang w:val="en-US"/>
          </w:rPr>
          <m:t>t</m:t>
        </m:r>
      </m:oMath>
      <w:r w:rsidR="006653C0" w:rsidRPr="00DE0DDB">
        <w:rPr>
          <w:rFonts w:ascii="Arial" w:eastAsiaTheme="minorEastAsia" w:hAnsi="Arial" w:cs="Arial"/>
          <w:lang w:val="en-US"/>
        </w:rPr>
        <w:t xml:space="preserve"> ratio corresponding to the pairwise estimate yielded by </w:t>
      </w:r>
      <w:r w:rsidR="002B1681" w:rsidRPr="00DE0DDB">
        <w:rPr>
          <w:rFonts w:ascii="Arial" w:eastAsiaTheme="minorEastAsia" w:hAnsi="Arial" w:cs="Arial"/>
          <w:lang w:val="en-US"/>
        </w:rPr>
        <w:t xml:space="preserve">the </w:t>
      </w:r>
      <w:proofErr w:type="spellStart"/>
      <w:r w:rsidR="002B1681" w:rsidRPr="00DE0DDB">
        <w:rPr>
          <w:rFonts w:ascii="Arial" w:eastAsiaTheme="minorEastAsia" w:hAnsi="Arial" w:cs="Arial"/>
          <w:i/>
          <w:iCs/>
          <w:lang w:val="en-US"/>
        </w:rPr>
        <w:t>lstrends</w:t>
      </w:r>
      <w:proofErr w:type="spellEnd"/>
      <w:r w:rsidR="002B1681" w:rsidRPr="00DE0DDB">
        <w:rPr>
          <w:rFonts w:ascii="Arial" w:eastAsiaTheme="minorEastAsia" w:hAnsi="Arial" w:cs="Arial"/>
          <w:i/>
          <w:iCs/>
          <w:lang w:val="en-US"/>
        </w:rPr>
        <w:t xml:space="preserve"> </w:t>
      </w:r>
      <w:r w:rsidR="002B1681" w:rsidRPr="00DE0DDB">
        <w:rPr>
          <w:rFonts w:ascii="Arial" w:eastAsiaTheme="minorEastAsia" w:hAnsi="Arial" w:cs="Arial"/>
          <w:lang w:val="en-US"/>
        </w:rPr>
        <w:t xml:space="preserve">function in the </w:t>
      </w:r>
      <w:proofErr w:type="spellStart"/>
      <w:r w:rsidR="002B1681" w:rsidRPr="00DE0DDB">
        <w:rPr>
          <w:rFonts w:ascii="Arial" w:eastAsiaTheme="minorEastAsia" w:hAnsi="Arial" w:cs="Arial"/>
          <w:i/>
          <w:iCs/>
          <w:lang w:val="en-US"/>
        </w:rPr>
        <w:t>lsmeans</w:t>
      </w:r>
      <w:proofErr w:type="spellEnd"/>
      <w:r w:rsidR="002B1681" w:rsidRPr="00DE0DDB">
        <w:rPr>
          <w:rFonts w:ascii="Arial" w:eastAsiaTheme="minorEastAsia" w:hAnsi="Arial" w:cs="Arial"/>
          <w:lang w:val="en-US"/>
        </w:rPr>
        <w:t xml:space="preserve"> R package</w:t>
      </w:r>
      <w:r w:rsidRPr="00DE0DDB">
        <w:rPr>
          <w:rFonts w:ascii="Arial" w:hAnsi="Arial" w:cs="Arial"/>
          <w:lang w:val="en-US"/>
        </w:rPr>
        <w:t>.</w:t>
      </w:r>
      <w:r w:rsidR="00192A67">
        <w:rPr>
          <w:rFonts w:ascii="Arial" w:hAnsi="Arial" w:cs="Arial"/>
          <w:lang w:val="en-US"/>
        </w:rPr>
        <w:fldChar w:fldCharType="begin"/>
      </w:r>
      <w:r w:rsidR="00F30351">
        <w:rPr>
          <w:rFonts w:ascii="Arial" w:hAnsi="Arial" w:cs="Arial"/>
          <w:lang w:val="en-US"/>
        </w:rPr>
        <w:instrText xml:space="preserve"> ADDIN ZOTERO_ITEM CSL_CITATION {"citationID":"a1s9s8754ln","properties":{"formattedCitation":"[17]","plainCitation":"[17]","noteIndex":0},"citationItems":[{"id":309,"uris":["http://zotero.org/users/7139165/items/LKPFPJ6N"],"uri":["http://zotero.org/users/7139165/items/LKPFPJ6N"],"itemData":{"id":309,"type":"article-journal","container-title":"Journal of Statistical Software","DOI":"10.18637/jss.v069.i01","ISSN":"1548-7660","issue":"1","language":"en","note":"number: 1","page":"1-33","source":"www.jstatsoft.org","title":"Least-squares means: The R package lsmeans","title-short":"Least-Squares Means","volume":"69","author":[{"family":"Lenth","given":"Russell V."}],"issued":{"date-parts":[["2016",1,29]]}}}],"schema":"https://github.com/citation-style-language/schema/raw/master/csl-citation.json"} </w:instrText>
      </w:r>
      <w:r w:rsidR="00192A67">
        <w:rPr>
          <w:rFonts w:ascii="Arial" w:hAnsi="Arial" w:cs="Arial"/>
          <w:lang w:val="en-US"/>
        </w:rPr>
        <w:fldChar w:fldCharType="separate"/>
      </w:r>
      <w:r w:rsidR="007346C0" w:rsidRPr="007346C0">
        <w:rPr>
          <w:rFonts w:ascii="Arial" w:hAnsi="Arial" w:cs="Arial"/>
        </w:rPr>
        <w:t>[17]</w:t>
      </w:r>
      <w:r w:rsidR="00192A67">
        <w:rPr>
          <w:rFonts w:ascii="Arial" w:hAnsi="Arial" w:cs="Arial"/>
          <w:lang w:val="en-US"/>
        </w:rPr>
        <w:fldChar w:fldCharType="end"/>
      </w:r>
      <w:r w:rsidRPr="00DE0DDB">
        <w:rPr>
          <w:rFonts w:ascii="Arial" w:hAnsi="Arial" w:cs="Arial"/>
          <w:lang w:val="en-US"/>
        </w:rPr>
        <w:t xml:space="preserve"> </w:t>
      </w:r>
      <w:r w:rsidR="0037605F">
        <w:rPr>
          <w:rFonts w:ascii="Arial" w:hAnsi="Arial" w:cs="Arial"/>
          <w:lang w:val="en-US"/>
        </w:rPr>
        <w:t>CBT = Cognitive behavioral therapy, EDU = Education, GI = Gastrointestinal, HPD = High Pain Dysfunctional, HPA = High Pain Adaptive, LPA = Low Pain Adaptive</w:t>
      </w:r>
    </w:p>
    <w:p w14:paraId="39387081" w14:textId="62BA2C75" w:rsidR="00F611D3" w:rsidRPr="00DE0DDB" w:rsidRDefault="00F611D3">
      <w:pPr>
        <w:rPr>
          <w:rFonts w:ascii="Arial" w:hAnsi="Arial" w:cs="Arial"/>
          <w:lang w:val="en-US"/>
        </w:rPr>
      </w:pPr>
      <w:r w:rsidRPr="00DE0DDB">
        <w:rPr>
          <w:rFonts w:ascii="Arial" w:hAnsi="Arial" w:cs="Arial"/>
          <w:lang w:val="en-US"/>
        </w:rPr>
        <w:br w:type="page"/>
      </w:r>
    </w:p>
    <w:p w14:paraId="078CDB58" w14:textId="77167CDA" w:rsidR="00C65D64" w:rsidRPr="00DE0DDB" w:rsidRDefault="00C65D64" w:rsidP="00C65D64">
      <w:pPr>
        <w:spacing w:after="0" w:line="240" w:lineRule="auto"/>
        <w:rPr>
          <w:rFonts w:ascii="Arial" w:hAnsi="Arial" w:cs="Arial"/>
          <w:lang w:val="en-US"/>
        </w:rPr>
      </w:pPr>
      <w:r w:rsidRPr="00E16FD4">
        <w:rPr>
          <w:rFonts w:ascii="Arial" w:hAnsi="Arial" w:cs="Arial"/>
          <w:b/>
          <w:bCs/>
          <w:lang w:val="en-US"/>
        </w:rPr>
        <w:lastRenderedPageBreak/>
        <w:t>Table 3.</w:t>
      </w:r>
      <w:r w:rsidRPr="00DE0DDB">
        <w:rPr>
          <w:rFonts w:ascii="Arial" w:hAnsi="Arial" w:cs="Arial"/>
          <w:lang w:val="en-US"/>
        </w:rPr>
        <w:t xml:space="preserve"> Estimated </w:t>
      </w:r>
      <w:r w:rsidR="00C0687E" w:rsidRPr="00DE0DDB">
        <w:rPr>
          <w:rFonts w:ascii="Arial" w:hAnsi="Arial" w:cs="Arial"/>
          <w:lang w:val="en-US"/>
        </w:rPr>
        <w:t>S</w:t>
      </w:r>
      <w:r w:rsidRPr="00DE0DDB">
        <w:rPr>
          <w:rFonts w:ascii="Arial" w:hAnsi="Arial" w:cs="Arial"/>
          <w:lang w:val="en-US"/>
        </w:rPr>
        <w:t xml:space="preserve">lopes from </w:t>
      </w:r>
      <w:r w:rsidR="00C0687E" w:rsidRPr="00DE0DDB">
        <w:rPr>
          <w:rFonts w:ascii="Arial" w:hAnsi="Arial" w:cs="Arial"/>
          <w:lang w:val="en-US"/>
        </w:rPr>
        <w:t>P</w:t>
      </w:r>
      <w:r w:rsidRPr="00DE0DDB">
        <w:rPr>
          <w:rFonts w:ascii="Arial" w:hAnsi="Arial" w:cs="Arial"/>
          <w:lang w:val="en-US"/>
        </w:rPr>
        <w:t xml:space="preserve">re- to </w:t>
      </w:r>
      <w:r w:rsidR="00C0687E" w:rsidRPr="00DE0DDB">
        <w:rPr>
          <w:rFonts w:ascii="Arial" w:hAnsi="Arial" w:cs="Arial"/>
          <w:lang w:val="en-US"/>
        </w:rPr>
        <w:t>P</w:t>
      </w:r>
      <w:r w:rsidRPr="00DE0DDB">
        <w:rPr>
          <w:rFonts w:ascii="Arial" w:hAnsi="Arial" w:cs="Arial"/>
          <w:lang w:val="en-US"/>
        </w:rPr>
        <w:t xml:space="preserve">ost-treatment </w:t>
      </w:r>
      <w:r w:rsidR="00B320A5" w:rsidRPr="00DE0DDB">
        <w:rPr>
          <w:rFonts w:ascii="Arial" w:hAnsi="Arial" w:cs="Arial"/>
          <w:lang w:val="en-US"/>
        </w:rPr>
        <w:t xml:space="preserve">(Piece 1) </w:t>
      </w:r>
      <w:r w:rsidRPr="00DE0DDB">
        <w:rPr>
          <w:rFonts w:ascii="Arial" w:hAnsi="Arial" w:cs="Arial"/>
          <w:lang w:val="en-US"/>
        </w:rPr>
        <w:t xml:space="preserve">and </w:t>
      </w:r>
      <w:r w:rsidR="00C0687E" w:rsidRPr="00DE0DDB">
        <w:rPr>
          <w:rFonts w:ascii="Arial" w:hAnsi="Arial" w:cs="Arial"/>
          <w:lang w:val="en-US"/>
        </w:rPr>
        <w:t>E</w:t>
      </w:r>
      <w:r w:rsidRPr="00DE0DDB">
        <w:rPr>
          <w:rFonts w:ascii="Arial" w:hAnsi="Arial" w:cs="Arial"/>
          <w:lang w:val="en-US"/>
        </w:rPr>
        <w:t xml:space="preserve">ffect </w:t>
      </w:r>
      <w:r w:rsidR="00C0687E" w:rsidRPr="00DE0DDB">
        <w:rPr>
          <w:rFonts w:ascii="Arial" w:hAnsi="Arial" w:cs="Arial"/>
          <w:lang w:val="en-US"/>
        </w:rPr>
        <w:t>S</w:t>
      </w:r>
      <w:r w:rsidRPr="00DE0DDB">
        <w:rPr>
          <w:rFonts w:ascii="Arial" w:hAnsi="Arial" w:cs="Arial"/>
          <w:lang w:val="en-US"/>
        </w:rPr>
        <w:t xml:space="preserve">izes (Cohen’s d) for </w:t>
      </w:r>
      <w:r w:rsidR="00C0687E" w:rsidRPr="00DE0DDB">
        <w:rPr>
          <w:rFonts w:ascii="Arial" w:hAnsi="Arial" w:cs="Arial"/>
          <w:lang w:val="en-US"/>
        </w:rPr>
        <w:t>P</w:t>
      </w:r>
      <w:r w:rsidRPr="00DE0DDB">
        <w:rPr>
          <w:rFonts w:ascii="Arial" w:hAnsi="Arial" w:cs="Arial"/>
          <w:lang w:val="en-US"/>
        </w:rPr>
        <w:t xml:space="preserve">airwise </w:t>
      </w:r>
      <w:r w:rsidR="00C0687E" w:rsidRPr="00DE0DDB">
        <w:rPr>
          <w:rFonts w:ascii="Arial" w:hAnsi="Arial" w:cs="Arial"/>
          <w:lang w:val="en-US"/>
        </w:rPr>
        <w:t>S</w:t>
      </w:r>
      <w:r w:rsidRPr="00DE0DDB">
        <w:rPr>
          <w:rFonts w:ascii="Arial" w:hAnsi="Arial" w:cs="Arial"/>
          <w:lang w:val="en-US"/>
        </w:rPr>
        <w:t xml:space="preserve">lope </w:t>
      </w:r>
      <w:r w:rsidR="00C0687E" w:rsidRPr="00DE0DDB">
        <w:rPr>
          <w:rFonts w:ascii="Arial" w:hAnsi="Arial" w:cs="Arial"/>
          <w:lang w:val="en-US"/>
        </w:rPr>
        <w:t>C</w:t>
      </w:r>
      <w:r w:rsidRPr="00DE0DDB">
        <w:rPr>
          <w:rFonts w:ascii="Arial" w:hAnsi="Arial" w:cs="Arial"/>
          <w:lang w:val="en-US"/>
        </w:rPr>
        <w:t>omparisons between Pa</w:t>
      </w:r>
      <w:r w:rsidR="00740AE7">
        <w:rPr>
          <w:rFonts w:ascii="Arial" w:hAnsi="Arial" w:cs="Arial"/>
          <w:lang w:val="en-US"/>
        </w:rPr>
        <w:t>tient</w:t>
      </w:r>
      <w:r w:rsidRPr="00DE0DDB">
        <w:rPr>
          <w:rFonts w:ascii="Arial" w:hAnsi="Arial" w:cs="Arial"/>
          <w:lang w:val="en-US"/>
        </w:rPr>
        <w:t xml:space="preserve"> Sub</w:t>
      </w:r>
      <w:r w:rsidR="00110FAD" w:rsidRPr="00DE0DDB">
        <w:rPr>
          <w:rFonts w:ascii="Arial" w:hAnsi="Arial" w:cs="Arial"/>
          <w:lang w:val="en-US"/>
        </w:rPr>
        <w:t>group</w:t>
      </w:r>
      <w:r w:rsidR="00512E9F" w:rsidRPr="00DE0DDB">
        <w:rPr>
          <w:rFonts w:ascii="Arial" w:hAnsi="Arial" w:cs="Arial"/>
          <w:lang w:val="en-US"/>
        </w:rPr>
        <w:t>s</w:t>
      </w:r>
      <w:r w:rsidRPr="00DE0DDB">
        <w:rPr>
          <w:rFonts w:ascii="Arial" w:hAnsi="Arial" w:cs="Arial"/>
          <w:lang w:val="en-US"/>
        </w:rPr>
        <w:t xml:space="preserve"> within Treatment Condition</w:t>
      </w:r>
    </w:p>
    <w:p w14:paraId="41C77B96" w14:textId="77777777" w:rsidR="00C65D64" w:rsidRPr="00DE0DDB" w:rsidRDefault="00C65D64" w:rsidP="00C65D64">
      <w:pPr>
        <w:spacing w:after="0" w:line="240" w:lineRule="auto"/>
        <w:rPr>
          <w:rFonts w:ascii="Arial" w:hAnsi="Arial" w:cs="Arial"/>
          <w:lang w:val="en-US"/>
        </w:rPr>
      </w:pPr>
    </w:p>
    <w:tbl>
      <w:tblPr>
        <w:tblStyle w:val="TableGrid"/>
        <w:tblW w:w="10080" w:type="dxa"/>
        <w:tblBorders>
          <w:left w:val="none" w:sz="0" w:space="0" w:color="auto"/>
          <w:right w:val="none" w:sz="0" w:space="0" w:color="auto"/>
        </w:tblBorders>
        <w:tblLayout w:type="fixed"/>
        <w:tblLook w:val="04A0" w:firstRow="1" w:lastRow="0" w:firstColumn="1" w:lastColumn="0" w:noHBand="0" w:noVBand="1"/>
      </w:tblPr>
      <w:tblGrid>
        <w:gridCol w:w="1260"/>
        <w:gridCol w:w="1350"/>
        <w:gridCol w:w="1260"/>
        <w:gridCol w:w="1800"/>
        <w:gridCol w:w="1440"/>
        <w:gridCol w:w="1440"/>
        <w:gridCol w:w="1530"/>
      </w:tblGrid>
      <w:tr w:rsidR="00C65D64" w:rsidRPr="00DE0DDB" w14:paraId="48F45153" w14:textId="77777777" w:rsidTr="009A7188">
        <w:trPr>
          <w:trHeight w:val="303"/>
        </w:trPr>
        <w:tc>
          <w:tcPr>
            <w:tcW w:w="1260" w:type="dxa"/>
            <w:vMerge w:val="restart"/>
            <w:tcBorders>
              <w:top w:val="single" w:sz="12" w:space="0" w:color="auto"/>
              <w:right w:val="single" w:sz="12" w:space="0" w:color="auto"/>
            </w:tcBorders>
            <w:vAlign w:val="center"/>
          </w:tcPr>
          <w:p w14:paraId="1CDD0150" w14:textId="77777777" w:rsidR="00C65D64" w:rsidRPr="009A7188" w:rsidRDefault="00C65D64" w:rsidP="00FC6D8A">
            <w:pPr>
              <w:jc w:val="center"/>
              <w:rPr>
                <w:rFonts w:ascii="Arial" w:hAnsi="Arial" w:cs="Arial"/>
                <w:b/>
                <w:bCs/>
                <w:noProof/>
              </w:rPr>
            </w:pPr>
            <w:r w:rsidRPr="009A7188">
              <w:rPr>
                <w:rFonts w:ascii="Arial" w:hAnsi="Arial" w:cs="Arial"/>
                <w:b/>
                <w:bCs/>
                <w:noProof/>
              </w:rPr>
              <w:t>Measure</w:t>
            </w:r>
          </w:p>
        </w:tc>
        <w:tc>
          <w:tcPr>
            <w:tcW w:w="1350" w:type="dxa"/>
            <w:vMerge w:val="restart"/>
            <w:tcBorders>
              <w:top w:val="single" w:sz="12" w:space="0" w:color="auto"/>
              <w:left w:val="single" w:sz="12" w:space="0" w:color="auto"/>
              <w:right w:val="single" w:sz="12" w:space="0" w:color="auto"/>
            </w:tcBorders>
            <w:vAlign w:val="center"/>
          </w:tcPr>
          <w:p w14:paraId="6588090A" w14:textId="77777777" w:rsidR="00C65D64" w:rsidRPr="009A7188" w:rsidRDefault="00C65D64" w:rsidP="00FC6D8A">
            <w:pPr>
              <w:jc w:val="center"/>
              <w:rPr>
                <w:rFonts w:ascii="Arial" w:hAnsi="Arial" w:cs="Arial"/>
                <w:b/>
                <w:bCs/>
                <w:noProof/>
              </w:rPr>
            </w:pPr>
            <w:r w:rsidRPr="009A7188">
              <w:rPr>
                <w:rFonts w:ascii="Arial" w:hAnsi="Arial" w:cs="Arial"/>
                <w:b/>
                <w:bCs/>
                <w:noProof/>
              </w:rPr>
              <w:t>Treatment Condition</w:t>
            </w:r>
          </w:p>
        </w:tc>
        <w:tc>
          <w:tcPr>
            <w:tcW w:w="1260" w:type="dxa"/>
            <w:vMerge w:val="restart"/>
            <w:tcBorders>
              <w:top w:val="single" w:sz="12" w:space="0" w:color="auto"/>
              <w:left w:val="single" w:sz="12" w:space="0" w:color="auto"/>
            </w:tcBorders>
            <w:vAlign w:val="center"/>
          </w:tcPr>
          <w:p w14:paraId="2ECFC091" w14:textId="77777777" w:rsidR="00C65D64" w:rsidRPr="009A7188" w:rsidRDefault="00C65D64" w:rsidP="00FC6D8A">
            <w:pPr>
              <w:jc w:val="center"/>
              <w:rPr>
                <w:rFonts w:ascii="Arial" w:hAnsi="Arial" w:cs="Arial"/>
                <w:b/>
                <w:bCs/>
                <w:noProof/>
              </w:rPr>
            </w:pPr>
            <w:r w:rsidRPr="009A7188">
              <w:rPr>
                <w:rFonts w:ascii="Arial" w:hAnsi="Arial" w:cs="Arial"/>
                <w:b/>
                <w:bCs/>
                <w:noProof/>
              </w:rPr>
              <w:t>FAP Subgroup</w:t>
            </w:r>
          </w:p>
        </w:tc>
        <w:tc>
          <w:tcPr>
            <w:tcW w:w="1800" w:type="dxa"/>
            <w:vMerge w:val="restart"/>
            <w:tcBorders>
              <w:top w:val="single" w:sz="12" w:space="0" w:color="auto"/>
              <w:right w:val="single" w:sz="12" w:space="0" w:color="auto"/>
            </w:tcBorders>
            <w:vAlign w:val="center"/>
          </w:tcPr>
          <w:p w14:paraId="731B3EC8" w14:textId="77777777" w:rsidR="00C65D64" w:rsidRPr="009A7188" w:rsidRDefault="00C65D64" w:rsidP="00FC6D8A">
            <w:pPr>
              <w:jc w:val="center"/>
              <w:rPr>
                <w:rFonts w:ascii="Arial" w:hAnsi="Arial" w:cs="Arial"/>
                <w:b/>
                <w:bCs/>
                <w:noProof/>
              </w:rPr>
            </w:pPr>
            <w:r w:rsidRPr="009A7188">
              <w:rPr>
                <w:rFonts w:ascii="Arial" w:hAnsi="Arial" w:cs="Arial"/>
                <w:b/>
                <w:bCs/>
                <w:noProof/>
              </w:rPr>
              <w:t>Slope from Pre- to Post-Treatment (SE)</w:t>
            </w:r>
          </w:p>
          <w:p w14:paraId="77448320" w14:textId="77777777" w:rsidR="00C65D64" w:rsidRPr="009A7188" w:rsidRDefault="00C65D64" w:rsidP="00FC6D8A">
            <w:pPr>
              <w:jc w:val="center"/>
              <w:rPr>
                <w:rFonts w:ascii="Arial" w:hAnsi="Arial" w:cs="Arial"/>
                <w:b/>
                <w:bCs/>
                <w:noProof/>
              </w:rPr>
            </w:pPr>
            <w:r w:rsidRPr="009A7188">
              <w:rPr>
                <w:rFonts w:ascii="Arial" w:hAnsi="Arial" w:cs="Arial"/>
                <w:b/>
                <w:bCs/>
                <w:noProof/>
              </w:rPr>
              <w:t>[95% CI]</w:t>
            </w:r>
          </w:p>
        </w:tc>
        <w:tc>
          <w:tcPr>
            <w:tcW w:w="4410" w:type="dxa"/>
            <w:gridSpan w:val="3"/>
            <w:tcBorders>
              <w:top w:val="single" w:sz="12" w:space="0" w:color="auto"/>
              <w:left w:val="single" w:sz="12" w:space="0" w:color="auto"/>
              <w:bottom w:val="single" w:sz="8" w:space="0" w:color="auto"/>
            </w:tcBorders>
            <w:vAlign w:val="center"/>
          </w:tcPr>
          <w:p w14:paraId="1A67683A" w14:textId="77777777" w:rsidR="00C65D64" w:rsidRPr="009A7188" w:rsidRDefault="00C65D64" w:rsidP="00FC6D8A">
            <w:pPr>
              <w:jc w:val="center"/>
              <w:rPr>
                <w:rFonts w:ascii="Arial" w:hAnsi="Arial" w:cs="Arial"/>
                <w:b/>
                <w:bCs/>
                <w:noProof/>
              </w:rPr>
            </w:pPr>
            <w:r w:rsidRPr="009A7188">
              <w:rPr>
                <w:rFonts w:ascii="Arial" w:hAnsi="Arial" w:cs="Arial"/>
                <w:b/>
                <w:bCs/>
                <w:noProof/>
              </w:rPr>
              <w:t>Pairwise Contrast (SE)</w:t>
            </w:r>
          </w:p>
          <w:p w14:paraId="0C162774" w14:textId="77777777" w:rsidR="00C65D64" w:rsidRPr="009A7188" w:rsidRDefault="00C65D64" w:rsidP="00FC6D8A">
            <w:pPr>
              <w:jc w:val="center"/>
              <w:rPr>
                <w:rFonts w:ascii="Arial" w:hAnsi="Arial" w:cs="Arial"/>
                <w:b/>
                <w:bCs/>
                <w:noProof/>
              </w:rPr>
            </w:pPr>
            <w:r w:rsidRPr="009A7188">
              <w:rPr>
                <w:rFonts w:ascii="Arial" w:hAnsi="Arial" w:cs="Arial"/>
                <w:b/>
                <w:bCs/>
                <w:noProof/>
              </w:rPr>
              <w:t>Effect Size (Cohen’s d)</w:t>
            </w:r>
          </w:p>
        </w:tc>
      </w:tr>
      <w:tr w:rsidR="00C65D64" w:rsidRPr="00DE0DDB" w14:paraId="264D4E9A" w14:textId="77777777" w:rsidTr="009A7188">
        <w:trPr>
          <w:trHeight w:val="566"/>
        </w:trPr>
        <w:tc>
          <w:tcPr>
            <w:tcW w:w="1260" w:type="dxa"/>
            <w:vMerge/>
            <w:tcBorders>
              <w:bottom w:val="single" w:sz="12" w:space="0" w:color="auto"/>
              <w:right w:val="single" w:sz="12" w:space="0" w:color="auto"/>
            </w:tcBorders>
            <w:vAlign w:val="center"/>
          </w:tcPr>
          <w:p w14:paraId="5FE0C23B" w14:textId="77777777" w:rsidR="00C65D64" w:rsidRPr="009A7188" w:rsidRDefault="00C65D64" w:rsidP="00FC6D8A">
            <w:pPr>
              <w:jc w:val="center"/>
              <w:rPr>
                <w:rFonts w:ascii="Arial" w:hAnsi="Arial" w:cs="Arial"/>
                <w:b/>
                <w:bCs/>
                <w:noProof/>
              </w:rPr>
            </w:pPr>
          </w:p>
        </w:tc>
        <w:tc>
          <w:tcPr>
            <w:tcW w:w="1350" w:type="dxa"/>
            <w:vMerge/>
            <w:tcBorders>
              <w:left w:val="single" w:sz="12" w:space="0" w:color="auto"/>
              <w:bottom w:val="single" w:sz="12" w:space="0" w:color="auto"/>
              <w:right w:val="single" w:sz="12" w:space="0" w:color="auto"/>
            </w:tcBorders>
            <w:vAlign w:val="center"/>
          </w:tcPr>
          <w:p w14:paraId="4C882C8C" w14:textId="77777777" w:rsidR="00C65D64" w:rsidRPr="009A7188" w:rsidRDefault="00C65D64" w:rsidP="00FC6D8A">
            <w:pPr>
              <w:jc w:val="center"/>
              <w:rPr>
                <w:rFonts w:ascii="Arial" w:hAnsi="Arial" w:cs="Arial"/>
                <w:b/>
                <w:bCs/>
                <w:noProof/>
              </w:rPr>
            </w:pPr>
          </w:p>
        </w:tc>
        <w:tc>
          <w:tcPr>
            <w:tcW w:w="1260" w:type="dxa"/>
            <w:vMerge/>
            <w:tcBorders>
              <w:left w:val="single" w:sz="12" w:space="0" w:color="auto"/>
              <w:bottom w:val="single" w:sz="12" w:space="0" w:color="auto"/>
            </w:tcBorders>
            <w:vAlign w:val="center"/>
          </w:tcPr>
          <w:p w14:paraId="1F21CBE8" w14:textId="77777777" w:rsidR="00C65D64" w:rsidRPr="009A7188" w:rsidRDefault="00C65D64" w:rsidP="00FC6D8A">
            <w:pPr>
              <w:jc w:val="center"/>
              <w:rPr>
                <w:rFonts w:ascii="Arial" w:hAnsi="Arial" w:cs="Arial"/>
                <w:b/>
                <w:bCs/>
                <w:noProof/>
              </w:rPr>
            </w:pPr>
          </w:p>
        </w:tc>
        <w:tc>
          <w:tcPr>
            <w:tcW w:w="1800" w:type="dxa"/>
            <w:vMerge/>
            <w:tcBorders>
              <w:bottom w:val="single" w:sz="12" w:space="0" w:color="auto"/>
              <w:right w:val="single" w:sz="12" w:space="0" w:color="auto"/>
            </w:tcBorders>
            <w:vAlign w:val="center"/>
          </w:tcPr>
          <w:p w14:paraId="6E983CF9" w14:textId="77777777" w:rsidR="00C65D64" w:rsidRPr="009A7188" w:rsidRDefault="00C65D64" w:rsidP="00FC6D8A">
            <w:pPr>
              <w:jc w:val="center"/>
              <w:rPr>
                <w:rFonts w:ascii="Arial" w:hAnsi="Arial" w:cs="Arial"/>
                <w:b/>
                <w:bCs/>
                <w:noProof/>
              </w:rPr>
            </w:pPr>
          </w:p>
        </w:tc>
        <w:tc>
          <w:tcPr>
            <w:tcW w:w="1440" w:type="dxa"/>
            <w:tcBorders>
              <w:top w:val="single" w:sz="4" w:space="0" w:color="auto"/>
              <w:left w:val="single" w:sz="12" w:space="0" w:color="auto"/>
              <w:bottom w:val="single" w:sz="12" w:space="0" w:color="auto"/>
            </w:tcBorders>
            <w:vAlign w:val="center"/>
          </w:tcPr>
          <w:p w14:paraId="6168176A" w14:textId="77777777" w:rsidR="00C65D64" w:rsidRPr="009A7188" w:rsidRDefault="00C65D64" w:rsidP="00FC6D8A">
            <w:pPr>
              <w:jc w:val="center"/>
              <w:rPr>
                <w:rFonts w:ascii="Arial" w:hAnsi="Arial" w:cs="Arial"/>
                <w:b/>
                <w:bCs/>
                <w:i/>
                <w:iCs/>
                <w:noProof/>
              </w:rPr>
            </w:pPr>
            <w:r w:rsidRPr="009A7188">
              <w:rPr>
                <w:rFonts w:ascii="Arial" w:hAnsi="Arial" w:cs="Arial"/>
                <w:b/>
                <w:bCs/>
                <w:i/>
                <w:iCs/>
                <w:noProof/>
              </w:rPr>
              <w:t>HPD vs. LPA</w:t>
            </w:r>
          </w:p>
        </w:tc>
        <w:tc>
          <w:tcPr>
            <w:tcW w:w="1440" w:type="dxa"/>
            <w:tcBorders>
              <w:bottom w:val="single" w:sz="12" w:space="0" w:color="auto"/>
            </w:tcBorders>
            <w:vAlign w:val="center"/>
          </w:tcPr>
          <w:p w14:paraId="71571A31" w14:textId="77777777" w:rsidR="00C65D64" w:rsidRPr="009A7188" w:rsidRDefault="00C65D64" w:rsidP="00FC6D8A">
            <w:pPr>
              <w:jc w:val="center"/>
              <w:rPr>
                <w:rFonts w:ascii="Arial" w:hAnsi="Arial" w:cs="Arial"/>
                <w:b/>
                <w:bCs/>
                <w:i/>
                <w:iCs/>
                <w:noProof/>
              </w:rPr>
            </w:pPr>
            <w:r w:rsidRPr="009A7188">
              <w:rPr>
                <w:rFonts w:ascii="Arial" w:hAnsi="Arial" w:cs="Arial"/>
                <w:b/>
                <w:bCs/>
                <w:i/>
                <w:iCs/>
                <w:noProof/>
              </w:rPr>
              <w:t>HPD vs. HPA</w:t>
            </w:r>
          </w:p>
        </w:tc>
        <w:tc>
          <w:tcPr>
            <w:tcW w:w="1530" w:type="dxa"/>
            <w:tcBorders>
              <w:top w:val="single" w:sz="6" w:space="0" w:color="auto"/>
              <w:bottom w:val="single" w:sz="12" w:space="0" w:color="auto"/>
            </w:tcBorders>
            <w:vAlign w:val="center"/>
          </w:tcPr>
          <w:p w14:paraId="3594BE17" w14:textId="77777777" w:rsidR="00C65D64" w:rsidRPr="009A7188" w:rsidRDefault="00C65D64" w:rsidP="00FC6D8A">
            <w:pPr>
              <w:jc w:val="center"/>
              <w:rPr>
                <w:rFonts w:ascii="Arial" w:hAnsi="Arial" w:cs="Arial"/>
                <w:b/>
                <w:bCs/>
                <w:i/>
                <w:iCs/>
                <w:noProof/>
              </w:rPr>
            </w:pPr>
            <w:r w:rsidRPr="009A7188">
              <w:rPr>
                <w:rFonts w:ascii="Arial" w:hAnsi="Arial" w:cs="Arial"/>
                <w:b/>
                <w:bCs/>
                <w:i/>
                <w:iCs/>
                <w:noProof/>
              </w:rPr>
              <w:t>HPA vs. LPA</w:t>
            </w:r>
          </w:p>
        </w:tc>
      </w:tr>
      <w:tr w:rsidR="00C65D64" w:rsidRPr="00DE0DDB" w14:paraId="685C8335" w14:textId="77777777" w:rsidTr="009A7188">
        <w:tc>
          <w:tcPr>
            <w:tcW w:w="1260" w:type="dxa"/>
            <w:vMerge w:val="restart"/>
            <w:tcBorders>
              <w:top w:val="single" w:sz="12" w:space="0" w:color="auto"/>
              <w:right w:val="single" w:sz="12" w:space="0" w:color="auto"/>
            </w:tcBorders>
            <w:vAlign w:val="center"/>
          </w:tcPr>
          <w:p w14:paraId="7ECD200A" w14:textId="77777777" w:rsidR="00C65D64" w:rsidRPr="00DE0DDB" w:rsidRDefault="00C65D64" w:rsidP="00FC6D8A">
            <w:pPr>
              <w:jc w:val="center"/>
              <w:rPr>
                <w:rFonts w:ascii="Arial" w:hAnsi="Arial" w:cs="Arial"/>
                <w:noProof/>
              </w:rPr>
            </w:pPr>
            <w:r w:rsidRPr="00DE0DDB">
              <w:rPr>
                <w:rFonts w:ascii="Arial" w:hAnsi="Arial" w:cs="Arial"/>
                <w:noProof/>
              </w:rPr>
              <w:t>GI Symptoms</w:t>
            </w:r>
          </w:p>
        </w:tc>
        <w:tc>
          <w:tcPr>
            <w:tcW w:w="1350" w:type="dxa"/>
            <w:vMerge w:val="restart"/>
            <w:tcBorders>
              <w:top w:val="single" w:sz="12" w:space="0" w:color="auto"/>
              <w:left w:val="single" w:sz="12" w:space="0" w:color="auto"/>
              <w:right w:val="single" w:sz="12" w:space="0" w:color="auto"/>
            </w:tcBorders>
            <w:vAlign w:val="center"/>
          </w:tcPr>
          <w:p w14:paraId="1E532562" w14:textId="77777777" w:rsidR="00C65D64" w:rsidRPr="00DE0DDB" w:rsidRDefault="00C65D64" w:rsidP="00FC6D8A">
            <w:pPr>
              <w:jc w:val="center"/>
              <w:rPr>
                <w:rFonts w:ascii="Arial" w:hAnsi="Arial" w:cs="Arial"/>
                <w:noProof/>
              </w:rPr>
            </w:pPr>
            <w:r w:rsidRPr="00DE0DDB">
              <w:rPr>
                <w:rFonts w:ascii="Arial" w:hAnsi="Arial" w:cs="Arial"/>
                <w:noProof/>
              </w:rPr>
              <w:t>CBT</w:t>
            </w:r>
          </w:p>
        </w:tc>
        <w:tc>
          <w:tcPr>
            <w:tcW w:w="1260" w:type="dxa"/>
            <w:tcBorders>
              <w:top w:val="single" w:sz="12" w:space="0" w:color="auto"/>
              <w:left w:val="single" w:sz="12" w:space="0" w:color="auto"/>
            </w:tcBorders>
            <w:vAlign w:val="center"/>
          </w:tcPr>
          <w:p w14:paraId="76CDDCEA" w14:textId="77777777" w:rsidR="00C65D64" w:rsidRPr="00DE0DDB" w:rsidRDefault="00C65D64" w:rsidP="00FC6D8A">
            <w:pPr>
              <w:jc w:val="center"/>
              <w:rPr>
                <w:rFonts w:ascii="Arial" w:hAnsi="Arial" w:cs="Arial"/>
                <w:noProof/>
              </w:rPr>
            </w:pPr>
            <w:r w:rsidRPr="00DE0DDB">
              <w:rPr>
                <w:rFonts w:ascii="Arial" w:hAnsi="Arial" w:cs="Arial"/>
                <w:noProof/>
              </w:rPr>
              <w:t>HPD</w:t>
            </w:r>
          </w:p>
        </w:tc>
        <w:tc>
          <w:tcPr>
            <w:tcW w:w="1800" w:type="dxa"/>
            <w:tcBorders>
              <w:top w:val="single" w:sz="12" w:space="0" w:color="auto"/>
              <w:right w:val="single" w:sz="12" w:space="0" w:color="auto"/>
            </w:tcBorders>
            <w:vAlign w:val="center"/>
          </w:tcPr>
          <w:p w14:paraId="52A105AD" w14:textId="77777777" w:rsidR="00C65D64" w:rsidRPr="00DE0DDB" w:rsidRDefault="00C65D64" w:rsidP="00FC6D8A">
            <w:pPr>
              <w:jc w:val="center"/>
              <w:rPr>
                <w:rFonts w:ascii="Arial" w:hAnsi="Arial" w:cs="Arial"/>
                <w:noProof/>
              </w:rPr>
            </w:pPr>
            <w:r w:rsidRPr="00DE0DDB">
              <w:rPr>
                <w:rFonts w:ascii="Arial" w:hAnsi="Arial" w:cs="Arial"/>
                <w:noProof/>
              </w:rPr>
              <w:t>-0.06 (0.01)</w:t>
            </w:r>
          </w:p>
          <w:p w14:paraId="0663A3AE" w14:textId="77777777" w:rsidR="00C65D64" w:rsidRPr="00DE0DDB" w:rsidRDefault="00C65D64" w:rsidP="00FC6D8A">
            <w:pPr>
              <w:jc w:val="center"/>
              <w:rPr>
                <w:rFonts w:ascii="Arial" w:hAnsi="Arial" w:cs="Arial"/>
                <w:noProof/>
              </w:rPr>
            </w:pPr>
            <w:r w:rsidRPr="00DE0DDB">
              <w:rPr>
                <w:rFonts w:ascii="Arial" w:hAnsi="Arial" w:cs="Arial"/>
                <w:noProof/>
              </w:rPr>
              <w:t>[-0.07, -0.04]</w:t>
            </w:r>
          </w:p>
        </w:tc>
        <w:tc>
          <w:tcPr>
            <w:tcW w:w="1440" w:type="dxa"/>
            <w:vMerge w:val="restart"/>
            <w:tcBorders>
              <w:top w:val="single" w:sz="12" w:space="0" w:color="auto"/>
              <w:left w:val="single" w:sz="12" w:space="0" w:color="auto"/>
            </w:tcBorders>
            <w:vAlign w:val="center"/>
          </w:tcPr>
          <w:p w14:paraId="378AF7EB" w14:textId="77777777" w:rsidR="00C65D64" w:rsidRPr="00DE0DDB" w:rsidRDefault="00C65D64" w:rsidP="00FC6D8A">
            <w:pPr>
              <w:jc w:val="center"/>
              <w:rPr>
                <w:rFonts w:ascii="Arial" w:hAnsi="Arial" w:cs="Arial"/>
                <w:noProof/>
              </w:rPr>
            </w:pPr>
            <w:r w:rsidRPr="00DE0DDB">
              <w:rPr>
                <w:rFonts w:ascii="Arial" w:hAnsi="Arial" w:cs="Arial"/>
                <w:noProof/>
              </w:rPr>
              <w:t>-0.04 (0.01)</w:t>
            </w:r>
          </w:p>
          <w:p w14:paraId="6955C491" w14:textId="77777777" w:rsidR="00C65D64" w:rsidRPr="00DE0DDB" w:rsidRDefault="00C65D64" w:rsidP="00FC6D8A">
            <w:pPr>
              <w:jc w:val="center"/>
              <w:rPr>
                <w:rFonts w:ascii="Arial" w:hAnsi="Arial" w:cs="Arial"/>
                <w:noProof/>
              </w:rPr>
            </w:pPr>
          </w:p>
          <w:p w14:paraId="1A62D27C" w14:textId="767333F6" w:rsidR="00C65D64" w:rsidRPr="00DE0DDB" w:rsidRDefault="00C65D64" w:rsidP="00FC6D8A">
            <w:pPr>
              <w:jc w:val="center"/>
              <w:rPr>
                <w:rFonts w:ascii="Arial" w:hAnsi="Arial" w:cs="Arial"/>
                <w:b/>
                <w:bCs/>
                <w:noProof/>
              </w:rPr>
            </w:pPr>
            <w:r w:rsidRPr="00DE0DDB">
              <w:rPr>
                <w:rFonts w:ascii="Arial" w:hAnsi="Arial" w:cs="Arial"/>
                <w:b/>
                <w:bCs/>
                <w:i/>
                <w:iCs/>
                <w:noProof/>
              </w:rPr>
              <w:t>d</w:t>
            </w:r>
            <w:r w:rsidRPr="00DE0DDB">
              <w:rPr>
                <w:rFonts w:ascii="Arial" w:hAnsi="Arial" w:cs="Arial"/>
                <w:b/>
                <w:bCs/>
                <w:noProof/>
              </w:rPr>
              <w:t xml:space="preserve"> = -0.</w:t>
            </w:r>
            <w:r w:rsidR="006653C0" w:rsidRPr="00DE0DDB">
              <w:rPr>
                <w:rFonts w:ascii="Arial" w:hAnsi="Arial" w:cs="Arial"/>
                <w:b/>
                <w:bCs/>
                <w:noProof/>
              </w:rPr>
              <w:t>27</w:t>
            </w:r>
            <w:r w:rsidRPr="00DE0DDB">
              <w:rPr>
                <w:rFonts w:ascii="Arial" w:hAnsi="Arial" w:cs="Arial"/>
                <w:b/>
                <w:bCs/>
                <w:noProof/>
              </w:rPr>
              <w:t>***</w:t>
            </w:r>
          </w:p>
        </w:tc>
        <w:tc>
          <w:tcPr>
            <w:tcW w:w="1440" w:type="dxa"/>
            <w:vMerge w:val="restart"/>
            <w:tcBorders>
              <w:top w:val="single" w:sz="12" w:space="0" w:color="auto"/>
            </w:tcBorders>
            <w:vAlign w:val="center"/>
          </w:tcPr>
          <w:p w14:paraId="5C31906C" w14:textId="77777777" w:rsidR="00C65D64" w:rsidRPr="00DE0DDB" w:rsidRDefault="00C65D64" w:rsidP="00FC6D8A">
            <w:pPr>
              <w:jc w:val="center"/>
              <w:rPr>
                <w:rFonts w:ascii="Arial" w:hAnsi="Arial" w:cs="Arial"/>
                <w:noProof/>
              </w:rPr>
            </w:pPr>
            <w:r w:rsidRPr="00DE0DDB">
              <w:rPr>
                <w:rFonts w:ascii="Arial" w:hAnsi="Arial" w:cs="Arial"/>
                <w:noProof/>
              </w:rPr>
              <w:t>-0.02 (0.01)</w:t>
            </w:r>
          </w:p>
          <w:p w14:paraId="747E73F8" w14:textId="77777777" w:rsidR="00C65D64" w:rsidRPr="00DE0DDB" w:rsidRDefault="00C65D64" w:rsidP="00FC6D8A">
            <w:pPr>
              <w:jc w:val="center"/>
              <w:rPr>
                <w:rFonts w:ascii="Arial" w:hAnsi="Arial" w:cs="Arial"/>
                <w:noProof/>
              </w:rPr>
            </w:pPr>
          </w:p>
          <w:p w14:paraId="3233F126" w14:textId="56874F9A" w:rsidR="00C65D64" w:rsidRPr="00DE0DDB" w:rsidRDefault="00C65D64" w:rsidP="00FC6D8A">
            <w:pPr>
              <w:jc w:val="center"/>
              <w:rPr>
                <w:rFonts w:ascii="Arial" w:hAnsi="Arial" w:cs="Arial"/>
                <w:b/>
                <w:bCs/>
                <w:noProof/>
              </w:rPr>
            </w:pPr>
            <w:r w:rsidRPr="00DE0DDB">
              <w:rPr>
                <w:rFonts w:ascii="Arial" w:hAnsi="Arial" w:cs="Arial"/>
                <w:b/>
                <w:bCs/>
                <w:i/>
                <w:iCs/>
                <w:noProof/>
              </w:rPr>
              <w:t>d</w:t>
            </w:r>
            <w:r w:rsidRPr="00DE0DDB">
              <w:rPr>
                <w:rFonts w:ascii="Arial" w:hAnsi="Arial" w:cs="Arial"/>
                <w:b/>
                <w:bCs/>
                <w:noProof/>
              </w:rPr>
              <w:t xml:space="preserve"> = -0.</w:t>
            </w:r>
            <w:r w:rsidR="006653C0" w:rsidRPr="00DE0DDB">
              <w:rPr>
                <w:rFonts w:ascii="Arial" w:hAnsi="Arial" w:cs="Arial"/>
                <w:b/>
                <w:bCs/>
                <w:noProof/>
              </w:rPr>
              <w:t>17</w:t>
            </w:r>
            <w:r w:rsidRPr="00DE0DDB">
              <w:rPr>
                <w:rFonts w:ascii="Arial" w:hAnsi="Arial" w:cs="Arial"/>
                <w:b/>
                <w:bCs/>
                <w:noProof/>
              </w:rPr>
              <w:t>*</w:t>
            </w:r>
          </w:p>
        </w:tc>
        <w:tc>
          <w:tcPr>
            <w:tcW w:w="1530" w:type="dxa"/>
            <w:vMerge w:val="restart"/>
            <w:tcBorders>
              <w:top w:val="single" w:sz="12" w:space="0" w:color="auto"/>
            </w:tcBorders>
            <w:vAlign w:val="center"/>
          </w:tcPr>
          <w:p w14:paraId="0DB7029E" w14:textId="77777777" w:rsidR="00C65D64" w:rsidRPr="00DE0DDB" w:rsidRDefault="00C65D64" w:rsidP="00FC6D8A">
            <w:pPr>
              <w:jc w:val="center"/>
              <w:rPr>
                <w:rFonts w:ascii="Arial" w:hAnsi="Arial" w:cs="Arial"/>
                <w:noProof/>
              </w:rPr>
            </w:pPr>
            <w:r w:rsidRPr="00DE0DDB">
              <w:rPr>
                <w:rFonts w:ascii="Arial" w:hAnsi="Arial" w:cs="Arial"/>
                <w:noProof/>
              </w:rPr>
              <w:t>-0.02 (0.01)</w:t>
            </w:r>
          </w:p>
          <w:p w14:paraId="40EC29A3" w14:textId="77777777" w:rsidR="00C65D64" w:rsidRPr="00DE0DDB" w:rsidRDefault="00C65D64" w:rsidP="00FC6D8A">
            <w:pPr>
              <w:jc w:val="center"/>
              <w:rPr>
                <w:rFonts w:ascii="Arial" w:hAnsi="Arial" w:cs="Arial"/>
                <w:noProof/>
              </w:rPr>
            </w:pPr>
          </w:p>
          <w:p w14:paraId="3F061B92" w14:textId="72D44242"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w:t>
            </w:r>
            <w:r w:rsidR="006653C0" w:rsidRPr="00DE0DDB">
              <w:rPr>
                <w:rFonts w:ascii="Arial" w:hAnsi="Arial" w:cs="Arial"/>
                <w:noProof/>
              </w:rPr>
              <w:t>13</w:t>
            </w:r>
          </w:p>
        </w:tc>
      </w:tr>
      <w:tr w:rsidR="00C65D64" w:rsidRPr="00DE0DDB" w14:paraId="0C2C293B" w14:textId="77777777" w:rsidTr="009A7188">
        <w:tc>
          <w:tcPr>
            <w:tcW w:w="1260" w:type="dxa"/>
            <w:vMerge/>
            <w:tcBorders>
              <w:right w:val="single" w:sz="12" w:space="0" w:color="auto"/>
            </w:tcBorders>
            <w:vAlign w:val="center"/>
          </w:tcPr>
          <w:p w14:paraId="402279EC" w14:textId="77777777" w:rsidR="00C65D64" w:rsidRPr="00DE0DDB" w:rsidRDefault="00C65D64" w:rsidP="00FC6D8A">
            <w:pPr>
              <w:jc w:val="center"/>
              <w:rPr>
                <w:rFonts w:ascii="Arial" w:hAnsi="Arial" w:cs="Arial"/>
                <w:noProof/>
              </w:rPr>
            </w:pPr>
          </w:p>
        </w:tc>
        <w:tc>
          <w:tcPr>
            <w:tcW w:w="1350" w:type="dxa"/>
            <w:vMerge/>
            <w:tcBorders>
              <w:left w:val="single" w:sz="12" w:space="0" w:color="auto"/>
              <w:right w:val="single" w:sz="12" w:space="0" w:color="auto"/>
            </w:tcBorders>
            <w:vAlign w:val="center"/>
          </w:tcPr>
          <w:p w14:paraId="05AC1B45" w14:textId="77777777" w:rsidR="00C65D64" w:rsidRPr="00DE0DDB" w:rsidRDefault="00C65D64" w:rsidP="00FC6D8A">
            <w:pPr>
              <w:jc w:val="center"/>
              <w:rPr>
                <w:rFonts w:ascii="Arial" w:hAnsi="Arial" w:cs="Arial"/>
                <w:noProof/>
              </w:rPr>
            </w:pPr>
          </w:p>
        </w:tc>
        <w:tc>
          <w:tcPr>
            <w:tcW w:w="1260" w:type="dxa"/>
            <w:tcBorders>
              <w:left w:val="single" w:sz="12" w:space="0" w:color="auto"/>
            </w:tcBorders>
            <w:vAlign w:val="center"/>
          </w:tcPr>
          <w:p w14:paraId="369ED2F3" w14:textId="77777777" w:rsidR="00C65D64" w:rsidRPr="00DE0DDB" w:rsidRDefault="00C65D64" w:rsidP="00FC6D8A">
            <w:pPr>
              <w:jc w:val="center"/>
              <w:rPr>
                <w:rFonts w:ascii="Arial" w:hAnsi="Arial" w:cs="Arial"/>
                <w:noProof/>
              </w:rPr>
            </w:pPr>
            <w:r w:rsidRPr="00DE0DDB">
              <w:rPr>
                <w:rFonts w:ascii="Arial" w:hAnsi="Arial" w:cs="Arial"/>
                <w:noProof/>
              </w:rPr>
              <w:t>HPA</w:t>
            </w:r>
          </w:p>
        </w:tc>
        <w:tc>
          <w:tcPr>
            <w:tcW w:w="1800" w:type="dxa"/>
            <w:tcBorders>
              <w:right w:val="single" w:sz="12" w:space="0" w:color="auto"/>
            </w:tcBorders>
            <w:vAlign w:val="center"/>
          </w:tcPr>
          <w:p w14:paraId="060F868D" w14:textId="77777777" w:rsidR="00C65D64" w:rsidRPr="00DE0DDB" w:rsidRDefault="00C65D64" w:rsidP="00FC6D8A">
            <w:pPr>
              <w:jc w:val="center"/>
              <w:rPr>
                <w:rFonts w:ascii="Arial" w:hAnsi="Arial" w:cs="Arial"/>
                <w:noProof/>
              </w:rPr>
            </w:pPr>
            <w:r w:rsidRPr="00DE0DDB">
              <w:rPr>
                <w:rFonts w:ascii="Arial" w:hAnsi="Arial" w:cs="Arial"/>
                <w:noProof/>
              </w:rPr>
              <w:t>-0.03 (0.01)</w:t>
            </w:r>
          </w:p>
          <w:p w14:paraId="1CA993A2" w14:textId="77777777" w:rsidR="00C65D64" w:rsidRPr="00DE0DDB" w:rsidRDefault="00C65D64" w:rsidP="00FC6D8A">
            <w:pPr>
              <w:jc w:val="center"/>
              <w:rPr>
                <w:rFonts w:ascii="Arial" w:hAnsi="Arial" w:cs="Arial"/>
                <w:noProof/>
              </w:rPr>
            </w:pPr>
            <w:r w:rsidRPr="00DE0DDB">
              <w:rPr>
                <w:rFonts w:ascii="Arial" w:hAnsi="Arial" w:cs="Arial"/>
                <w:noProof/>
              </w:rPr>
              <w:t>[-0.05, -0.02]</w:t>
            </w:r>
          </w:p>
        </w:tc>
        <w:tc>
          <w:tcPr>
            <w:tcW w:w="1440" w:type="dxa"/>
            <w:vMerge/>
            <w:tcBorders>
              <w:left w:val="single" w:sz="12" w:space="0" w:color="auto"/>
            </w:tcBorders>
            <w:vAlign w:val="center"/>
          </w:tcPr>
          <w:p w14:paraId="30918179" w14:textId="77777777" w:rsidR="00C65D64" w:rsidRPr="00DE0DDB" w:rsidRDefault="00C65D64" w:rsidP="00FC6D8A">
            <w:pPr>
              <w:jc w:val="center"/>
              <w:rPr>
                <w:rFonts w:ascii="Arial" w:hAnsi="Arial" w:cs="Arial"/>
                <w:noProof/>
              </w:rPr>
            </w:pPr>
          </w:p>
        </w:tc>
        <w:tc>
          <w:tcPr>
            <w:tcW w:w="1440" w:type="dxa"/>
            <w:vMerge/>
            <w:vAlign w:val="center"/>
          </w:tcPr>
          <w:p w14:paraId="5920CDB5" w14:textId="77777777" w:rsidR="00C65D64" w:rsidRPr="00DE0DDB" w:rsidRDefault="00C65D64" w:rsidP="00FC6D8A">
            <w:pPr>
              <w:jc w:val="center"/>
              <w:rPr>
                <w:rFonts w:ascii="Arial" w:hAnsi="Arial" w:cs="Arial"/>
                <w:noProof/>
              </w:rPr>
            </w:pPr>
          </w:p>
        </w:tc>
        <w:tc>
          <w:tcPr>
            <w:tcW w:w="1530" w:type="dxa"/>
            <w:vMerge/>
            <w:vAlign w:val="center"/>
          </w:tcPr>
          <w:p w14:paraId="5A806EEC" w14:textId="77777777" w:rsidR="00C65D64" w:rsidRPr="00DE0DDB" w:rsidRDefault="00C65D64" w:rsidP="00FC6D8A">
            <w:pPr>
              <w:jc w:val="center"/>
              <w:rPr>
                <w:rFonts w:ascii="Arial" w:hAnsi="Arial" w:cs="Arial"/>
                <w:noProof/>
              </w:rPr>
            </w:pPr>
          </w:p>
        </w:tc>
      </w:tr>
      <w:tr w:rsidR="00C65D64" w:rsidRPr="00DE0DDB" w14:paraId="07CAF3C6" w14:textId="77777777" w:rsidTr="009A7188">
        <w:tc>
          <w:tcPr>
            <w:tcW w:w="1260" w:type="dxa"/>
            <w:vMerge/>
            <w:tcBorders>
              <w:right w:val="single" w:sz="12" w:space="0" w:color="auto"/>
            </w:tcBorders>
            <w:vAlign w:val="center"/>
          </w:tcPr>
          <w:p w14:paraId="15367994" w14:textId="77777777" w:rsidR="00C65D64" w:rsidRPr="00DE0DDB" w:rsidRDefault="00C65D64" w:rsidP="00FC6D8A">
            <w:pPr>
              <w:jc w:val="center"/>
              <w:rPr>
                <w:rFonts w:ascii="Arial" w:hAnsi="Arial" w:cs="Arial"/>
                <w:noProof/>
              </w:rPr>
            </w:pPr>
          </w:p>
        </w:tc>
        <w:tc>
          <w:tcPr>
            <w:tcW w:w="1350" w:type="dxa"/>
            <w:vMerge/>
            <w:tcBorders>
              <w:left w:val="single" w:sz="12" w:space="0" w:color="auto"/>
              <w:right w:val="single" w:sz="12" w:space="0" w:color="auto"/>
            </w:tcBorders>
            <w:vAlign w:val="center"/>
          </w:tcPr>
          <w:p w14:paraId="65E2DEA2" w14:textId="77777777" w:rsidR="00C65D64" w:rsidRPr="00DE0DDB" w:rsidRDefault="00C65D64" w:rsidP="00FC6D8A">
            <w:pPr>
              <w:jc w:val="center"/>
              <w:rPr>
                <w:rFonts w:ascii="Arial" w:hAnsi="Arial" w:cs="Arial"/>
                <w:noProof/>
              </w:rPr>
            </w:pPr>
          </w:p>
        </w:tc>
        <w:tc>
          <w:tcPr>
            <w:tcW w:w="1260" w:type="dxa"/>
            <w:tcBorders>
              <w:left w:val="single" w:sz="12" w:space="0" w:color="auto"/>
            </w:tcBorders>
            <w:vAlign w:val="center"/>
          </w:tcPr>
          <w:p w14:paraId="4B83CBB6" w14:textId="77777777" w:rsidR="00C65D64" w:rsidRPr="00DE0DDB" w:rsidRDefault="00C65D64" w:rsidP="00FC6D8A">
            <w:pPr>
              <w:jc w:val="center"/>
              <w:rPr>
                <w:rFonts w:ascii="Arial" w:hAnsi="Arial" w:cs="Arial"/>
                <w:noProof/>
              </w:rPr>
            </w:pPr>
            <w:r w:rsidRPr="00DE0DDB">
              <w:rPr>
                <w:rFonts w:ascii="Arial" w:hAnsi="Arial" w:cs="Arial"/>
                <w:noProof/>
              </w:rPr>
              <w:t>LPA</w:t>
            </w:r>
          </w:p>
        </w:tc>
        <w:tc>
          <w:tcPr>
            <w:tcW w:w="1800" w:type="dxa"/>
            <w:tcBorders>
              <w:right w:val="single" w:sz="12" w:space="0" w:color="auto"/>
            </w:tcBorders>
            <w:vAlign w:val="center"/>
          </w:tcPr>
          <w:p w14:paraId="1A2ADD4F" w14:textId="77777777" w:rsidR="00C65D64" w:rsidRPr="00DE0DDB" w:rsidRDefault="00C65D64" w:rsidP="00FC6D8A">
            <w:pPr>
              <w:jc w:val="center"/>
              <w:rPr>
                <w:rFonts w:ascii="Arial" w:hAnsi="Arial" w:cs="Arial"/>
                <w:noProof/>
              </w:rPr>
            </w:pPr>
            <w:r w:rsidRPr="00DE0DDB">
              <w:rPr>
                <w:rFonts w:ascii="Arial" w:hAnsi="Arial" w:cs="Arial"/>
                <w:noProof/>
              </w:rPr>
              <w:t>-0.01 (0.01)</w:t>
            </w:r>
          </w:p>
          <w:p w14:paraId="7978F185" w14:textId="77777777" w:rsidR="00C65D64" w:rsidRPr="00DE0DDB" w:rsidRDefault="00C65D64" w:rsidP="00FC6D8A">
            <w:pPr>
              <w:jc w:val="center"/>
              <w:rPr>
                <w:rFonts w:ascii="Arial" w:hAnsi="Arial" w:cs="Arial"/>
                <w:noProof/>
              </w:rPr>
            </w:pPr>
            <w:r w:rsidRPr="00DE0DDB">
              <w:rPr>
                <w:rFonts w:ascii="Arial" w:hAnsi="Arial" w:cs="Arial"/>
                <w:noProof/>
              </w:rPr>
              <w:t>[-0.03, 0.01]</w:t>
            </w:r>
          </w:p>
        </w:tc>
        <w:tc>
          <w:tcPr>
            <w:tcW w:w="1440" w:type="dxa"/>
            <w:vMerge/>
            <w:tcBorders>
              <w:left w:val="single" w:sz="12" w:space="0" w:color="auto"/>
            </w:tcBorders>
            <w:vAlign w:val="center"/>
          </w:tcPr>
          <w:p w14:paraId="2FD662A5" w14:textId="77777777" w:rsidR="00C65D64" w:rsidRPr="00DE0DDB" w:rsidRDefault="00C65D64" w:rsidP="00FC6D8A">
            <w:pPr>
              <w:jc w:val="center"/>
              <w:rPr>
                <w:rFonts w:ascii="Arial" w:hAnsi="Arial" w:cs="Arial"/>
                <w:noProof/>
              </w:rPr>
            </w:pPr>
          </w:p>
        </w:tc>
        <w:tc>
          <w:tcPr>
            <w:tcW w:w="1440" w:type="dxa"/>
            <w:vMerge/>
            <w:vAlign w:val="center"/>
          </w:tcPr>
          <w:p w14:paraId="4E931A00" w14:textId="77777777" w:rsidR="00C65D64" w:rsidRPr="00DE0DDB" w:rsidRDefault="00C65D64" w:rsidP="00FC6D8A">
            <w:pPr>
              <w:jc w:val="center"/>
              <w:rPr>
                <w:rFonts w:ascii="Arial" w:hAnsi="Arial" w:cs="Arial"/>
                <w:noProof/>
              </w:rPr>
            </w:pPr>
          </w:p>
        </w:tc>
        <w:tc>
          <w:tcPr>
            <w:tcW w:w="1530" w:type="dxa"/>
            <w:vMerge/>
            <w:vAlign w:val="center"/>
          </w:tcPr>
          <w:p w14:paraId="7C594577" w14:textId="77777777" w:rsidR="00C65D64" w:rsidRPr="00DE0DDB" w:rsidRDefault="00C65D64" w:rsidP="00FC6D8A">
            <w:pPr>
              <w:jc w:val="center"/>
              <w:rPr>
                <w:rFonts w:ascii="Arial" w:hAnsi="Arial" w:cs="Arial"/>
                <w:noProof/>
              </w:rPr>
            </w:pPr>
          </w:p>
        </w:tc>
      </w:tr>
      <w:tr w:rsidR="00C65D64" w:rsidRPr="00DE0DDB" w14:paraId="4158B65A" w14:textId="77777777" w:rsidTr="009A7188">
        <w:tc>
          <w:tcPr>
            <w:tcW w:w="1260" w:type="dxa"/>
            <w:vMerge/>
            <w:tcBorders>
              <w:right w:val="single" w:sz="12" w:space="0" w:color="auto"/>
            </w:tcBorders>
            <w:vAlign w:val="center"/>
          </w:tcPr>
          <w:p w14:paraId="0FF6AB0E" w14:textId="77777777" w:rsidR="00C65D64" w:rsidRPr="00DE0DDB" w:rsidRDefault="00C65D64" w:rsidP="00FC6D8A">
            <w:pPr>
              <w:jc w:val="center"/>
              <w:rPr>
                <w:rFonts w:ascii="Arial" w:hAnsi="Arial" w:cs="Arial"/>
                <w:noProof/>
              </w:rPr>
            </w:pPr>
          </w:p>
        </w:tc>
        <w:tc>
          <w:tcPr>
            <w:tcW w:w="1350" w:type="dxa"/>
            <w:vMerge w:val="restart"/>
            <w:tcBorders>
              <w:left w:val="single" w:sz="12" w:space="0" w:color="auto"/>
              <w:right w:val="single" w:sz="12" w:space="0" w:color="auto"/>
            </w:tcBorders>
            <w:vAlign w:val="center"/>
          </w:tcPr>
          <w:p w14:paraId="050CED70" w14:textId="77777777" w:rsidR="00C65D64" w:rsidRPr="00DE0DDB" w:rsidRDefault="00C65D64" w:rsidP="00FC6D8A">
            <w:pPr>
              <w:jc w:val="center"/>
              <w:rPr>
                <w:rFonts w:ascii="Arial" w:hAnsi="Arial" w:cs="Arial"/>
                <w:noProof/>
              </w:rPr>
            </w:pPr>
            <w:r w:rsidRPr="00DE0DDB">
              <w:rPr>
                <w:rFonts w:ascii="Arial" w:hAnsi="Arial" w:cs="Arial"/>
                <w:noProof/>
              </w:rPr>
              <w:t>EDU</w:t>
            </w:r>
          </w:p>
        </w:tc>
        <w:tc>
          <w:tcPr>
            <w:tcW w:w="1260" w:type="dxa"/>
            <w:tcBorders>
              <w:left w:val="single" w:sz="12" w:space="0" w:color="auto"/>
            </w:tcBorders>
            <w:vAlign w:val="center"/>
          </w:tcPr>
          <w:p w14:paraId="5BFDA1C0" w14:textId="77777777" w:rsidR="00C65D64" w:rsidRPr="00DE0DDB" w:rsidRDefault="00C65D64" w:rsidP="00FC6D8A">
            <w:pPr>
              <w:jc w:val="center"/>
              <w:rPr>
                <w:rFonts w:ascii="Arial" w:hAnsi="Arial" w:cs="Arial"/>
                <w:noProof/>
              </w:rPr>
            </w:pPr>
            <w:r w:rsidRPr="00DE0DDB">
              <w:rPr>
                <w:rFonts w:ascii="Arial" w:hAnsi="Arial" w:cs="Arial"/>
                <w:noProof/>
              </w:rPr>
              <w:t>HPD</w:t>
            </w:r>
          </w:p>
        </w:tc>
        <w:tc>
          <w:tcPr>
            <w:tcW w:w="1800" w:type="dxa"/>
            <w:tcBorders>
              <w:right w:val="single" w:sz="12" w:space="0" w:color="auto"/>
            </w:tcBorders>
            <w:vAlign w:val="center"/>
          </w:tcPr>
          <w:p w14:paraId="2C332834" w14:textId="77777777" w:rsidR="00C65D64" w:rsidRPr="00DE0DDB" w:rsidRDefault="00C65D64" w:rsidP="00FC6D8A">
            <w:pPr>
              <w:jc w:val="center"/>
              <w:rPr>
                <w:rFonts w:ascii="Arial" w:hAnsi="Arial" w:cs="Arial"/>
                <w:noProof/>
              </w:rPr>
            </w:pPr>
            <w:r w:rsidRPr="00DE0DDB">
              <w:rPr>
                <w:rFonts w:ascii="Arial" w:hAnsi="Arial" w:cs="Arial"/>
                <w:noProof/>
              </w:rPr>
              <w:t>-0.02 (0.01)</w:t>
            </w:r>
          </w:p>
          <w:p w14:paraId="419A2A7B" w14:textId="77777777" w:rsidR="00C65D64" w:rsidRPr="00DE0DDB" w:rsidRDefault="00C65D64" w:rsidP="00FC6D8A">
            <w:pPr>
              <w:jc w:val="center"/>
              <w:rPr>
                <w:rFonts w:ascii="Arial" w:hAnsi="Arial" w:cs="Arial"/>
                <w:noProof/>
              </w:rPr>
            </w:pPr>
            <w:r w:rsidRPr="00DE0DDB">
              <w:rPr>
                <w:rFonts w:ascii="Arial" w:hAnsi="Arial" w:cs="Arial"/>
                <w:noProof/>
              </w:rPr>
              <w:t>[-0.04, -0.01]</w:t>
            </w:r>
          </w:p>
        </w:tc>
        <w:tc>
          <w:tcPr>
            <w:tcW w:w="1440" w:type="dxa"/>
            <w:vMerge w:val="restart"/>
            <w:tcBorders>
              <w:left w:val="single" w:sz="12" w:space="0" w:color="auto"/>
            </w:tcBorders>
            <w:vAlign w:val="center"/>
          </w:tcPr>
          <w:p w14:paraId="525C977C" w14:textId="77777777" w:rsidR="00C65D64" w:rsidRPr="00DE0DDB" w:rsidRDefault="00C65D64" w:rsidP="00FC6D8A">
            <w:pPr>
              <w:jc w:val="center"/>
              <w:rPr>
                <w:rFonts w:ascii="Arial" w:hAnsi="Arial" w:cs="Arial"/>
                <w:noProof/>
              </w:rPr>
            </w:pPr>
            <w:r w:rsidRPr="00DE0DDB">
              <w:rPr>
                <w:rFonts w:ascii="Arial" w:hAnsi="Arial" w:cs="Arial"/>
                <w:noProof/>
              </w:rPr>
              <w:t>0.003 (0.01)</w:t>
            </w:r>
          </w:p>
          <w:p w14:paraId="452C51FA" w14:textId="77777777" w:rsidR="00C65D64" w:rsidRPr="00DE0DDB" w:rsidRDefault="00C65D64" w:rsidP="00FC6D8A">
            <w:pPr>
              <w:jc w:val="center"/>
              <w:rPr>
                <w:rFonts w:ascii="Arial" w:hAnsi="Arial" w:cs="Arial"/>
                <w:noProof/>
              </w:rPr>
            </w:pPr>
          </w:p>
          <w:p w14:paraId="5051CD2B" w14:textId="4F532A4C"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0.0</w:t>
            </w:r>
            <w:r w:rsidR="006653C0" w:rsidRPr="00DE0DDB">
              <w:rPr>
                <w:rFonts w:ascii="Arial" w:hAnsi="Arial" w:cs="Arial"/>
                <w:noProof/>
              </w:rPr>
              <w:t>2</w:t>
            </w:r>
          </w:p>
        </w:tc>
        <w:tc>
          <w:tcPr>
            <w:tcW w:w="1440" w:type="dxa"/>
            <w:vMerge w:val="restart"/>
            <w:vAlign w:val="center"/>
          </w:tcPr>
          <w:p w14:paraId="6D38D34B" w14:textId="77777777" w:rsidR="00C65D64" w:rsidRPr="00DE0DDB" w:rsidRDefault="00C65D64" w:rsidP="00FC6D8A">
            <w:pPr>
              <w:jc w:val="center"/>
              <w:rPr>
                <w:rFonts w:ascii="Arial" w:hAnsi="Arial" w:cs="Arial"/>
                <w:noProof/>
              </w:rPr>
            </w:pPr>
            <w:r w:rsidRPr="00DE0DDB">
              <w:rPr>
                <w:rFonts w:ascii="Arial" w:hAnsi="Arial" w:cs="Arial"/>
                <w:noProof/>
              </w:rPr>
              <w:t>0.003 (0.01)</w:t>
            </w:r>
          </w:p>
          <w:p w14:paraId="380EDAEF" w14:textId="77777777" w:rsidR="00C65D64" w:rsidRPr="00DE0DDB" w:rsidRDefault="00C65D64" w:rsidP="00FC6D8A">
            <w:pPr>
              <w:jc w:val="center"/>
              <w:rPr>
                <w:rFonts w:ascii="Arial" w:hAnsi="Arial" w:cs="Arial"/>
                <w:noProof/>
              </w:rPr>
            </w:pPr>
          </w:p>
          <w:p w14:paraId="2CF1D1E0" w14:textId="7162561E"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0.0</w:t>
            </w:r>
            <w:r w:rsidR="006653C0" w:rsidRPr="00DE0DDB">
              <w:rPr>
                <w:rFonts w:ascii="Arial" w:hAnsi="Arial" w:cs="Arial"/>
                <w:noProof/>
              </w:rPr>
              <w:t>2</w:t>
            </w:r>
          </w:p>
        </w:tc>
        <w:tc>
          <w:tcPr>
            <w:tcW w:w="1530" w:type="dxa"/>
            <w:vMerge w:val="restart"/>
            <w:vAlign w:val="center"/>
          </w:tcPr>
          <w:p w14:paraId="540D4A0D" w14:textId="77777777" w:rsidR="00C65D64" w:rsidRPr="00DE0DDB" w:rsidRDefault="00C65D64" w:rsidP="00FC6D8A">
            <w:pPr>
              <w:jc w:val="center"/>
              <w:rPr>
                <w:rFonts w:ascii="Arial" w:hAnsi="Arial" w:cs="Arial"/>
                <w:noProof/>
              </w:rPr>
            </w:pPr>
            <w:r w:rsidRPr="00DE0DDB">
              <w:rPr>
                <w:rFonts w:ascii="Arial" w:hAnsi="Arial" w:cs="Arial"/>
                <w:noProof/>
              </w:rPr>
              <w:t>0.0002 (0.01)</w:t>
            </w:r>
          </w:p>
          <w:p w14:paraId="1CDEC019" w14:textId="77777777" w:rsidR="00C65D64" w:rsidRPr="00DE0DDB" w:rsidRDefault="00C65D64" w:rsidP="00FC6D8A">
            <w:pPr>
              <w:jc w:val="center"/>
              <w:rPr>
                <w:rFonts w:ascii="Arial" w:hAnsi="Arial" w:cs="Arial"/>
                <w:noProof/>
              </w:rPr>
            </w:pPr>
          </w:p>
          <w:p w14:paraId="287C3DB9" w14:textId="77777777"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0.001</w:t>
            </w:r>
          </w:p>
        </w:tc>
      </w:tr>
      <w:tr w:rsidR="00C65D64" w:rsidRPr="00DE0DDB" w14:paraId="5EE0C0A7" w14:textId="77777777" w:rsidTr="009A7188">
        <w:tc>
          <w:tcPr>
            <w:tcW w:w="1260" w:type="dxa"/>
            <w:vMerge/>
            <w:tcBorders>
              <w:right w:val="single" w:sz="12" w:space="0" w:color="auto"/>
            </w:tcBorders>
            <w:vAlign w:val="center"/>
          </w:tcPr>
          <w:p w14:paraId="035873DD" w14:textId="77777777" w:rsidR="00C65D64" w:rsidRPr="00DE0DDB" w:rsidRDefault="00C65D64" w:rsidP="00FC6D8A">
            <w:pPr>
              <w:jc w:val="center"/>
              <w:rPr>
                <w:rFonts w:ascii="Arial" w:hAnsi="Arial" w:cs="Arial"/>
                <w:noProof/>
              </w:rPr>
            </w:pPr>
          </w:p>
        </w:tc>
        <w:tc>
          <w:tcPr>
            <w:tcW w:w="1350" w:type="dxa"/>
            <w:vMerge/>
            <w:tcBorders>
              <w:left w:val="single" w:sz="12" w:space="0" w:color="auto"/>
              <w:right w:val="single" w:sz="12" w:space="0" w:color="auto"/>
            </w:tcBorders>
            <w:vAlign w:val="center"/>
          </w:tcPr>
          <w:p w14:paraId="73619E9A" w14:textId="77777777" w:rsidR="00C65D64" w:rsidRPr="00DE0DDB" w:rsidRDefault="00C65D64" w:rsidP="00FC6D8A">
            <w:pPr>
              <w:jc w:val="center"/>
              <w:rPr>
                <w:rFonts w:ascii="Arial" w:hAnsi="Arial" w:cs="Arial"/>
                <w:noProof/>
              </w:rPr>
            </w:pPr>
          </w:p>
        </w:tc>
        <w:tc>
          <w:tcPr>
            <w:tcW w:w="1260" w:type="dxa"/>
            <w:tcBorders>
              <w:left w:val="single" w:sz="12" w:space="0" w:color="auto"/>
            </w:tcBorders>
            <w:vAlign w:val="center"/>
          </w:tcPr>
          <w:p w14:paraId="030E786E" w14:textId="77777777" w:rsidR="00C65D64" w:rsidRPr="00DE0DDB" w:rsidRDefault="00C65D64" w:rsidP="00FC6D8A">
            <w:pPr>
              <w:jc w:val="center"/>
              <w:rPr>
                <w:rFonts w:ascii="Arial" w:hAnsi="Arial" w:cs="Arial"/>
                <w:noProof/>
              </w:rPr>
            </w:pPr>
            <w:r w:rsidRPr="00DE0DDB">
              <w:rPr>
                <w:rFonts w:ascii="Arial" w:hAnsi="Arial" w:cs="Arial"/>
                <w:noProof/>
              </w:rPr>
              <w:t>HPA</w:t>
            </w:r>
          </w:p>
        </w:tc>
        <w:tc>
          <w:tcPr>
            <w:tcW w:w="1800" w:type="dxa"/>
            <w:tcBorders>
              <w:right w:val="single" w:sz="12" w:space="0" w:color="auto"/>
            </w:tcBorders>
            <w:vAlign w:val="center"/>
          </w:tcPr>
          <w:p w14:paraId="5D2EB873" w14:textId="77777777" w:rsidR="00C65D64" w:rsidRPr="00DE0DDB" w:rsidRDefault="00C65D64" w:rsidP="00FC6D8A">
            <w:pPr>
              <w:jc w:val="center"/>
              <w:rPr>
                <w:rFonts w:ascii="Arial" w:hAnsi="Arial" w:cs="Arial"/>
                <w:noProof/>
              </w:rPr>
            </w:pPr>
            <w:r w:rsidRPr="00DE0DDB">
              <w:rPr>
                <w:rFonts w:ascii="Arial" w:hAnsi="Arial" w:cs="Arial"/>
                <w:noProof/>
              </w:rPr>
              <w:t>-0.03 (0.01)</w:t>
            </w:r>
          </w:p>
          <w:p w14:paraId="6466FF3A" w14:textId="77777777" w:rsidR="00C65D64" w:rsidRPr="00DE0DDB" w:rsidRDefault="00C65D64" w:rsidP="00FC6D8A">
            <w:pPr>
              <w:jc w:val="center"/>
              <w:rPr>
                <w:rFonts w:ascii="Arial" w:hAnsi="Arial" w:cs="Arial"/>
                <w:noProof/>
              </w:rPr>
            </w:pPr>
            <w:r w:rsidRPr="00DE0DDB">
              <w:rPr>
                <w:rFonts w:ascii="Arial" w:hAnsi="Arial" w:cs="Arial"/>
                <w:noProof/>
              </w:rPr>
              <w:t>[-0.04, -0.02]</w:t>
            </w:r>
          </w:p>
        </w:tc>
        <w:tc>
          <w:tcPr>
            <w:tcW w:w="1440" w:type="dxa"/>
            <w:vMerge/>
            <w:tcBorders>
              <w:left w:val="single" w:sz="12" w:space="0" w:color="auto"/>
            </w:tcBorders>
            <w:vAlign w:val="center"/>
          </w:tcPr>
          <w:p w14:paraId="5E5A30AE" w14:textId="77777777" w:rsidR="00C65D64" w:rsidRPr="00DE0DDB" w:rsidRDefault="00C65D64" w:rsidP="00FC6D8A">
            <w:pPr>
              <w:jc w:val="center"/>
              <w:rPr>
                <w:rFonts w:ascii="Arial" w:hAnsi="Arial" w:cs="Arial"/>
                <w:noProof/>
              </w:rPr>
            </w:pPr>
          </w:p>
        </w:tc>
        <w:tc>
          <w:tcPr>
            <w:tcW w:w="1440" w:type="dxa"/>
            <w:vMerge/>
            <w:vAlign w:val="center"/>
          </w:tcPr>
          <w:p w14:paraId="450A7088" w14:textId="77777777" w:rsidR="00C65D64" w:rsidRPr="00DE0DDB" w:rsidRDefault="00C65D64" w:rsidP="00FC6D8A">
            <w:pPr>
              <w:jc w:val="center"/>
              <w:rPr>
                <w:rFonts w:ascii="Arial" w:hAnsi="Arial" w:cs="Arial"/>
                <w:noProof/>
              </w:rPr>
            </w:pPr>
          </w:p>
        </w:tc>
        <w:tc>
          <w:tcPr>
            <w:tcW w:w="1530" w:type="dxa"/>
            <w:vMerge/>
            <w:vAlign w:val="center"/>
          </w:tcPr>
          <w:p w14:paraId="3C8BEBC5" w14:textId="77777777" w:rsidR="00C65D64" w:rsidRPr="00DE0DDB" w:rsidRDefault="00C65D64" w:rsidP="00FC6D8A">
            <w:pPr>
              <w:jc w:val="center"/>
              <w:rPr>
                <w:rFonts w:ascii="Arial" w:hAnsi="Arial" w:cs="Arial"/>
                <w:noProof/>
              </w:rPr>
            </w:pPr>
          </w:p>
        </w:tc>
      </w:tr>
      <w:tr w:rsidR="00C65D64" w:rsidRPr="00DE0DDB" w14:paraId="30064665" w14:textId="77777777" w:rsidTr="009A7188">
        <w:tc>
          <w:tcPr>
            <w:tcW w:w="1260" w:type="dxa"/>
            <w:vMerge/>
            <w:tcBorders>
              <w:bottom w:val="single" w:sz="12" w:space="0" w:color="auto"/>
              <w:right w:val="single" w:sz="12" w:space="0" w:color="auto"/>
            </w:tcBorders>
            <w:vAlign w:val="center"/>
          </w:tcPr>
          <w:p w14:paraId="6F4BA992" w14:textId="77777777" w:rsidR="00C65D64" w:rsidRPr="00DE0DDB" w:rsidRDefault="00C65D64" w:rsidP="00FC6D8A">
            <w:pPr>
              <w:jc w:val="center"/>
              <w:rPr>
                <w:rFonts w:ascii="Arial" w:hAnsi="Arial" w:cs="Arial"/>
                <w:noProof/>
              </w:rPr>
            </w:pPr>
          </w:p>
        </w:tc>
        <w:tc>
          <w:tcPr>
            <w:tcW w:w="1350" w:type="dxa"/>
            <w:vMerge/>
            <w:tcBorders>
              <w:left w:val="single" w:sz="12" w:space="0" w:color="auto"/>
              <w:bottom w:val="single" w:sz="12" w:space="0" w:color="auto"/>
              <w:right w:val="single" w:sz="12" w:space="0" w:color="auto"/>
            </w:tcBorders>
            <w:vAlign w:val="center"/>
          </w:tcPr>
          <w:p w14:paraId="44B53D40" w14:textId="77777777" w:rsidR="00C65D64" w:rsidRPr="00DE0DDB" w:rsidRDefault="00C65D64" w:rsidP="00FC6D8A">
            <w:pPr>
              <w:jc w:val="center"/>
              <w:rPr>
                <w:rFonts w:ascii="Arial" w:hAnsi="Arial" w:cs="Arial"/>
                <w:noProof/>
              </w:rPr>
            </w:pPr>
          </w:p>
        </w:tc>
        <w:tc>
          <w:tcPr>
            <w:tcW w:w="1260" w:type="dxa"/>
            <w:tcBorders>
              <w:left w:val="single" w:sz="12" w:space="0" w:color="auto"/>
              <w:bottom w:val="single" w:sz="12" w:space="0" w:color="auto"/>
            </w:tcBorders>
            <w:vAlign w:val="center"/>
          </w:tcPr>
          <w:p w14:paraId="77FB99C9" w14:textId="77777777" w:rsidR="00C65D64" w:rsidRPr="00DE0DDB" w:rsidRDefault="00C65D64" w:rsidP="00FC6D8A">
            <w:pPr>
              <w:jc w:val="center"/>
              <w:rPr>
                <w:rFonts w:ascii="Arial" w:hAnsi="Arial" w:cs="Arial"/>
                <w:noProof/>
              </w:rPr>
            </w:pPr>
            <w:r w:rsidRPr="00DE0DDB">
              <w:rPr>
                <w:rFonts w:ascii="Arial" w:hAnsi="Arial" w:cs="Arial"/>
                <w:noProof/>
              </w:rPr>
              <w:t>LPA</w:t>
            </w:r>
          </w:p>
        </w:tc>
        <w:tc>
          <w:tcPr>
            <w:tcW w:w="1800" w:type="dxa"/>
            <w:tcBorders>
              <w:bottom w:val="single" w:sz="12" w:space="0" w:color="auto"/>
              <w:right w:val="single" w:sz="12" w:space="0" w:color="auto"/>
            </w:tcBorders>
            <w:vAlign w:val="center"/>
          </w:tcPr>
          <w:p w14:paraId="0A47B68C" w14:textId="77777777" w:rsidR="00C65D64" w:rsidRPr="00DE0DDB" w:rsidRDefault="00C65D64" w:rsidP="00FC6D8A">
            <w:pPr>
              <w:jc w:val="center"/>
              <w:rPr>
                <w:rFonts w:ascii="Arial" w:hAnsi="Arial" w:cs="Arial"/>
                <w:noProof/>
              </w:rPr>
            </w:pPr>
            <w:r w:rsidRPr="00DE0DDB">
              <w:rPr>
                <w:rFonts w:ascii="Arial" w:hAnsi="Arial" w:cs="Arial"/>
                <w:noProof/>
              </w:rPr>
              <w:t>-0.03 (0.01)</w:t>
            </w:r>
          </w:p>
          <w:p w14:paraId="7C32DC84" w14:textId="77777777" w:rsidR="00C65D64" w:rsidRPr="00DE0DDB" w:rsidRDefault="00C65D64" w:rsidP="00FC6D8A">
            <w:pPr>
              <w:jc w:val="center"/>
              <w:rPr>
                <w:rFonts w:ascii="Arial" w:hAnsi="Arial" w:cs="Arial"/>
                <w:noProof/>
              </w:rPr>
            </w:pPr>
            <w:r w:rsidRPr="00DE0DDB">
              <w:rPr>
                <w:rFonts w:ascii="Arial" w:hAnsi="Arial" w:cs="Arial"/>
                <w:noProof/>
              </w:rPr>
              <w:t>[-0.05, -0.01]</w:t>
            </w:r>
          </w:p>
        </w:tc>
        <w:tc>
          <w:tcPr>
            <w:tcW w:w="1440" w:type="dxa"/>
            <w:vMerge/>
            <w:tcBorders>
              <w:left w:val="single" w:sz="12" w:space="0" w:color="auto"/>
              <w:bottom w:val="single" w:sz="12" w:space="0" w:color="auto"/>
            </w:tcBorders>
            <w:vAlign w:val="center"/>
          </w:tcPr>
          <w:p w14:paraId="4642B4FB" w14:textId="77777777" w:rsidR="00C65D64" w:rsidRPr="00DE0DDB" w:rsidRDefault="00C65D64" w:rsidP="00FC6D8A">
            <w:pPr>
              <w:jc w:val="center"/>
              <w:rPr>
                <w:rFonts w:ascii="Arial" w:hAnsi="Arial" w:cs="Arial"/>
                <w:noProof/>
              </w:rPr>
            </w:pPr>
          </w:p>
        </w:tc>
        <w:tc>
          <w:tcPr>
            <w:tcW w:w="1440" w:type="dxa"/>
            <w:vMerge/>
            <w:tcBorders>
              <w:bottom w:val="single" w:sz="12" w:space="0" w:color="auto"/>
            </w:tcBorders>
            <w:vAlign w:val="center"/>
          </w:tcPr>
          <w:p w14:paraId="0825D2EF" w14:textId="77777777" w:rsidR="00C65D64" w:rsidRPr="00DE0DDB" w:rsidRDefault="00C65D64" w:rsidP="00FC6D8A">
            <w:pPr>
              <w:jc w:val="center"/>
              <w:rPr>
                <w:rFonts w:ascii="Arial" w:hAnsi="Arial" w:cs="Arial"/>
                <w:noProof/>
              </w:rPr>
            </w:pPr>
          </w:p>
        </w:tc>
        <w:tc>
          <w:tcPr>
            <w:tcW w:w="1530" w:type="dxa"/>
            <w:vMerge/>
            <w:tcBorders>
              <w:bottom w:val="single" w:sz="12" w:space="0" w:color="auto"/>
            </w:tcBorders>
            <w:vAlign w:val="center"/>
          </w:tcPr>
          <w:p w14:paraId="2E19D4D2" w14:textId="77777777" w:rsidR="00C65D64" w:rsidRPr="00DE0DDB" w:rsidRDefault="00C65D64" w:rsidP="00FC6D8A">
            <w:pPr>
              <w:jc w:val="center"/>
              <w:rPr>
                <w:rFonts w:ascii="Arial" w:hAnsi="Arial" w:cs="Arial"/>
                <w:noProof/>
              </w:rPr>
            </w:pPr>
          </w:p>
        </w:tc>
      </w:tr>
      <w:tr w:rsidR="00C65D64" w:rsidRPr="00DE0DDB" w14:paraId="188720DC" w14:textId="77777777" w:rsidTr="009A7188">
        <w:tc>
          <w:tcPr>
            <w:tcW w:w="1260" w:type="dxa"/>
            <w:vMerge w:val="restart"/>
            <w:tcBorders>
              <w:top w:val="single" w:sz="12" w:space="0" w:color="auto"/>
              <w:right w:val="single" w:sz="12" w:space="0" w:color="auto"/>
            </w:tcBorders>
            <w:vAlign w:val="center"/>
          </w:tcPr>
          <w:p w14:paraId="7BC75CD1" w14:textId="77777777" w:rsidR="00C65D64" w:rsidRPr="00DE0DDB" w:rsidRDefault="00C65D64" w:rsidP="00FC6D8A">
            <w:pPr>
              <w:jc w:val="center"/>
              <w:rPr>
                <w:rFonts w:ascii="Arial" w:hAnsi="Arial" w:cs="Arial"/>
                <w:noProof/>
              </w:rPr>
            </w:pPr>
            <w:r w:rsidRPr="00DE0DDB">
              <w:rPr>
                <w:rFonts w:ascii="Arial" w:hAnsi="Arial" w:cs="Arial"/>
                <w:noProof/>
              </w:rPr>
              <w:t>Abdominal Pain</w:t>
            </w:r>
          </w:p>
        </w:tc>
        <w:tc>
          <w:tcPr>
            <w:tcW w:w="1350" w:type="dxa"/>
            <w:vMerge w:val="restart"/>
            <w:tcBorders>
              <w:top w:val="single" w:sz="12" w:space="0" w:color="auto"/>
              <w:left w:val="single" w:sz="12" w:space="0" w:color="auto"/>
              <w:right w:val="single" w:sz="12" w:space="0" w:color="auto"/>
            </w:tcBorders>
            <w:vAlign w:val="center"/>
          </w:tcPr>
          <w:p w14:paraId="2A40ACBF" w14:textId="77777777" w:rsidR="00C65D64" w:rsidRPr="00DE0DDB" w:rsidRDefault="00C65D64" w:rsidP="00FC6D8A">
            <w:pPr>
              <w:jc w:val="center"/>
              <w:rPr>
                <w:rFonts w:ascii="Arial" w:hAnsi="Arial" w:cs="Arial"/>
                <w:noProof/>
              </w:rPr>
            </w:pPr>
            <w:r w:rsidRPr="00DE0DDB">
              <w:rPr>
                <w:rFonts w:ascii="Arial" w:hAnsi="Arial" w:cs="Arial"/>
                <w:noProof/>
              </w:rPr>
              <w:t>CBT</w:t>
            </w:r>
          </w:p>
        </w:tc>
        <w:tc>
          <w:tcPr>
            <w:tcW w:w="1260" w:type="dxa"/>
            <w:tcBorders>
              <w:top w:val="single" w:sz="12" w:space="0" w:color="auto"/>
              <w:left w:val="single" w:sz="12" w:space="0" w:color="auto"/>
            </w:tcBorders>
            <w:vAlign w:val="center"/>
          </w:tcPr>
          <w:p w14:paraId="0E2FE7BE" w14:textId="77777777" w:rsidR="00C65D64" w:rsidRPr="00DE0DDB" w:rsidRDefault="00C65D64" w:rsidP="00FC6D8A">
            <w:pPr>
              <w:jc w:val="center"/>
              <w:rPr>
                <w:rFonts w:ascii="Arial" w:hAnsi="Arial" w:cs="Arial"/>
                <w:noProof/>
              </w:rPr>
            </w:pPr>
            <w:r w:rsidRPr="00DE0DDB">
              <w:rPr>
                <w:rFonts w:ascii="Arial" w:hAnsi="Arial" w:cs="Arial"/>
                <w:noProof/>
              </w:rPr>
              <w:t>HPD</w:t>
            </w:r>
          </w:p>
        </w:tc>
        <w:tc>
          <w:tcPr>
            <w:tcW w:w="1800" w:type="dxa"/>
            <w:tcBorders>
              <w:top w:val="single" w:sz="12" w:space="0" w:color="auto"/>
              <w:right w:val="single" w:sz="12" w:space="0" w:color="auto"/>
            </w:tcBorders>
            <w:vAlign w:val="center"/>
          </w:tcPr>
          <w:p w14:paraId="5EDA1B05" w14:textId="77777777" w:rsidR="00C65D64" w:rsidRPr="00DE0DDB" w:rsidRDefault="00C65D64" w:rsidP="00FC6D8A">
            <w:pPr>
              <w:jc w:val="center"/>
              <w:rPr>
                <w:rFonts w:ascii="Arial" w:hAnsi="Arial" w:cs="Arial"/>
                <w:noProof/>
              </w:rPr>
            </w:pPr>
            <w:r w:rsidRPr="00DE0DDB">
              <w:rPr>
                <w:rFonts w:ascii="Arial" w:hAnsi="Arial" w:cs="Arial"/>
                <w:noProof/>
              </w:rPr>
              <w:t>-0.07 (0.01)</w:t>
            </w:r>
          </w:p>
          <w:p w14:paraId="704B7517" w14:textId="77777777" w:rsidR="00C65D64" w:rsidRPr="00DE0DDB" w:rsidRDefault="00C65D64" w:rsidP="00FC6D8A">
            <w:pPr>
              <w:jc w:val="center"/>
              <w:rPr>
                <w:rFonts w:ascii="Arial" w:hAnsi="Arial" w:cs="Arial"/>
                <w:noProof/>
              </w:rPr>
            </w:pPr>
            <w:r w:rsidRPr="00DE0DDB">
              <w:rPr>
                <w:rFonts w:ascii="Arial" w:hAnsi="Arial" w:cs="Arial"/>
                <w:noProof/>
              </w:rPr>
              <w:t>[-0.09, -0.06]</w:t>
            </w:r>
          </w:p>
        </w:tc>
        <w:tc>
          <w:tcPr>
            <w:tcW w:w="1440" w:type="dxa"/>
            <w:vMerge w:val="restart"/>
            <w:tcBorders>
              <w:top w:val="single" w:sz="12" w:space="0" w:color="auto"/>
              <w:left w:val="single" w:sz="12" w:space="0" w:color="auto"/>
            </w:tcBorders>
            <w:vAlign w:val="center"/>
          </w:tcPr>
          <w:p w14:paraId="19D7F13D" w14:textId="77777777" w:rsidR="00C65D64" w:rsidRPr="00DE0DDB" w:rsidRDefault="00C65D64" w:rsidP="00FC6D8A">
            <w:pPr>
              <w:jc w:val="center"/>
              <w:rPr>
                <w:rFonts w:ascii="Arial" w:hAnsi="Arial" w:cs="Arial"/>
                <w:noProof/>
              </w:rPr>
            </w:pPr>
            <w:r w:rsidRPr="00DE0DDB">
              <w:rPr>
                <w:rFonts w:ascii="Arial" w:hAnsi="Arial" w:cs="Arial"/>
                <w:noProof/>
              </w:rPr>
              <w:t>-0.06 (0.02)</w:t>
            </w:r>
          </w:p>
          <w:p w14:paraId="0C4E6AA2" w14:textId="77777777" w:rsidR="00C65D64" w:rsidRPr="00DE0DDB" w:rsidRDefault="00C65D64" w:rsidP="00FC6D8A">
            <w:pPr>
              <w:jc w:val="center"/>
              <w:rPr>
                <w:rFonts w:ascii="Arial" w:hAnsi="Arial" w:cs="Arial"/>
                <w:noProof/>
              </w:rPr>
            </w:pPr>
          </w:p>
          <w:p w14:paraId="375D888B" w14:textId="5733D30E" w:rsidR="00C65D64" w:rsidRPr="00DE0DDB" w:rsidRDefault="00C65D64" w:rsidP="00FC6D8A">
            <w:pPr>
              <w:jc w:val="center"/>
              <w:rPr>
                <w:rFonts w:ascii="Arial" w:hAnsi="Arial" w:cs="Arial"/>
                <w:b/>
                <w:bCs/>
                <w:noProof/>
              </w:rPr>
            </w:pPr>
            <w:r w:rsidRPr="00DE0DDB">
              <w:rPr>
                <w:rFonts w:ascii="Arial" w:hAnsi="Arial" w:cs="Arial"/>
                <w:b/>
                <w:bCs/>
                <w:i/>
                <w:iCs/>
                <w:noProof/>
              </w:rPr>
              <w:t>d</w:t>
            </w:r>
            <w:r w:rsidRPr="00DE0DDB">
              <w:rPr>
                <w:rFonts w:ascii="Arial" w:hAnsi="Arial" w:cs="Arial"/>
                <w:b/>
                <w:bCs/>
                <w:noProof/>
              </w:rPr>
              <w:t xml:space="preserve"> = -0.</w:t>
            </w:r>
            <w:r w:rsidR="006653C0" w:rsidRPr="00DE0DDB">
              <w:rPr>
                <w:rFonts w:ascii="Arial" w:hAnsi="Arial" w:cs="Arial"/>
                <w:b/>
                <w:bCs/>
                <w:noProof/>
              </w:rPr>
              <w:t>2</w:t>
            </w:r>
            <w:r w:rsidRPr="00DE0DDB">
              <w:rPr>
                <w:rFonts w:ascii="Arial" w:hAnsi="Arial" w:cs="Arial"/>
                <w:b/>
                <w:bCs/>
                <w:noProof/>
              </w:rPr>
              <w:t>5***</w:t>
            </w:r>
          </w:p>
        </w:tc>
        <w:tc>
          <w:tcPr>
            <w:tcW w:w="1440" w:type="dxa"/>
            <w:vMerge w:val="restart"/>
            <w:tcBorders>
              <w:top w:val="single" w:sz="12" w:space="0" w:color="auto"/>
            </w:tcBorders>
            <w:vAlign w:val="center"/>
          </w:tcPr>
          <w:p w14:paraId="1A4BFF1C" w14:textId="77777777" w:rsidR="00C65D64" w:rsidRPr="00DE0DDB" w:rsidRDefault="00C65D64" w:rsidP="00FC6D8A">
            <w:pPr>
              <w:jc w:val="center"/>
              <w:rPr>
                <w:rFonts w:ascii="Arial" w:hAnsi="Arial" w:cs="Arial"/>
                <w:noProof/>
              </w:rPr>
            </w:pPr>
            <w:r w:rsidRPr="00DE0DDB">
              <w:rPr>
                <w:rFonts w:ascii="Arial" w:hAnsi="Arial" w:cs="Arial"/>
                <w:noProof/>
              </w:rPr>
              <w:t>-0.01 (0.01)</w:t>
            </w:r>
          </w:p>
          <w:p w14:paraId="70869B01" w14:textId="77777777" w:rsidR="00C65D64" w:rsidRPr="00DE0DDB" w:rsidRDefault="00C65D64" w:rsidP="00FC6D8A">
            <w:pPr>
              <w:jc w:val="center"/>
              <w:rPr>
                <w:rFonts w:ascii="Arial" w:hAnsi="Arial" w:cs="Arial"/>
                <w:noProof/>
              </w:rPr>
            </w:pPr>
          </w:p>
          <w:p w14:paraId="76F55A4A" w14:textId="176566A4"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w:t>
            </w:r>
            <w:r w:rsidR="006653C0" w:rsidRPr="00DE0DDB">
              <w:rPr>
                <w:rFonts w:ascii="Arial" w:hAnsi="Arial" w:cs="Arial"/>
                <w:noProof/>
              </w:rPr>
              <w:t>07</w:t>
            </w:r>
          </w:p>
        </w:tc>
        <w:tc>
          <w:tcPr>
            <w:tcW w:w="1530" w:type="dxa"/>
            <w:vMerge w:val="restart"/>
            <w:tcBorders>
              <w:top w:val="single" w:sz="12" w:space="0" w:color="auto"/>
            </w:tcBorders>
            <w:vAlign w:val="center"/>
          </w:tcPr>
          <w:p w14:paraId="3D95BC7F" w14:textId="77777777" w:rsidR="00C65D64" w:rsidRPr="00DE0DDB" w:rsidRDefault="00C65D64" w:rsidP="00FC6D8A">
            <w:pPr>
              <w:jc w:val="center"/>
              <w:rPr>
                <w:rFonts w:ascii="Arial" w:hAnsi="Arial" w:cs="Arial"/>
                <w:noProof/>
              </w:rPr>
            </w:pPr>
            <w:r w:rsidRPr="00DE0DDB">
              <w:rPr>
                <w:rFonts w:ascii="Arial" w:hAnsi="Arial" w:cs="Arial"/>
                <w:noProof/>
              </w:rPr>
              <w:t>-0.04 (0.02)</w:t>
            </w:r>
          </w:p>
          <w:p w14:paraId="346D3877" w14:textId="77777777" w:rsidR="00C65D64" w:rsidRPr="00DE0DDB" w:rsidRDefault="00C65D64" w:rsidP="00FC6D8A">
            <w:pPr>
              <w:jc w:val="center"/>
              <w:rPr>
                <w:rFonts w:ascii="Arial" w:hAnsi="Arial" w:cs="Arial"/>
                <w:noProof/>
              </w:rPr>
            </w:pPr>
          </w:p>
          <w:p w14:paraId="5D1C0F63" w14:textId="67E210AE" w:rsidR="00C65D64" w:rsidRPr="00DE0DDB" w:rsidRDefault="00C65D64" w:rsidP="00FC6D8A">
            <w:pPr>
              <w:jc w:val="center"/>
              <w:rPr>
                <w:rFonts w:ascii="Arial" w:hAnsi="Arial" w:cs="Arial"/>
                <w:b/>
                <w:bCs/>
                <w:noProof/>
              </w:rPr>
            </w:pPr>
            <w:r w:rsidRPr="00DE0DDB">
              <w:rPr>
                <w:rFonts w:ascii="Arial" w:hAnsi="Arial" w:cs="Arial"/>
                <w:b/>
                <w:bCs/>
                <w:i/>
                <w:iCs/>
                <w:noProof/>
              </w:rPr>
              <w:t>d</w:t>
            </w:r>
            <w:r w:rsidRPr="00DE0DDB">
              <w:rPr>
                <w:rFonts w:ascii="Arial" w:hAnsi="Arial" w:cs="Arial"/>
                <w:b/>
                <w:bCs/>
                <w:noProof/>
              </w:rPr>
              <w:t xml:space="preserve"> = -0.</w:t>
            </w:r>
            <w:r w:rsidR="006653C0" w:rsidRPr="00DE0DDB">
              <w:rPr>
                <w:rFonts w:ascii="Arial" w:hAnsi="Arial" w:cs="Arial"/>
                <w:b/>
                <w:bCs/>
                <w:noProof/>
              </w:rPr>
              <w:t>19</w:t>
            </w:r>
            <w:r w:rsidRPr="00DE0DDB">
              <w:rPr>
                <w:rFonts w:ascii="Arial" w:hAnsi="Arial" w:cs="Arial"/>
                <w:b/>
                <w:bCs/>
                <w:noProof/>
              </w:rPr>
              <w:t>**</w:t>
            </w:r>
          </w:p>
        </w:tc>
      </w:tr>
      <w:tr w:rsidR="00C65D64" w:rsidRPr="00DE0DDB" w14:paraId="261248CB" w14:textId="77777777" w:rsidTr="009A7188">
        <w:tc>
          <w:tcPr>
            <w:tcW w:w="1260" w:type="dxa"/>
            <w:vMerge/>
            <w:tcBorders>
              <w:right w:val="single" w:sz="12" w:space="0" w:color="auto"/>
            </w:tcBorders>
            <w:vAlign w:val="center"/>
          </w:tcPr>
          <w:p w14:paraId="13044DE0" w14:textId="77777777" w:rsidR="00C65D64" w:rsidRPr="00DE0DDB" w:rsidRDefault="00C65D64" w:rsidP="00FC6D8A">
            <w:pPr>
              <w:jc w:val="center"/>
              <w:rPr>
                <w:rFonts w:ascii="Arial" w:hAnsi="Arial" w:cs="Arial"/>
                <w:noProof/>
              </w:rPr>
            </w:pPr>
          </w:p>
        </w:tc>
        <w:tc>
          <w:tcPr>
            <w:tcW w:w="1350" w:type="dxa"/>
            <w:vMerge/>
            <w:tcBorders>
              <w:left w:val="single" w:sz="12" w:space="0" w:color="auto"/>
              <w:right w:val="single" w:sz="12" w:space="0" w:color="auto"/>
            </w:tcBorders>
            <w:vAlign w:val="center"/>
          </w:tcPr>
          <w:p w14:paraId="272C3576" w14:textId="77777777" w:rsidR="00C65D64" w:rsidRPr="00DE0DDB" w:rsidRDefault="00C65D64" w:rsidP="00FC6D8A">
            <w:pPr>
              <w:jc w:val="center"/>
              <w:rPr>
                <w:rFonts w:ascii="Arial" w:hAnsi="Arial" w:cs="Arial"/>
                <w:noProof/>
              </w:rPr>
            </w:pPr>
          </w:p>
        </w:tc>
        <w:tc>
          <w:tcPr>
            <w:tcW w:w="1260" w:type="dxa"/>
            <w:tcBorders>
              <w:left w:val="single" w:sz="12" w:space="0" w:color="auto"/>
            </w:tcBorders>
            <w:vAlign w:val="center"/>
          </w:tcPr>
          <w:p w14:paraId="660BB45A" w14:textId="77777777" w:rsidR="00C65D64" w:rsidRPr="00DE0DDB" w:rsidRDefault="00C65D64" w:rsidP="00FC6D8A">
            <w:pPr>
              <w:jc w:val="center"/>
              <w:rPr>
                <w:rFonts w:ascii="Arial" w:hAnsi="Arial" w:cs="Arial"/>
                <w:noProof/>
              </w:rPr>
            </w:pPr>
            <w:r w:rsidRPr="00DE0DDB">
              <w:rPr>
                <w:rFonts w:ascii="Arial" w:hAnsi="Arial" w:cs="Arial"/>
                <w:noProof/>
              </w:rPr>
              <w:t>HPA</w:t>
            </w:r>
          </w:p>
        </w:tc>
        <w:tc>
          <w:tcPr>
            <w:tcW w:w="1800" w:type="dxa"/>
            <w:tcBorders>
              <w:right w:val="single" w:sz="12" w:space="0" w:color="auto"/>
            </w:tcBorders>
            <w:vAlign w:val="center"/>
          </w:tcPr>
          <w:p w14:paraId="6A12BB48" w14:textId="77777777" w:rsidR="00C65D64" w:rsidRPr="00DE0DDB" w:rsidRDefault="00C65D64" w:rsidP="00FC6D8A">
            <w:pPr>
              <w:jc w:val="center"/>
              <w:rPr>
                <w:rFonts w:ascii="Arial" w:hAnsi="Arial" w:cs="Arial"/>
                <w:noProof/>
              </w:rPr>
            </w:pPr>
            <w:r w:rsidRPr="00DE0DDB">
              <w:rPr>
                <w:rFonts w:ascii="Arial" w:hAnsi="Arial" w:cs="Arial"/>
                <w:noProof/>
              </w:rPr>
              <w:t>-0.06 (0.01)</w:t>
            </w:r>
          </w:p>
          <w:p w14:paraId="6BA7AA25" w14:textId="77777777" w:rsidR="00C65D64" w:rsidRPr="00DE0DDB" w:rsidRDefault="00C65D64" w:rsidP="00FC6D8A">
            <w:pPr>
              <w:jc w:val="center"/>
              <w:rPr>
                <w:rFonts w:ascii="Arial" w:hAnsi="Arial" w:cs="Arial"/>
                <w:noProof/>
              </w:rPr>
            </w:pPr>
            <w:r w:rsidRPr="00DE0DDB">
              <w:rPr>
                <w:rFonts w:ascii="Arial" w:hAnsi="Arial" w:cs="Arial"/>
                <w:noProof/>
              </w:rPr>
              <w:t>[-0.08, -0.04]</w:t>
            </w:r>
          </w:p>
        </w:tc>
        <w:tc>
          <w:tcPr>
            <w:tcW w:w="1440" w:type="dxa"/>
            <w:vMerge/>
            <w:tcBorders>
              <w:left w:val="single" w:sz="12" w:space="0" w:color="auto"/>
            </w:tcBorders>
            <w:vAlign w:val="center"/>
          </w:tcPr>
          <w:p w14:paraId="1A374A59" w14:textId="77777777" w:rsidR="00C65D64" w:rsidRPr="00DE0DDB" w:rsidRDefault="00C65D64" w:rsidP="00FC6D8A">
            <w:pPr>
              <w:jc w:val="center"/>
              <w:rPr>
                <w:rFonts w:ascii="Arial" w:hAnsi="Arial" w:cs="Arial"/>
                <w:noProof/>
              </w:rPr>
            </w:pPr>
          </w:p>
        </w:tc>
        <w:tc>
          <w:tcPr>
            <w:tcW w:w="1440" w:type="dxa"/>
            <w:vMerge/>
            <w:vAlign w:val="center"/>
          </w:tcPr>
          <w:p w14:paraId="562C0A61" w14:textId="77777777" w:rsidR="00C65D64" w:rsidRPr="00DE0DDB" w:rsidRDefault="00C65D64" w:rsidP="00FC6D8A">
            <w:pPr>
              <w:jc w:val="center"/>
              <w:rPr>
                <w:rFonts w:ascii="Arial" w:hAnsi="Arial" w:cs="Arial"/>
                <w:noProof/>
              </w:rPr>
            </w:pPr>
          </w:p>
        </w:tc>
        <w:tc>
          <w:tcPr>
            <w:tcW w:w="1530" w:type="dxa"/>
            <w:vMerge/>
            <w:vAlign w:val="center"/>
          </w:tcPr>
          <w:p w14:paraId="7297011A" w14:textId="77777777" w:rsidR="00C65D64" w:rsidRPr="00DE0DDB" w:rsidRDefault="00C65D64" w:rsidP="00FC6D8A">
            <w:pPr>
              <w:jc w:val="center"/>
              <w:rPr>
                <w:rFonts w:ascii="Arial" w:hAnsi="Arial" w:cs="Arial"/>
                <w:noProof/>
              </w:rPr>
            </w:pPr>
          </w:p>
        </w:tc>
      </w:tr>
      <w:tr w:rsidR="00C65D64" w:rsidRPr="00DE0DDB" w14:paraId="4968176B" w14:textId="77777777" w:rsidTr="009A7188">
        <w:tc>
          <w:tcPr>
            <w:tcW w:w="1260" w:type="dxa"/>
            <w:vMerge/>
            <w:tcBorders>
              <w:right w:val="single" w:sz="12" w:space="0" w:color="auto"/>
            </w:tcBorders>
            <w:vAlign w:val="center"/>
          </w:tcPr>
          <w:p w14:paraId="267F6173" w14:textId="77777777" w:rsidR="00C65D64" w:rsidRPr="00DE0DDB" w:rsidRDefault="00C65D64" w:rsidP="00FC6D8A">
            <w:pPr>
              <w:jc w:val="center"/>
              <w:rPr>
                <w:rFonts w:ascii="Arial" w:hAnsi="Arial" w:cs="Arial"/>
                <w:noProof/>
              </w:rPr>
            </w:pPr>
          </w:p>
        </w:tc>
        <w:tc>
          <w:tcPr>
            <w:tcW w:w="1350" w:type="dxa"/>
            <w:vMerge/>
            <w:tcBorders>
              <w:left w:val="single" w:sz="12" w:space="0" w:color="auto"/>
              <w:right w:val="single" w:sz="12" w:space="0" w:color="auto"/>
            </w:tcBorders>
            <w:vAlign w:val="center"/>
          </w:tcPr>
          <w:p w14:paraId="7FCA3A1C" w14:textId="77777777" w:rsidR="00C65D64" w:rsidRPr="00DE0DDB" w:rsidRDefault="00C65D64" w:rsidP="00FC6D8A">
            <w:pPr>
              <w:jc w:val="center"/>
              <w:rPr>
                <w:rFonts w:ascii="Arial" w:hAnsi="Arial" w:cs="Arial"/>
                <w:noProof/>
              </w:rPr>
            </w:pPr>
          </w:p>
        </w:tc>
        <w:tc>
          <w:tcPr>
            <w:tcW w:w="1260" w:type="dxa"/>
            <w:tcBorders>
              <w:left w:val="single" w:sz="12" w:space="0" w:color="auto"/>
            </w:tcBorders>
            <w:vAlign w:val="center"/>
          </w:tcPr>
          <w:p w14:paraId="0C24535D" w14:textId="77777777" w:rsidR="00C65D64" w:rsidRPr="00DE0DDB" w:rsidRDefault="00C65D64" w:rsidP="00FC6D8A">
            <w:pPr>
              <w:jc w:val="center"/>
              <w:rPr>
                <w:rFonts w:ascii="Arial" w:hAnsi="Arial" w:cs="Arial"/>
                <w:noProof/>
              </w:rPr>
            </w:pPr>
            <w:r w:rsidRPr="00DE0DDB">
              <w:rPr>
                <w:rFonts w:ascii="Arial" w:hAnsi="Arial" w:cs="Arial"/>
                <w:noProof/>
              </w:rPr>
              <w:t>LPA</w:t>
            </w:r>
          </w:p>
        </w:tc>
        <w:tc>
          <w:tcPr>
            <w:tcW w:w="1800" w:type="dxa"/>
            <w:tcBorders>
              <w:right w:val="single" w:sz="12" w:space="0" w:color="auto"/>
            </w:tcBorders>
            <w:vAlign w:val="center"/>
          </w:tcPr>
          <w:p w14:paraId="689ECEC1" w14:textId="77777777" w:rsidR="00C65D64" w:rsidRPr="00DE0DDB" w:rsidRDefault="00C65D64" w:rsidP="00FC6D8A">
            <w:pPr>
              <w:jc w:val="center"/>
              <w:rPr>
                <w:rFonts w:ascii="Arial" w:hAnsi="Arial" w:cs="Arial"/>
                <w:noProof/>
              </w:rPr>
            </w:pPr>
            <w:r w:rsidRPr="00DE0DDB">
              <w:rPr>
                <w:rFonts w:ascii="Arial" w:hAnsi="Arial" w:cs="Arial"/>
                <w:noProof/>
              </w:rPr>
              <w:t>-0.02 (0.01)</w:t>
            </w:r>
          </w:p>
          <w:p w14:paraId="2F6EB641" w14:textId="77777777" w:rsidR="00C65D64" w:rsidRPr="00DE0DDB" w:rsidRDefault="00C65D64" w:rsidP="00FC6D8A">
            <w:pPr>
              <w:jc w:val="center"/>
              <w:rPr>
                <w:rFonts w:ascii="Arial" w:hAnsi="Arial" w:cs="Arial"/>
                <w:noProof/>
              </w:rPr>
            </w:pPr>
            <w:r w:rsidRPr="00DE0DDB">
              <w:rPr>
                <w:rFonts w:ascii="Arial" w:hAnsi="Arial" w:cs="Arial"/>
                <w:noProof/>
              </w:rPr>
              <w:t>[-0.04, 0.01]</w:t>
            </w:r>
          </w:p>
        </w:tc>
        <w:tc>
          <w:tcPr>
            <w:tcW w:w="1440" w:type="dxa"/>
            <w:vMerge/>
            <w:tcBorders>
              <w:left w:val="single" w:sz="12" w:space="0" w:color="auto"/>
            </w:tcBorders>
            <w:vAlign w:val="center"/>
          </w:tcPr>
          <w:p w14:paraId="4552A3EB" w14:textId="77777777" w:rsidR="00C65D64" w:rsidRPr="00DE0DDB" w:rsidRDefault="00C65D64" w:rsidP="00FC6D8A">
            <w:pPr>
              <w:jc w:val="center"/>
              <w:rPr>
                <w:rFonts w:ascii="Arial" w:hAnsi="Arial" w:cs="Arial"/>
                <w:noProof/>
              </w:rPr>
            </w:pPr>
          </w:p>
        </w:tc>
        <w:tc>
          <w:tcPr>
            <w:tcW w:w="1440" w:type="dxa"/>
            <w:vMerge/>
            <w:vAlign w:val="center"/>
          </w:tcPr>
          <w:p w14:paraId="0E675314" w14:textId="77777777" w:rsidR="00C65D64" w:rsidRPr="00DE0DDB" w:rsidRDefault="00C65D64" w:rsidP="00FC6D8A">
            <w:pPr>
              <w:jc w:val="center"/>
              <w:rPr>
                <w:rFonts w:ascii="Arial" w:hAnsi="Arial" w:cs="Arial"/>
                <w:noProof/>
              </w:rPr>
            </w:pPr>
          </w:p>
        </w:tc>
        <w:tc>
          <w:tcPr>
            <w:tcW w:w="1530" w:type="dxa"/>
            <w:vMerge/>
            <w:vAlign w:val="center"/>
          </w:tcPr>
          <w:p w14:paraId="2CEADE8A" w14:textId="77777777" w:rsidR="00C65D64" w:rsidRPr="00DE0DDB" w:rsidRDefault="00C65D64" w:rsidP="00FC6D8A">
            <w:pPr>
              <w:jc w:val="center"/>
              <w:rPr>
                <w:rFonts w:ascii="Arial" w:hAnsi="Arial" w:cs="Arial"/>
                <w:noProof/>
              </w:rPr>
            </w:pPr>
          </w:p>
        </w:tc>
      </w:tr>
      <w:tr w:rsidR="00C65D64" w:rsidRPr="00DE0DDB" w14:paraId="4DF321B7" w14:textId="77777777" w:rsidTr="009A7188">
        <w:tc>
          <w:tcPr>
            <w:tcW w:w="1260" w:type="dxa"/>
            <w:vMerge/>
            <w:tcBorders>
              <w:right w:val="single" w:sz="12" w:space="0" w:color="auto"/>
            </w:tcBorders>
            <w:vAlign w:val="center"/>
          </w:tcPr>
          <w:p w14:paraId="3957420F" w14:textId="77777777" w:rsidR="00C65D64" w:rsidRPr="00DE0DDB" w:rsidRDefault="00C65D64" w:rsidP="00FC6D8A">
            <w:pPr>
              <w:jc w:val="center"/>
              <w:rPr>
                <w:rFonts w:ascii="Arial" w:hAnsi="Arial" w:cs="Arial"/>
                <w:noProof/>
              </w:rPr>
            </w:pPr>
          </w:p>
        </w:tc>
        <w:tc>
          <w:tcPr>
            <w:tcW w:w="1350" w:type="dxa"/>
            <w:vMerge w:val="restart"/>
            <w:tcBorders>
              <w:left w:val="single" w:sz="12" w:space="0" w:color="auto"/>
              <w:right w:val="single" w:sz="12" w:space="0" w:color="auto"/>
            </w:tcBorders>
            <w:vAlign w:val="center"/>
          </w:tcPr>
          <w:p w14:paraId="638DF949" w14:textId="77777777" w:rsidR="00C65D64" w:rsidRPr="00DE0DDB" w:rsidRDefault="00C65D64" w:rsidP="00FC6D8A">
            <w:pPr>
              <w:jc w:val="center"/>
              <w:rPr>
                <w:rFonts w:ascii="Arial" w:hAnsi="Arial" w:cs="Arial"/>
                <w:noProof/>
              </w:rPr>
            </w:pPr>
            <w:r w:rsidRPr="00DE0DDB">
              <w:rPr>
                <w:rFonts w:ascii="Arial" w:hAnsi="Arial" w:cs="Arial"/>
                <w:noProof/>
              </w:rPr>
              <w:t>EDU</w:t>
            </w:r>
          </w:p>
        </w:tc>
        <w:tc>
          <w:tcPr>
            <w:tcW w:w="1260" w:type="dxa"/>
            <w:tcBorders>
              <w:left w:val="single" w:sz="12" w:space="0" w:color="auto"/>
            </w:tcBorders>
            <w:vAlign w:val="center"/>
          </w:tcPr>
          <w:p w14:paraId="58A15C6E" w14:textId="77777777" w:rsidR="00C65D64" w:rsidRPr="00DE0DDB" w:rsidRDefault="00C65D64" w:rsidP="00FC6D8A">
            <w:pPr>
              <w:jc w:val="center"/>
              <w:rPr>
                <w:rFonts w:ascii="Arial" w:hAnsi="Arial" w:cs="Arial"/>
                <w:noProof/>
              </w:rPr>
            </w:pPr>
            <w:r w:rsidRPr="00DE0DDB">
              <w:rPr>
                <w:rFonts w:ascii="Arial" w:hAnsi="Arial" w:cs="Arial"/>
                <w:noProof/>
              </w:rPr>
              <w:t>HPD</w:t>
            </w:r>
          </w:p>
        </w:tc>
        <w:tc>
          <w:tcPr>
            <w:tcW w:w="1800" w:type="dxa"/>
            <w:tcBorders>
              <w:right w:val="single" w:sz="12" w:space="0" w:color="auto"/>
            </w:tcBorders>
            <w:vAlign w:val="center"/>
          </w:tcPr>
          <w:p w14:paraId="4163CBEA" w14:textId="77777777" w:rsidR="00C65D64" w:rsidRPr="00DE0DDB" w:rsidRDefault="00C65D64" w:rsidP="00FC6D8A">
            <w:pPr>
              <w:jc w:val="center"/>
              <w:rPr>
                <w:rFonts w:ascii="Arial" w:hAnsi="Arial" w:cs="Arial"/>
                <w:noProof/>
              </w:rPr>
            </w:pPr>
            <w:r w:rsidRPr="00DE0DDB">
              <w:rPr>
                <w:rFonts w:ascii="Arial" w:hAnsi="Arial" w:cs="Arial"/>
                <w:noProof/>
              </w:rPr>
              <w:t>-0.05 (0.01)</w:t>
            </w:r>
          </w:p>
          <w:p w14:paraId="2C92B5B0" w14:textId="77777777" w:rsidR="00C65D64" w:rsidRPr="00DE0DDB" w:rsidRDefault="00C65D64" w:rsidP="00FC6D8A">
            <w:pPr>
              <w:jc w:val="center"/>
              <w:rPr>
                <w:rFonts w:ascii="Arial" w:hAnsi="Arial" w:cs="Arial"/>
                <w:noProof/>
              </w:rPr>
            </w:pPr>
            <w:r w:rsidRPr="00DE0DDB">
              <w:rPr>
                <w:rFonts w:ascii="Arial" w:hAnsi="Arial" w:cs="Arial"/>
                <w:noProof/>
              </w:rPr>
              <w:t>[-0.07, -0.03]</w:t>
            </w:r>
          </w:p>
        </w:tc>
        <w:tc>
          <w:tcPr>
            <w:tcW w:w="1440" w:type="dxa"/>
            <w:vMerge w:val="restart"/>
            <w:tcBorders>
              <w:left w:val="single" w:sz="12" w:space="0" w:color="auto"/>
            </w:tcBorders>
            <w:vAlign w:val="center"/>
          </w:tcPr>
          <w:p w14:paraId="1350E713" w14:textId="77777777" w:rsidR="00C65D64" w:rsidRPr="00DE0DDB" w:rsidRDefault="00C65D64" w:rsidP="00FC6D8A">
            <w:pPr>
              <w:jc w:val="center"/>
              <w:rPr>
                <w:rFonts w:ascii="Arial" w:hAnsi="Arial" w:cs="Arial"/>
                <w:noProof/>
              </w:rPr>
            </w:pPr>
            <w:r w:rsidRPr="00DE0DDB">
              <w:rPr>
                <w:rFonts w:ascii="Arial" w:hAnsi="Arial" w:cs="Arial"/>
                <w:noProof/>
              </w:rPr>
              <w:t>-0.009 (0.02)</w:t>
            </w:r>
          </w:p>
          <w:p w14:paraId="21BD77FB" w14:textId="77777777" w:rsidR="00C65D64" w:rsidRPr="00DE0DDB" w:rsidRDefault="00C65D64" w:rsidP="00FC6D8A">
            <w:pPr>
              <w:jc w:val="center"/>
              <w:rPr>
                <w:rFonts w:ascii="Arial" w:hAnsi="Arial" w:cs="Arial"/>
                <w:noProof/>
              </w:rPr>
            </w:pPr>
          </w:p>
          <w:p w14:paraId="7CB094DF" w14:textId="761C60F8"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w:t>
            </w:r>
            <w:r w:rsidR="006653C0" w:rsidRPr="00DE0DDB">
              <w:rPr>
                <w:rFonts w:ascii="Arial" w:hAnsi="Arial" w:cs="Arial"/>
                <w:noProof/>
              </w:rPr>
              <w:t>04</w:t>
            </w:r>
          </w:p>
        </w:tc>
        <w:tc>
          <w:tcPr>
            <w:tcW w:w="1440" w:type="dxa"/>
            <w:vMerge w:val="restart"/>
            <w:vAlign w:val="center"/>
          </w:tcPr>
          <w:p w14:paraId="1D4C3429" w14:textId="77777777" w:rsidR="00C65D64" w:rsidRPr="00DE0DDB" w:rsidRDefault="00C65D64" w:rsidP="00FC6D8A">
            <w:pPr>
              <w:jc w:val="center"/>
              <w:rPr>
                <w:rFonts w:ascii="Arial" w:hAnsi="Arial" w:cs="Arial"/>
                <w:noProof/>
              </w:rPr>
            </w:pPr>
            <w:r w:rsidRPr="00DE0DDB">
              <w:rPr>
                <w:rFonts w:ascii="Arial" w:hAnsi="Arial" w:cs="Arial"/>
                <w:noProof/>
              </w:rPr>
              <w:t>-0.002 (0.01)</w:t>
            </w:r>
          </w:p>
          <w:p w14:paraId="0F79DA32" w14:textId="77777777" w:rsidR="00C65D64" w:rsidRPr="00DE0DDB" w:rsidRDefault="00C65D64" w:rsidP="00FC6D8A">
            <w:pPr>
              <w:jc w:val="center"/>
              <w:rPr>
                <w:rFonts w:ascii="Arial" w:hAnsi="Arial" w:cs="Arial"/>
                <w:noProof/>
              </w:rPr>
            </w:pPr>
          </w:p>
          <w:p w14:paraId="50B466B6" w14:textId="27057E02"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-0.0</w:t>
            </w:r>
            <w:r w:rsidR="006653C0" w:rsidRPr="00DE0DDB">
              <w:rPr>
                <w:rFonts w:ascii="Arial" w:hAnsi="Arial" w:cs="Arial"/>
                <w:noProof/>
              </w:rPr>
              <w:t>1</w:t>
            </w:r>
          </w:p>
        </w:tc>
        <w:tc>
          <w:tcPr>
            <w:tcW w:w="1530" w:type="dxa"/>
            <w:vMerge w:val="restart"/>
            <w:vAlign w:val="center"/>
          </w:tcPr>
          <w:p w14:paraId="33D536F3" w14:textId="77777777" w:rsidR="00C65D64" w:rsidRPr="00DE0DDB" w:rsidRDefault="00C65D64" w:rsidP="00FC6D8A">
            <w:pPr>
              <w:jc w:val="center"/>
              <w:rPr>
                <w:rFonts w:ascii="Arial" w:hAnsi="Arial" w:cs="Arial"/>
                <w:noProof/>
              </w:rPr>
            </w:pPr>
            <w:r w:rsidRPr="00DE0DDB">
              <w:rPr>
                <w:rFonts w:ascii="Arial" w:hAnsi="Arial" w:cs="Arial"/>
                <w:noProof/>
              </w:rPr>
              <w:t>-0.007 (0.02)</w:t>
            </w:r>
          </w:p>
          <w:p w14:paraId="15A9D229" w14:textId="77777777" w:rsidR="00C65D64" w:rsidRPr="00DE0DDB" w:rsidRDefault="00C65D64" w:rsidP="00FC6D8A">
            <w:pPr>
              <w:jc w:val="center"/>
              <w:rPr>
                <w:rFonts w:ascii="Arial" w:hAnsi="Arial" w:cs="Arial"/>
                <w:noProof/>
              </w:rPr>
            </w:pPr>
          </w:p>
          <w:p w14:paraId="2EF0261E" w14:textId="3A64DD6F" w:rsidR="00C65D64" w:rsidRPr="00DE0DDB" w:rsidRDefault="00C65D64" w:rsidP="00FC6D8A">
            <w:pPr>
              <w:jc w:val="center"/>
              <w:rPr>
                <w:rFonts w:ascii="Arial" w:hAnsi="Arial" w:cs="Arial"/>
                <w:noProof/>
              </w:rPr>
            </w:pPr>
            <w:r w:rsidRPr="00DE0DDB">
              <w:rPr>
                <w:rFonts w:ascii="Arial" w:hAnsi="Arial" w:cs="Arial"/>
                <w:i/>
                <w:iCs/>
                <w:noProof/>
              </w:rPr>
              <w:t>d</w:t>
            </w:r>
            <w:r w:rsidRPr="00DE0DDB">
              <w:rPr>
                <w:rFonts w:ascii="Arial" w:hAnsi="Arial" w:cs="Arial"/>
                <w:noProof/>
              </w:rPr>
              <w:t xml:space="preserve"> = -0.0</w:t>
            </w:r>
            <w:r w:rsidR="006653C0" w:rsidRPr="00DE0DDB">
              <w:rPr>
                <w:rFonts w:ascii="Arial" w:hAnsi="Arial" w:cs="Arial"/>
                <w:noProof/>
              </w:rPr>
              <w:t>3</w:t>
            </w:r>
          </w:p>
        </w:tc>
      </w:tr>
      <w:tr w:rsidR="00C65D64" w:rsidRPr="00DE0DDB" w14:paraId="63BDC6E3" w14:textId="77777777" w:rsidTr="009A7188">
        <w:tc>
          <w:tcPr>
            <w:tcW w:w="1260" w:type="dxa"/>
            <w:vMerge/>
            <w:tcBorders>
              <w:right w:val="single" w:sz="12" w:space="0" w:color="auto"/>
            </w:tcBorders>
            <w:vAlign w:val="center"/>
          </w:tcPr>
          <w:p w14:paraId="03615B00" w14:textId="77777777" w:rsidR="00C65D64" w:rsidRPr="00DE0DDB" w:rsidRDefault="00C65D64" w:rsidP="00FC6D8A">
            <w:pPr>
              <w:jc w:val="center"/>
              <w:rPr>
                <w:rFonts w:ascii="Arial" w:hAnsi="Arial" w:cs="Arial"/>
                <w:noProof/>
              </w:rPr>
            </w:pPr>
          </w:p>
        </w:tc>
        <w:tc>
          <w:tcPr>
            <w:tcW w:w="1350" w:type="dxa"/>
            <w:vMerge/>
            <w:tcBorders>
              <w:left w:val="single" w:sz="12" w:space="0" w:color="auto"/>
              <w:right w:val="single" w:sz="12" w:space="0" w:color="auto"/>
            </w:tcBorders>
            <w:vAlign w:val="center"/>
          </w:tcPr>
          <w:p w14:paraId="48ECC998" w14:textId="77777777" w:rsidR="00C65D64" w:rsidRPr="00DE0DDB" w:rsidRDefault="00C65D64" w:rsidP="00FC6D8A">
            <w:pPr>
              <w:jc w:val="center"/>
              <w:rPr>
                <w:rFonts w:ascii="Arial" w:hAnsi="Arial" w:cs="Arial"/>
                <w:noProof/>
              </w:rPr>
            </w:pPr>
          </w:p>
        </w:tc>
        <w:tc>
          <w:tcPr>
            <w:tcW w:w="1260" w:type="dxa"/>
            <w:tcBorders>
              <w:left w:val="single" w:sz="12" w:space="0" w:color="auto"/>
            </w:tcBorders>
            <w:vAlign w:val="center"/>
          </w:tcPr>
          <w:p w14:paraId="3EFEA7B5" w14:textId="77777777" w:rsidR="00C65D64" w:rsidRPr="00DE0DDB" w:rsidRDefault="00C65D64" w:rsidP="00FC6D8A">
            <w:pPr>
              <w:jc w:val="center"/>
              <w:rPr>
                <w:rFonts w:ascii="Arial" w:hAnsi="Arial" w:cs="Arial"/>
                <w:noProof/>
              </w:rPr>
            </w:pPr>
            <w:r w:rsidRPr="00DE0DDB">
              <w:rPr>
                <w:rFonts w:ascii="Arial" w:hAnsi="Arial" w:cs="Arial"/>
                <w:noProof/>
              </w:rPr>
              <w:t>HPA</w:t>
            </w:r>
          </w:p>
        </w:tc>
        <w:tc>
          <w:tcPr>
            <w:tcW w:w="1800" w:type="dxa"/>
            <w:tcBorders>
              <w:right w:val="single" w:sz="12" w:space="0" w:color="auto"/>
            </w:tcBorders>
            <w:vAlign w:val="center"/>
          </w:tcPr>
          <w:p w14:paraId="4A749C47" w14:textId="77777777" w:rsidR="00C65D64" w:rsidRPr="00DE0DDB" w:rsidRDefault="00C65D64" w:rsidP="00FC6D8A">
            <w:pPr>
              <w:jc w:val="center"/>
              <w:rPr>
                <w:rFonts w:ascii="Arial" w:hAnsi="Arial" w:cs="Arial"/>
                <w:noProof/>
              </w:rPr>
            </w:pPr>
            <w:r w:rsidRPr="00DE0DDB">
              <w:rPr>
                <w:rFonts w:ascii="Arial" w:hAnsi="Arial" w:cs="Arial"/>
                <w:noProof/>
              </w:rPr>
              <w:t>-0.05 (0.01)</w:t>
            </w:r>
          </w:p>
          <w:p w14:paraId="769C1B3E" w14:textId="77777777" w:rsidR="00C65D64" w:rsidRPr="00DE0DDB" w:rsidRDefault="00C65D64" w:rsidP="00FC6D8A">
            <w:pPr>
              <w:jc w:val="center"/>
              <w:rPr>
                <w:rFonts w:ascii="Arial" w:hAnsi="Arial" w:cs="Arial"/>
                <w:noProof/>
              </w:rPr>
            </w:pPr>
            <w:r w:rsidRPr="00DE0DDB">
              <w:rPr>
                <w:rFonts w:ascii="Arial" w:hAnsi="Arial" w:cs="Arial"/>
                <w:noProof/>
              </w:rPr>
              <w:t>[-0.06, -0.03]</w:t>
            </w:r>
          </w:p>
        </w:tc>
        <w:tc>
          <w:tcPr>
            <w:tcW w:w="1440" w:type="dxa"/>
            <w:vMerge/>
            <w:tcBorders>
              <w:left w:val="single" w:sz="12" w:space="0" w:color="auto"/>
            </w:tcBorders>
            <w:vAlign w:val="center"/>
          </w:tcPr>
          <w:p w14:paraId="5DCE165A" w14:textId="77777777" w:rsidR="00C65D64" w:rsidRPr="00DE0DDB" w:rsidRDefault="00C65D64" w:rsidP="00FC6D8A">
            <w:pPr>
              <w:jc w:val="center"/>
              <w:rPr>
                <w:rFonts w:ascii="Arial" w:hAnsi="Arial" w:cs="Arial"/>
                <w:noProof/>
              </w:rPr>
            </w:pPr>
          </w:p>
        </w:tc>
        <w:tc>
          <w:tcPr>
            <w:tcW w:w="1440" w:type="dxa"/>
            <w:vMerge/>
          </w:tcPr>
          <w:p w14:paraId="463C6C36" w14:textId="77777777" w:rsidR="00C65D64" w:rsidRPr="00DE0DDB" w:rsidRDefault="00C65D64" w:rsidP="00FC6D8A">
            <w:pPr>
              <w:jc w:val="center"/>
              <w:rPr>
                <w:rFonts w:ascii="Arial" w:hAnsi="Arial" w:cs="Arial"/>
                <w:noProof/>
              </w:rPr>
            </w:pPr>
          </w:p>
        </w:tc>
        <w:tc>
          <w:tcPr>
            <w:tcW w:w="1530" w:type="dxa"/>
            <w:vMerge/>
            <w:vAlign w:val="center"/>
          </w:tcPr>
          <w:p w14:paraId="17103494" w14:textId="77777777" w:rsidR="00C65D64" w:rsidRPr="00DE0DDB" w:rsidRDefault="00C65D64" w:rsidP="00FC6D8A">
            <w:pPr>
              <w:jc w:val="center"/>
              <w:rPr>
                <w:rFonts w:ascii="Arial" w:hAnsi="Arial" w:cs="Arial"/>
                <w:noProof/>
              </w:rPr>
            </w:pPr>
          </w:p>
        </w:tc>
      </w:tr>
      <w:tr w:rsidR="00C65D64" w:rsidRPr="00DE0DDB" w14:paraId="2C9442B0" w14:textId="77777777" w:rsidTr="009A7188">
        <w:tc>
          <w:tcPr>
            <w:tcW w:w="1260" w:type="dxa"/>
            <w:vMerge/>
            <w:tcBorders>
              <w:bottom w:val="single" w:sz="12" w:space="0" w:color="auto"/>
              <w:right w:val="single" w:sz="12" w:space="0" w:color="auto"/>
            </w:tcBorders>
            <w:vAlign w:val="center"/>
          </w:tcPr>
          <w:p w14:paraId="0283EA5B" w14:textId="77777777" w:rsidR="00C65D64" w:rsidRPr="00DE0DDB" w:rsidRDefault="00C65D64" w:rsidP="00FC6D8A">
            <w:pPr>
              <w:jc w:val="center"/>
              <w:rPr>
                <w:rFonts w:ascii="Arial" w:hAnsi="Arial" w:cs="Arial"/>
                <w:noProof/>
              </w:rPr>
            </w:pPr>
          </w:p>
        </w:tc>
        <w:tc>
          <w:tcPr>
            <w:tcW w:w="1350" w:type="dxa"/>
            <w:vMerge/>
            <w:tcBorders>
              <w:left w:val="single" w:sz="12" w:space="0" w:color="auto"/>
              <w:bottom w:val="single" w:sz="12" w:space="0" w:color="auto"/>
              <w:right w:val="single" w:sz="12" w:space="0" w:color="auto"/>
            </w:tcBorders>
            <w:vAlign w:val="center"/>
          </w:tcPr>
          <w:p w14:paraId="19C24A27" w14:textId="77777777" w:rsidR="00C65D64" w:rsidRPr="00DE0DDB" w:rsidRDefault="00C65D64" w:rsidP="00FC6D8A">
            <w:pPr>
              <w:jc w:val="center"/>
              <w:rPr>
                <w:rFonts w:ascii="Arial" w:hAnsi="Arial" w:cs="Arial"/>
                <w:noProof/>
              </w:rPr>
            </w:pPr>
          </w:p>
        </w:tc>
        <w:tc>
          <w:tcPr>
            <w:tcW w:w="1260" w:type="dxa"/>
            <w:tcBorders>
              <w:left w:val="single" w:sz="12" w:space="0" w:color="auto"/>
              <w:bottom w:val="single" w:sz="12" w:space="0" w:color="auto"/>
            </w:tcBorders>
            <w:vAlign w:val="center"/>
          </w:tcPr>
          <w:p w14:paraId="4DA36A46" w14:textId="77777777" w:rsidR="00C65D64" w:rsidRPr="00DE0DDB" w:rsidRDefault="00C65D64" w:rsidP="00FC6D8A">
            <w:pPr>
              <w:jc w:val="center"/>
              <w:rPr>
                <w:rFonts w:ascii="Arial" w:hAnsi="Arial" w:cs="Arial"/>
                <w:noProof/>
              </w:rPr>
            </w:pPr>
            <w:r w:rsidRPr="00DE0DDB">
              <w:rPr>
                <w:rFonts w:ascii="Arial" w:hAnsi="Arial" w:cs="Arial"/>
                <w:noProof/>
              </w:rPr>
              <w:t>LPA</w:t>
            </w:r>
          </w:p>
        </w:tc>
        <w:tc>
          <w:tcPr>
            <w:tcW w:w="1800" w:type="dxa"/>
            <w:tcBorders>
              <w:bottom w:val="single" w:sz="12" w:space="0" w:color="auto"/>
              <w:right w:val="single" w:sz="12" w:space="0" w:color="auto"/>
            </w:tcBorders>
            <w:vAlign w:val="center"/>
          </w:tcPr>
          <w:p w14:paraId="1130E170" w14:textId="77777777" w:rsidR="00C65D64" w:rsidRPr="00DE0DDB" w:rsidRDefault="00C65D64" w:rsidP="00FC6D8A">
            <w:pPr>
              <w:jc w:val="center"/>
              <w:rPr>
                <w:rFonts w:ascii="Arial" w:hAnsi="Arial" w:cs="Arial"/>
                <w:noProof/>
              </w:rPr>
            </w:pPr>
            <w:r w:rsidRPr="00DE0DDB">
              <w:rPr>
                <w:rFonts w:ascii="Arial" w:hAnsi="Arial" w:cs="Arial"/>
                <w:noProof/>
              </w:rPr>
              <w:t>-0.04 (0.01)</w:t>
            </w:r>
          </w:p>
          <w:p w14:paraId="1B454FA5" w14:textId="77777777" w:rsidR="00C65D64" w:rsidRPr="00DE0DDB" w:rsidRDefault="00C65D64" w:rsidP="00FC6D8A">
            <w:pPr>
              <w:jc w:val="center"/>
              <w:rPr>
                <w:rFonts w:ascii="Arial" w:hAnsi="Arial" w:cs="Arial"/>
                <w:noProof/>
              </w:rPr>
            </w:pPr>
            <w:r w:rsidRPr="00DE0DDB">
              <w:rPr>
                <w:rFonts w:ascii="Arial" w:hAnsi="Arial" w:cs="Arial"/>
                <w:noProof/>
              </w:rPr>
              <w:t>[-0.07, -0.02]</w:t>
            </w:r>
          </w:p>
        </w:tc>
        <w:tc>
          <w:tcPr>
            <w:tcW w:w="1440" w:type="dxa"/>
            <w:vMerge/>
            <w:tcBorders>
              <w:left w:val="single" w:sz="12" w:space="0" w:color="auto"/>
              <w:bottom w:val="single" w:sz="12" w:space="0" w:color="auto"/>
            </w:tcBorders>
            <w:vAlign w:val="center"/>
          </w:tcPr>
          <w:p w14:paraId="4D0D2B22" w14:textId="77777777" w:rsidR="00C65D64" w:rsidRPr="00DE0DDB" w:rsidRDefault="00C65D64" w:rsidP="00FC6D8A">
            <w:pPr>
              <w:jc w:val="center"/>
              <w:rPr>
                <w:rFonts w:ascii="Arial" w:hAnsi="Arial" w:cs="Arial"/>
                <w:noProof/>
              </w:rPr>
            </w:pPr>
          </w:p>
        </w:tc>
        <w:tc>
          <w:tcPr>
            <w:tcW w:w="1440" w:type="dxa"/>
            <w:vMerge/>
            <w:tcBorders>
              <w:bottom w:val="single" w:sz="12" w:space="0" w:color="auto"/>
            </w:tcBorders>
          </w:tcPr>
          <w:p w14:paraId="0D3C880E" w14:textId="77777777" w:rsidR="00C65D64" w:rsidRPr="00DE0DDB" w:rsidRDefault="00C65D64" w:rsidP="00FC6D8A">
            <w:pPr>
              <w:jc w:val="center"/>
              <w:rPr>
                <w:rFonts w:ascii="Arial" w:hAnsi="Arial" w:cs="Arial"/>
                <w:noProof/>
              </w:rPr>
            </w:pPr>
          </w:p>
        </w:tc>
        <w:tc>
          <w:tcPr>
            <w:tcW w:w="1530" w:type="dxa"/>
            <w:vMerge/>
            <w:tcBorders>
              <w:bottom w:val="single" w:sz="12" w:space="0" w:color="auto"/>
            </w:tcBorders>
            <w:vAlign w:val="center"/>
          </w:tcPr>
          <w:p w14:paraId="663C2640" w14:textId="77777777" w:rsidR="00C65D64" w:rsidRPr="00DE0DDB" w:rsidRDefault="00C65D64" w:rsidP="00FC6D8A">
            <w:pPr>
              <w:jc w:val="center"/>
              <w:rPr>
                <w:rFonts w:ascii="Arial" w:hAnsi="Arial" w:cs="Arial"/>
                <w:noProof/>
              </w:rPr>
            </w:pPr>
          </w:p>
        </w:tc>
      </w:tr>
    </w:tbl>
    <w:p w14:paraId="4ECF20D2" w14:textId="77777777" w:rsidR="00C65D64" w:rsidRPr="00DE0DDB" w:rsidRDefault="00C65D64" w:rsidP="00C65D64">
      <w:pPr>
        <w:spacing w:after="0" w:line="240" w:lineRule="auto"/>
        <w:rPr>
          <w:rFonts w:ascii="Arial" w:hAnsi="Arial" w:cs="Arial"/>
          <w:lang w:val="en-US"/>
        </w:rPr>
      </w:pPr>
      <w:r w:rsidRPr="00DE0DDB">
        <w:rPr>
          <w:rFonts w:ascii="Arial" w:hAnsi="Arial" w:cs="Arial"/>
          <w:lang w:val="en-US"/>
        </w:rPr>
        <w:t>*p&lt;0.05; **p&lt;0.01; ***p&lt;0.001</w:t>
      </w:r>
    </w:p>
    <w:p w14:paraId="38785C9E" w14:textId="1548B8FA" w:rsidR="0037605F" w:rsidRPr="00DE0DDB" w:rsidRDefault="002B1681" w:rsidP="0037605F">
      <w:pPr>
        <w:spacing w:after="0" w:line="240" w:lineRule="auto"/>
        <w:rPr>
          <w:rFonts w:ascii="Arial" w:hAnsi="Arial" w:cs="Arial"/>
          <w:lang w:val="en-US"/>
        </w:rPr>
      </w:pPr>
      <w:r w:rsidRPr="00DE0DDB">
        <w:rPr>
          <w:rFonts w:ascii="Arial" w:hAnsi="Arial" w:cs="Arial"/>
          <w:lang w:val="en-US"/>
        </w:rPr>
        <w:t xml:space="preserve">Effect sizes were calculated using the following formula:  </w:t>
      </w:r>
      <m:oMath>
        <m:r>
          <w:rPr>
            <w:rFonts w:ascii="Cambria Math" w:hAnsi="Cambria Math" w:cs="Arial"/>
            <w:lang w:val="en-US"/>
          </w:rPr>
          <m:t>Cohe</m:t>
        </m:r>
        <m:sSup>
          <m:sSupPr>
            <m:ctrlPr>
              <w:rPr>
                <w:rFonts w:ascii="Cambria Math" w:hAnsi="Cambria Math" w:cs="Arial"/>
                <w:i/>
                <w:lang w:val="en-US"/>
              </w:rPr>
            </m:ctrlPr>
          </m:sSupPr>
          <m:e>
            <m:r>
              <w:rPr>
                <w:rFonts w:ascii="Cambria Math" w:hAnsi="Cambria Math" w:cs="Arial"/>
                <w:lang w:val="en-US"/>
              </w:rPr>
              <m:t>n</m:t>
            </m:r>
          </m:e>
          <m:sup>
            <m:r>
              <w:rPr>
                <w:rFonts w:ascii="Cambria Math" w:hAnsi="Cambria Math" w:cs="Arial"/>
                <w:lang w:val="en-US"/>
              </w:rPr>
              <m:t>'</m:t>
            </m:r>
          </m:sup>
        </m:sSup>
        <m:r>
          <w:rPr>
            <w:rFonts w:ascii="Cambria Math" w:hAnsi="Cambria Math" w:cs="Arial"/>
            <w:lang w:val="en-US"/>
          </w:rPr>
          <m:t>s d=2t/</m:t>
        </m:r>
        <m:rad>
          <m:radPr>
            <m:degHide m:val="1"/>
            <m:ctrlPr>
              <w:rPr>
                <w:rFonts w:ascii="Cambria Math" w:hAnsi="Cambria Math" w:cs="Arial"/>
                <w:i/>
                <w:lang w:val="en-US"/>
              </w:rPr>
            </m:ctrlPr>
          </m:radPr>
          <m:deg/>
          <m:e>
            <m:r>
              <w:rPr>
                <w:rFonts w:ascii="Cambria Math" w:hAnsi="Cambria Math" w:cs="Arial"/>
                <w:lang w:val="en-US"/>
              </w:rPr>
              <m:t>df</m:t>
            </m:r>
          </m:e>
        </m:rad>
      </m:oMath>
      <w:r w:rsidRPr="00DE0DDB">
        <w:rPr>
          <w:rFonts w:ascii="Arial" w:eastAsiaTheme="minorEastAsia" w:hAnsi="Arial" w:cs="Arial"/>
          <w:lang w:val="en-US"/>
        </w:rPr>
        <w:t xml:space="preserve"> where </w:t>
      </w:r>
      <m:oMath>
        <m:r>
          <w:rPr>
            <w:rFonts w:ascii="Cambria Math" w:hAnsi="Cambria Math" w:cs="Arial"/>
            <w:lang w:val="en-US"/>
          </w:rPr>
          <m:t>t</m:t>
        </m:r>
      </m:oMath>
      <w:r w:rsidR="009A7188">
        <w:rPr>
          <w:rFonts w:ascii="Arial" w:eastAsiaTheme="minorEastAsia" w:hAnsi="Arial" w:cs="Arial"/>
          <w:lang w:val="en-US"/>
        </w:rPr>
        <w:t xml:space="preserve"> </w:t>
      </w:r>
      <w:r w:rsidRPr="00DE0DDB">
        <w:rPr>
          <w:rFonts w:ascii="Arial" w:eastAsiaTheme="minorEastAsia" w:hAnsi="Arial" w:cs="Arial"/>
          <w:lang w:val="en-US"/>
        </w:rPr>
        <w:t xml:space="preserve">represents the </w:t>
      </w:r>
      <m:oMath>
        <m:r>
          <w:rPr>
            <w:rFonts w:ascii="Cambria Math" w:hAnsi="Cambria Math" w:cs="Arial"/>
            <w:lang w:val="en-US"/>
          </w:rPr>
          <m:t>t</m:t>
        </m:r>
      </m:oMath>
      <w:r w:rsidRPr="00DE0DDB">
        <w:rPr>
          <w:rFonts w:ascii="Arial" w:eastAsiaTheme="minorEastAsia" w:hAnsi="Arial" w:cs="Arial"/>
          <w:lang w:val="en-US"/>
        </w:rPr>
        <w:t xml:space="preserve"> ratio corresponding to the pairwise estimate yielded by the </w:t>
      </w:r>
      <w:proofErr w:type="spellStart"/>
      <w:r w:rsidRPr="00DE0DDB">
        <w:rPr>
          <w:rFonts w:ascii="Arial" w:eastAsiaTheme="minorEastAsia" w:hAnsi="Arial" w:cs="Arial"/>
          <w:i/>
          <w:iCs/>
          <w:lang w:val="en-US"/>
        </w:rPr>
        <w:t>lstrends</w:t>
      </w:r>
      <w:proofErr w:type="spellEnd"/>
      <w:r w:rsidRPr="00DE0DDB">
        <w:rPr>
          <w:rFonts w:ascii="Arial" w:eastAsiaTheme="minorEastAsia" w:hAnsi="Arial" w:cs="Arial"/>
          <w:i/>
          <w:iCs/>
          <w:lang w:val="en-US"/>
        </w:rPr>
        <w:t xml:space="preserve"> </w:t>
      </w:r>
      <w:r w:rsidRPr="00DE0DDB">
        <w:rPr>
          <w:rFonts w:ascii="Arial" w:eastAsiaTheme="minorEastAsia" w:hAnsi="Arial" w:cs="Arial"/>
          <w:lang w:val="en-US"/>
        </w:rPr>
        <w:t xml:space="preserve">function in the </w:t>
      </w:r>
      <w:proofErr w:type="spellStart"/>
      <w:r w:rsidRPr="00DE0DDB">
        <w:rPr>
          <w:rFonts w:ascii="Arial" w:eastAsiaTheme="minorEastAsia" w:hAnsi="Arial" w:cs="Arial"/>
          <w:i/>
          <w:iCs/>
          <w:lang w:val="en-US"/>
        </w:rPr>
        <w:t>lsmeans</w:t>
      </w:r>
      <w:proofErr w:type="spellEnd"/>
      <w:r w:rsidRPr="00DE0DDB">
        <w:rPr>
          <w:rFonts w:ascii="Arial" w:eastAsiaTheme="minorEastAsia" w:hAnsi="Arial" w:cs="Arial"/>
          <w:lang w:val="en-US"/>
        </w:rPr>
        <w:t xml:space="preserve"> R package</w:t>
      </w:r>
      <w:r w:rsidRPr="00DE0DDB">
        <w:rPr>
          <w:rFonts w:ascii="Arial" w:hAnsi="Arial" w:cs="Arial"/>
          <w:lang w:val="en-US"/>
        </w:rPr>
        <w:t>.</w:t>
      </w:r>
      <w:r w:rsidR="00192A67">
        <w:rPr>
          <w:rFonts w:ascii="Arial" w:hAnsi="Arial" w:cs="Arial"/>
          <w:lang w:val="en-US"/>
        </w:rPr>
        <w:fldChar w:fldCharType="begin"/>
      </w:r>
      <w:r w:rsidR="00F30351">
        <w:rPr>
          <w:rFonts w:ascii="Arial" w:hAnsi="Arial" w:cs="Arial"/>
          <w:lang w:val="en-US"/>
        </w:rPr>
        <w:instrText xml:space="preserve"> ADDIN ZOTERO_ITEM CSL_CITATION {"citationID":"a244rlvaqor","properties":{"formattedCitation":"[17]","plainCitation":"[17]","noteIndex":0},"citationItems":[{"id":309,"uris":["http://zotero.org/users/7139165/items/LKPFPJ6N"],"uri":["http://zotero.org/users/7139165/items/LKPFPJ6N"],"itemData":{"id":309,"type":"article-journal","container-title":"Journal of Statistical Software","DOI":"10.18637/jss.v069.i01","ISSN":"1548-7660","issue":"1","language":"en","note":"number: 1","page":"1-33","source":"www.jstatsoft.org","title":"Least-squares means: The R package lsmeans","title-short":"Least-Squares Means","volume":"69","author":[{"family":"Lenth","given":"Russell V."}],"issued":{"date-parts":[["2016",1,29]]}}}],"schema":"https://github.com/citation-style-language/schema/raw/master/csl-citation.json"} </w:instrText>
      </w:r>
      <w:r w:rsidR="00192A67">
        <w:rPr>
          <w:rFonts w:ascii="Arial" w:hAnsi="Arial" w:cs="Arial"/>
          <w:lang w:val="en-US"/>
        </w:rPr>
        <w:fldChar w:fldCharType="separate"/>
      </w:r>
      <w:r w:rsidR="007346C0" w:rsidRPr="007346C0">
        <w:rPr>
          <w:rFonts w:ascii="Arial" w:hAnsi="Arial" w:cs="Arial"/>
        </w:rPr>
        <w:t>[17]</w:t>
      </w:r>
      <w:r w:rsidR="00192A67">
        <w:rPr>
          <w:rFonts w:ascii="Arial" w:hAnsi="Arial" w:cs="Arial"/>
          <w:lang w:val="en-US"/>
        </w:rPr>
        <w:fldChar w:fldCharType="end"/>
      </w:r>
      <w:r w:rsidRPr="00DE0DDB">
        <w:rPr>
          <w:rFonts w:ascii="Arial" w:hAnsi="Arial" w:cs="Arial"/>
          <w:lang w:val="en-US"/>
        </w:rPr>
        <w:t xml:space="preserve"> </w:t>
      </w:r>
      <w:r w:rsidR="0037605F">
        <w:rPr>
          <w:rFonts w:ascii="Arial" w:hAnsi="Arial" w:cs="Arial"/>
          <w:lang w:val="en-US"/>
        </w:rPr>
        <w:t xml:space="preserve"> CBT = Cognitive behavioral therapy, EDU = Education, GI = Gastrointestinal, HPD = High Pain Dysfunctional, HPA = High Pain Adaptive, LPA = Low Pain Adaptive</w:t>
      </w:r>
    </w:p>
    <w:p w14:paraId="3B039FD9" w14:textId="7C85FB40" w:rsidR="002B1681" w:rsidRPr="00DE0DDB" w:rsidRDefault="002B1681" w:rsidP="002B1681">
      <w:pPr>
        <w:spacing w:after="0" w:line="240" w:lineRule="auto"/>
        <w:rPr>
          <w:rFonts w:ascii="Arial" w:hAnsi="Arial" w:cs="Arial"/>
          <w:lang w:val="en-US"/>
        </w:rPr>
      </w:pPr>
    </w:p>
    <w:p w14:paraId="0BB379CF" w14:textId="4A97F22C" w:rsidR="0050240B" w:rsidRPr="00DE0DDB" w:rsidRDefault="0050240B" w:rsidP="004302E8">
      <w:pPr>
        <w:rPr>
          <w:rFonts w:ascii="Arial" w:eastAsia="Times New Roman" w:hAnsi="Arial" w:cs="Arial"/>
          <w:lang w:val="en-US"/>
        </w:rPr>
      </w:pPr>
      <w:r w:rsidRPr="00DE0DDB">
        <w:rPr>
          <w:rFonts w:ascii="Arial" w:eastAsia="Times New Roman" w:hAnsi="Arial" w:cs="Arial"/>
          <w:lang w:val="en-US"/>
        </w:rPr>
        <w:tab/>
      </w:r>
      <w:r w:rsidRPr="00DE0DDB">
        <w:rPr>
          <w:rFonts w:ascii="Arial" w:eastAsia="Times New Roman" w:hAnsi="Arial" w:cs="Arial"/>
          <w:lang w:val="en-US"/>
        </w:rPr>
        <w:tab/>
      </w:r>
    </w:p>
    <w:p w14:paraId="5FA915BC" w14:textId="6DADB23B" w:rsidR="006155E7" w:rsidRPr="00DE0DDB" w:rsidRDefault="006155E7" w:rsidP="00395E34">
      <w:pPr>
        <w:spacing w:after="0" w:line="240" w:lineRule="auto"/>
        <w:rPr>
          <w:rFonts w:ascii="Arial" w:eastAsia="Times New Roman" w:hAnsi="Arial" w:cs="Arial"/>
          <w:lang w:val="en-US"/>
        </w:rPr>
      </w:pPr>
    </w:p>
    <w:p w14:paraId="3B9B6E3B" w14:textId="365A09A4" w:rsidR="007F1A91" w:rsidRPr="00DE0DDB" w:rsidRDefault="007F1A91" w:rsidP="00395E34">
      <w:pPr>
        <w:spacing w:after="0" w:line="240" w:lineRule="auto"/>
        <w:rPr>
          <w:rFonts w:ascii="Arial" w:eastAsia="Times New Roman" w:hAnsi="Arial" w:cs="Arial"/>
          <w:lang w:val="en-US"/>
        </w:rPr>
      </w:pPr>
    </w:p>
    <w:p w14:paraId="4A3B4AAC" w14:textId="5E53ADFC" w:rsidR="007F1A91" w:rsidRPr="00DE0DDB" w:rsidRDefault="007F1A91" w:rsidP="00395E34">
      <w:pPr>
        <w:spacing w:after="0" w:line="240" w:lineRule="auto"/>
        <w:rPr>
          <w:rFonts w:ascii="Arial" w:eastAsia="Times New Roman" w:hAnsi="Arial" w:cs="Arial"/>
          <w:lang w:val="en-US"/>
        </w:rPr>
      </w:pPr>
    </w:p>
    <w:p w14:paraId="4B467EED" w14:textId="77777777" w:rsidR="007F1A91" w:rsidRPr="00DE0DDB" w:rsidRDefault="007F1A91" w:rsidP="00395E34">
      <w:pPr>
        <w:spacing w:after="0" w:line="240" w:lineRule="auto"/>
        <w:rPr>
          <w:rFonts w:ascii="Arial" w:eastAsia="Times New Roman" w:hAnsi="Arial" w:cs="Arial"/>
          <w:lang w:val="en-US"/>
        </w:rPr>
      </w:pPr>
    </w:p>
    <w:p w14:paraId="48028B2C" w14:textId="24A1F745" w:rsidR="007F1A91" w:rsidRPr="00DE0DDB" w:rsidRDefault="007F1A91" w:rsidP="00395E34">
      <w:pPr>
        <w:spacing w:after="0" w:line="240" w:lineRule="auto"/>
        <w:rPr>
          <w:rFonts w:ascii="Arial" w:eastAsia="Times New Roman" w:hAnsi="Arial" w:cs="Arial"/>
          <w:lang w:val="en-US"/>
        </w:rPr>
      </w:pPr>
    </w:p>
    <w:p w14:paraId="7497D533" w14:textId="7FDAFC23" w:rsidR="007F1A91" w:rsidRPr="00DE0DDB" w:rsidRDefault="007F1A91" w:rsidP="00395E34">
      <w:pPr>
        <w:spacing w:after="0" w:line="240" w:lineRule="auto"/>
        <w:rPr>
          <w:rFonts w:ascii="Arial" w:eastAsia="Times New Roman" w:hAnsi="Arial" w:cs="Arial"/>
          <w:lang w:val="en-US"/>
        </w:rPr>
      </w:pPr>
    </w:p>
    <w:p w14:paraId="6542B1CD" w14:textId="5FA98FB0" w:rsidR="00C65D64" w:rsidRPr="004302E8" w:rsidRDefault="00C65D64" w:rsidP="004302E8">
      <w:pPr>
        <w:rPr>
          <w:rFonts w:ascii="Arial" w:eastAsia="Times New Roman" w:hAnsi="Arial" w:cs="Arial"/>
          <w:lang w:val="en-US"/>
        </w:rPr>
      </w:pPr>
    </w:p>
    <w:p w14:paraId="3D5BE1C1" w14:textId="77777777" w:rsidR="00C65D64" w:rsidRPr="00DE0DDB" w:rsidRDefault="00C65D64" w:rsidP="00395E34">
      <w:pPr>
        <w:spacing w:after="0" w:line="240" w:lineRule="auto"/>
        <w:rPr>
          <w:rFonts w:ascii="Arial" w:eastAsia="Times New Roman" w:hAnsi="Arial" w:cs="Arial"/>
          <w:b/>
          <w:bCs/>
          <w:lang w:val="en-US"/>
        </w:rPr>
      </w:pPr>
    </w:p>
    <w:p w14:paraId="3AF4326E" w14:textId="180F066F" w:rsidR="005B091F" w:rsidRPr="00DE0DDB" w:rsidRDefault="005B091F" w:rsidP="00DE48E2">
      <w:pPr>
        <w:rPr>
          <w:rFonts w:ascii="Arial" w:hAnsi="Arial" w:cs="Arial"/>
        </w:rPr>
      </w:pPr>
    </w:p>
    <w:sectPr w:rsidR="005B091F" w:rsidRPr="00DE0DDB" w:rsidSect="005A5CC4">
      <w:pgSz w:w="12240" w:h="15840"/>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4A5FE" w14:textId="77777777" w:rsidR="00B2694E" w:rsidRDefault="00B2694E" w:rsidP="000239FE">
      <w:pPr>
        <w:spacing w:after="0" w:line="240" w:lineRule="auto"/>
      </w:pPr>
      <w:r>
        <w:separator/>
      </w:r>
    </w:p>
  </w:endnote>
  <w:endnote w:type="continuationSeparator" w:id="0">
    <w:p w14:paraId="70257E1E" w14:textId="77777777" w:rsidR="00B2694E" w:rsidRDefault="00B2694E" w:rsidP="000239FE">
      <w:pPr>
        <w:spacing w:after="0" w:line="240" w:lineRule="auto"/>
      </w:pPr>
      <w:r>
        <w:continuationSeparator/>
      </w:r>
    </w:p>
  </w:endnote>
  <w:endnote w:type="continuationNotice" w:id="1">
    <w:p w14:paraId="47234389" w14:textId="77777777" w:rsidR="00B2694E" w:rsidRDefault="00B269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8658467"/>
      <w:docPartObj>
        <w:docPartGallery w:val="Page Numbers (Bottom of Page)"/>
        <w:docPartUnique/>
      </w:docPartObj>
    </w:sdtPr>
    <w:sdtEndPr>
      <w:rPr>
        <w:rStyle w:val="PageNumber"/>
      </w:rPr>
    </w:sdtEndPr>
    <w:sdtContent>
      <w:p w14:paraId="48C1F019" w14:textId="433D2E6D" w:rsidR="00A60989" w:rsidRDefault="00A60989" w:rsidP="002B15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0F65D1" w14:textId="77777777" w:rsidR="00A60989" w:rsidRDefault="00A60989" w:rsidP="00DF5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56012"/>
      <w:docPartObj>
        <w:docPartGallery w:val="Page Numbers (Bottom of Page)"/>
        <w:docPartUnique/>
      </w:docPartObj>
    </w:sdtPr>
    <w:sdtEndPr>
      <w:rPr>
        <w:rStyle w:val="PageNumber"/>
      </w:rPr>
    </w:sdtEndPr>
    <w:sdtContent>
      <w:p w14:paraId="0BD8CBCD" w14:textId="6B961773" w:rsidR="00A60989" w:rsidRDefault="00B2694E" w:rsidP="002B15DC">
        <w:pPr>
          <w:pStyle w:val="Footer"/>
          <w:framePr w:wrap="none" w:vAnchor="text" w:hAnchor="margin" w:xAlign="right" w:y="1"/>
          <w:rPr>
            <w:rStyle w:val="PageNumber"/>
          </w:rPr>
        </w:pPr>
      </w:p>
    </w:sdtContent>
  </w:sdt>
  <w:p w14:paraId="7F44C224" w14:textId="77777777" w:rsidR="00A60989" w:rsidRDefault="00A60989" w:rsidP="00DF5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A1015" w14:textId="77777777" w:rsidR="00B2694E" w:rsidRDefault="00B2694E" w:rsidP="000239FE">
      <w:pPr>
        <w:spacing w:after="0" w:line="240" w:lineRule="auto"/>
      </w:pPr>
      <w:r>
        <w:separator/>
      </w:r>
    </w:p>
  </w:footnote>
  <w:footnote w:type="continuationSeparator" w:id="0">
    <w:p w14:paraId="78CD65C4" w14:textId="77777777" w:rsidR="00B2694E" w:rsidRDefault="00B2694E" w:rsidP="000239FE">
      <w:pPr>
        <w:spacing w:after="0" w:line="240" w:lineRule="auto"/>
      </w:pPr>
      <w:r>
        <w:continuationSeparator/>
      </w:r>
    </w:p>
  </w:footnote>
  <w:footnote w:type="continuationNotice" w:id="1">
    <w:p w14:paraId="1C3F2E38" w14:textId="77777777" w:rsidR="00B2694E" w:rsidRDefault="00B269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048132"/>
      <w:docPartObj>
        <w:docPartGallery w:val="Page Numbers (Top of Page)"/>
        <w:docPartUnique/>
      </w:docPartObj>
    </w:sdtPr>
    <w:sdtEndPr>
      <w:rPr>
        <w:rFonts w:ascii="Arial" w:hAnsi="Arial" w:cs="Arial"/>
        <w:noProof/>
      </w:rPr>
    </w:sdtEndPr>
    <w:sdtContent>
      <w:p w14:paraId="60CCFED5" w14:textId="79EDB690" w:rsidR="00A60989" w:rsidRPr="00E16FD4" w:rsidRDefault="00A60989">
        <w:pPr>
          <w:pStyle w:val="Header"/>
          <w:jc w:val="right"/>
          <w:rPr>
            <w:rFonts w:ascii="Arial" w:hAnsi="Arial" w:cs="Arial"/>
          </w:rPr>
        </w:pPr>
        <w:r w:rsidRPr="00E16FD4">
          <w:rPr>
            <w:rFonts w:ascii="Arial" w:hAnsi="Arial" w:cs="Arial"/>
          </w:rPr>
          <w:fldChar w:fldCharType="begin"/>
        </w:r>
        <w:r w:rsidRPr="00E16FD4">
          <w:rPr>
            <w:rFonts w:ascii="Arial" w:hAnsi="Arial" w:cs="Arial"/>
          </w:rPr>
          <w:instrText xml:space="preserve"> PAGE   \* MERGEFORMAT </w:instrText>
        </w:r>
        <w:r w:rsidRPr="00E16FD4">
          <w:rPr>
            <w:rFonts w:ascii="Arial" w:hAnsi="Arial" w:cs="Arial"/>
          </w:rPr>
          <w:fldChar w:fldCharType="separate"/>
        </w:r>
        <w:r w:rsidRPr="00E16FD4">
          <w:rPr>
            <w:rFonts w:ascii="Arial" w:hAnsi="Arial" w:cs="Arial"/>
            <w:noProof/>
          </w:rPr>
          <w:t>2</w:t>
        </w:r>
        <w:r w:rsidRPr="00E16FD4">
          <w:rPr>
            <w:rFonts w:ascii="Arial" w:hAnsi="Arial" w:cs="Arial"/>
            <w:noProof/>
          </w:rPr>
          <w:fldChar w:fldCharType="end"/>
        </w:r>
      </w:p>
    </w:sdtContent>
  </w:sdt>
  <w:p w14:paraId="63A78D64" w14:textId="77777777" w:rsidR="00A60989" w:rsidRDefault="00A60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F4C"/>
    <w:multiLevelType w:val="hybridMultilevel"/>
    <w:tmpl w:val="95D6B1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0590D"/>
    <w:multiLevelType w:val="hybridMultilevel"/>
    <w:tmpl w:val="352AE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C14C8"/>
    <w:multiLevelType w:val="hybridMultilevel"/>
    <w:tmpl w:val="D6F61526"/>
    <w:lvl w:ilvl="0" w:tplc="B16276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491188"/>
    <w:multiLevelType w:val="hybridMultilevel"/>
    <w:tmpl w:val="8134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821F8"/>
    <w:multiLevelType w:val="hybridMultilevel"/>
    <w:tmpl w:val="E60E4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70A20"/>
    <w:multiLevelType w:val="hybridMultilevel"/>
    <w:tmpl w:val="E60E4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F7DB2"/>
    <w:multiLevelType w:val="hybridMultilevel"/>
    <w:tmpl w:val="E5C2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25425"/>
    <w:multiLevelType w:val="hybridMultilevel"/>
    <w:tmpl w:val="FE08001A"/>
    <w:lvl w:ilvl="0" w:tplc="E1E0F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F12E0F"/>
    <w:multiLevelType w:val="hybridMultilevel"/>
    <w:tmpl w:val="9DF6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15A8D"/>
    <w:multiLevelType w:val="hybridMultilevel"/>
    <w:tmpl w:val="E60E4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A0BA9"/>
    <w:multiLevelType w:val="hybridMultilevel"/>
    <w:tmpl w:val="0E3C8EF2"/>
    <w:lvl w:ilvl="0" w:tplc="2244F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C0796A"/>
    <w:multiLevelType w:val="hybridMultilevel"/>
    <w:tmpl w:val="9880F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9"/>
  </w:num>
  <w:num w:numId="6">
    <w:abstractNumId w:val="3"/>
  </w:num>
  <w:num w:numId="7">
    <w:abstractNumId w:val="8"/>
  </w:num>
  <w:num w:numId="8">
    <w:abstractNumId w:val="6"/>
  </w:num>
  <w:num w:numId="9">
    <w:abstractNumId w:val="1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NjYxs7QwMTcxMzNW0lEKTi0uzszPAykwrAUA8ECsGCwAAAA="/>
  </w:docVars>
  <w:rsids>
    <w:rsidRoot w:val="009F2FD2"/>
    <w:rsid w:val="00002FF7"/>
    <w:rsid w:val="00004B1E"/>
    <w:rsid w:val="00005250"/>
    <w:rsid w:val="00005562"/>
    <w:rsid w:val="00005DF8"/>
    <w:rsid w:val="00006B93"/>
    <w:rsid w:val="000075F2"/>
    <w:rsid w:val="00010964"/>
    <w:rsid w:val="00011613"/>
    <w:rsid w:val="00012A3E"/>
    <w:rsid w:val="00020F6F"/>
    <w:rsid w:val="00021C7B"/>
    <w:rsid w:val="000239FE"/>
    <w:rsid w:val="00023D04"/>
    <w:rsid w:val="00024FEB"/>
    <w:rsid w:val="00026B15"/>
    <w:rsid w:val="00026C2E"/>
    <w:rsid w:val="00031C45"/>
    <w:rsid w:val="0003482A"/>
    <w:rsid w:val="00036BE8"/>
    <w:rsid w:val="000375FA"/>
    <w:rsid w:val="00041CEA"/>
    <w:rsid w:val="00043A9F"/>
    <w:rsid w:val="000454E5"/>
    <w:rsid w:val="000478E1"/>
    <w:rsid w:val="00047FA1"/>
    <w:rsid w:val="0005057E"/>
    <w:rsid w:val="000508CF"/>
    <w:rsid w:val="000511BB"/>
    <w:rsid w:val="00051652"/>
    <w:rsid w:val="000528F9"/>
    <w:rsid w:val="00053C36"/>
    <w:rsid w:val="000543D1"/>
    <w:rsid w:val="0005466D"/>
    <w:rsid w:val="00055620"/>
    <w:rsid w:val="000563DB"/>
    <w:rsid w:val="00057603"/>
    <w:rsid w:val="00057D5C"/>
    <w:rsid w:val="000609BA"/>
    <w:rsid w:val="0006129A"/>
    <w:rsid w:val="000618C5"/>
    <w:rsid w:val="00062B83"/>
    <w:rsid w:val="00063DD9"/>
    <w:rsid w:val="000662A4"/>
    <w:rsid w:val="00066E8C"/>
    <w:rsid w:val="00070B13"/>
    <w:rsid w:val="00070BF1"/>
    <w:rsid w:val="00080453"/>
    <w:rsid w:val="00084461"/>
    <w:rsid w:val="00084D50"/>
    <w:rsid w:val="00086346"/>
    <w:rsid w:val="000863A6"/>
    <w:rsid w:val="00090200"/>
    <w:rsid w:val="00090D7E"/>
    <w:rsid w:val="000920E3"/>
    <w:rsid w:val="00092ADC"/>
    <w:rsid w:val="00093553"/>
    <w:rsid w:val="00094C3C"/>
    <w:rsid w:val="000A2EAC"/>
    <w:rsid w:val="000A2FA7"/>
    <w:rsid w:val="000A378E"/>
    <w:rsid w:val="000A5AB8"/>
    <w:rsid w:val="000A6431"/>
    <w:rsid w:val="000A68DD"/>
    <w:rsid w:val="000B0026"/>
    <w:rsid w:val="000B0413"/>
    <w:rsid w:val="000B3BBE"/>
    <w:rsid w:val="000B4C44"/>
    <w:rsid w:val="000B50F9"/>
    <w:rsid w:val="000B5A62"/>
    <w:rsid w:val="000B7226"/>
    <w:rsid w:val="000B7AD7"/>
    <w:rsid w:val="000C452E"/>
    <w:rsid w:val="000C4559"/>
    <w:rsid w:val="000C49AA"/>
    <w:rsid w:val="000C5C53"/>
    <w:rsid w:val="000C73D0"/>
    <w:rsid w:val="000D39C3"/>
    <w:rsid w:val="000D42E4"/>
    <w:rsid w:val="000D55B4"/>
    <w:rsid w:val="000D635D"/>
    <w:rsid w:val="000D6A41"/>
    <w:rsid w:val="000D7D1D"/>
    <w:rsid w:val="000E101E"/>
    <w:rsid w:val="000E207F"/>
    <w:rsid w:val="000E28B4"/>
    <w:rsid w:val="000E328E"/>
    <w:rsid w:val="000E3BCF"/>
    <w:rsid w:val="000E3E8F"/>
    <w:rsid w:val="000E4905"/>
    <w:rsid w:val="000F0A13"/>
    <w:rsid w:val="000F2CE0"/>
    <w:rsid w:val="000F3539"/>
    <w:rsid w:val="000F4810"/>
    <w:rsid w:val="000F7104"/>
    <w:rsid w:val="000F7CA7"/>
    <w:rsid w:val="00100FE9"/>
    <w:rsid w:val="00102DE5"/>
    <w:rsid w:val="00103C5C"/>
    <w:rsid w:val="00104766"/>
    <w:rsid w:val="00104CE4"/>
    <w:rsid w:val="00106CF6"/>
    <w:rsid w:val="00110B30"/>
    <w:rsid w:val="00110FAD"/>
    <w:rsid w:val="00111A29"/>
    <w:rsid w:val="00112818"/>
    <w:rsid w:val="001128D2"/>
    <w:rsid w:val="00113B5F"/>
    <w:rsid w:val="001231CB"/>
    <w:rsid w:val="001313D5"/>
    <w:rsid w:val="00132D21"/>
    <w:rsid w:val="0013352B"/>
    <w:rsid w:val="00133B41"/>
    <w:rsid w:val="00133BAD"/>
    <w:rsid w:val="00135204"/>
    <w:rsid w:val="001353E9"/>
    <w:rsid w:val="00142B8D"/>
    <w:rsid w:val="00143350"/>
    <w:rsid w:val="00151ACA"/>
    <w:rsid w:val="0015396B"/>
    <w:rsid w:val="0015554D"/>
    <w:rsid w:val="00155BB9"/>
    <w:rsid w:val="00156486"/>
    <w:rsid w:val="00156EF4"/>
    <w:rsid w:val="00156EFE"/>
    <w:rsid w:val="00160E75"/>
    <w:rsid w:val="00161637"/>
    <w:rsid w:val="00162D03"/>
    <w:rsid w:val="00164D67"/>
    <w:rsid w:val="0016714B"/>
    <w:rsid w:val="0017028B"/>
    <w:rsid w:val="0017166E"/>
    <w:rsid w:val="00172BC4"/>
    <w:rsid w:val="00172FAE"/>
    <w:rsid w:val="00173D9D"/>
    <w:rsid w:val="0017651D"/>
    <w:rsid w:val="00176769"/>
    <w:rsid w:val="0017773C"/>
    <w:rsid w:val="001803B9"/>
    <w:rsid w:val="001808C1"/>
    <w:rsid w:val="00184F36"/>
    <w:rsid w:val="001874F8"/>
    <w:rsid w:val="001910DB"/>
    <w:rsid w:val="00192A67"/>
    <w:rsid w:val="00193111"/>
    <w:rsid w:val="001964F5"/>
    <w:rsid w:val="00197633"/>
    <w:rsid w:val="001A0708"/>
    <w:rsid w:val="001A134E"/>
    <w:rsid w:val="001A13C6"/>
    <w:rsid w:val="001A5417"/>
    <w:rsid w:val="001A60A0"/>
    <w:rsid w:val="001A67D5"/>
    <w:rsid w:val="001A6A34"/>
    <w:rsid w:val="001A6D98"/>
    <w:rsid w:val="001B02F0"/>
    <w:rsid w:val="001B38E6"/>
    <w:rsid w:val="001B6A78"/>
    <w:rsid w:val="001B763A"/>
    <w:rsid w:val="001C1BC0"/>
    <w:rsid w:val="001C25DA"/>
    <w:rsid w:val="001C3DAE"/>
    <w:rsid w:val="001C6199"/>
    <w:rsid w:val="001C682A"/>
    <w:rsid w:val="001C6ACC"/>
    <w:rsid w:val="001C7D96"/>
    <w:rsid w:val="001D01B7"/>
    <w:rsid w:val="001D12B0"/>
    <w:rsid w:val="001D2984"/>
    <w:rsid w:val="001D34C8"/>
    <w:rsid w:val="001D3793"/>
    <w:rsid w:val="001D3B95"/>
    <w:rsid w:val="001D44CE"/>
    <w:rsid w:val="001D4721"/>
    <w:rsid w:val="001D62F5"/>
    <w:rsid w:val="001E18F5"/>
    <w:rsid w:val="001E33B8"/>
    <w:rsid w:val="001F0986"/>
    <w:rsid w:val="001F0BC5"/>
    <w:rsid w:val="001F23DD"/>
    <w:rsid w:val="001F496A"/>
    <w:rsid w:val="002004BB"/>
    <w:rsid w:val="00202B75"/>
    <w:rsid w:val="002048CD"/>
    <w:rsid w:val="00206D08"/>
    <w:rsid w:val="00212CD2"/>
    <w:rsid w:val="00214A44"/>
    <w:rsid w:val="00214ACB"/>
    <w:rsid w:val="00214F93"/>
    <w:rsid w:val="002151F9"/>
    <w:rsid w:val="002162DB"/>
    <w:rsid w:val="00221C72"/>
    <w:rsid w:val="0022220D"/>
    <w:rsid w:val="002271F6"/>
    <w:rsid w:val="002273B0"/>
    <w:rsid w:val="002311F9"/>
    <w:rsid w:val="002314D9"/>
    <w:rsid w:val="00231763"/>
    <w:rsid w:val="002321EF"/>
    <w:rsid w:val="00232E4C"/>
    <w:rsid w:val="00235008"/>
    <w:rsid w:val="00235372"/>
    <w:rsid w:val="002353B3"/>
    <w:rsid w:val="00236FDE"/>
    <w:rsid w:val="00237E9D"/>
    <w:rsid w:val="00243996"/>
    <w:rsid w:val="00245123"/>
    <w:rsid w:val="002459C5"/>
    <w:rsid w:val="00246393"/>
    <w:rsid w:val="00251895"/>
    <w:rsid w:val="002525CA"/>
    <w:rsid w:val="00253460"/>
    <w:rsid w:val="00253D40"/>
    <w:rsid w:val="00255BE1"/>
    <w:rsid w:val="00255C3F"/>
    <w:rsid w:val="00257E30"/>
    <w:rsid w:val="002614E0"/>
    <w:rsid w:val="0026347D"/>
    <w:rsid w:val="00266825"/>
    <w:rsid w:val="00267032"/>
    <w:rsid w:val="00271A04"/>
    <w:rsid w:val="002721D5"/>
    <w:rsid w:val="00272F13"/>
    <w:rsid w:val="0027420A"/>
    <w:rsid w:val="002743D0"/>
    <w:rsid w:val="00275EB8"/>
    <w:rsid w:val="00276F0D"/>
    <w:rsid w:val="002772BB"/>
    <w:rsid w:val="00277BC6"/>
    <w:rsid w:val="00280FB8"/>
    <w:rsid w:val="00283C5F"/>
    <w:rsid w:val="002842FD"/>
    <w:rsid w:val="00285589"/>
    <w:rsid w:val="00290C18"/>
    <w:rsid w:val="00291346"/>
    <w:rsid w:val="002941E2"/>
    <w:rsid w:val="00295560"/>
    <w:rsid w:val="002955B1"/>
    <w:rsid w:val="00295A92"/>
    <w:rsid w:val="002974A4"/>
    <w:rsid w:val="0029778D"/>
    <w:rsid w:val="002A2C0F"/>
    <w:rsid w:val="002A3021"/>
    <w:rsid w:val="002A31AD"/>
    <w:rsid w:val="002A33B1"/>
    <w:rsid w:val="002A40F9"/>
    <w:rsid w:val="002A445F"/>
    <w:rsid w:val="002A5C55"/>
    <w:rsid w:val="002A712C"/>
    <w:rsid w:val="002A734F"/>
    <w:rsid w:val="002B0EA0"/>
    <w:rsid w:val="002B15DC"/>
    <w:rsid w:val="002B1681"/>
    <w:rsid w:val="002B2BA7"/>
    <w:rsid w:val="002B2DF6"/>
    <w:rsid w:val="002B319F"/>
    <w:rsid w:val="002B3617"/>
    <w:rsid w:val="002B61E5"/>
    <w:rsid w:val="002C07B9"/>
    <w:rsid w:val="002C1F05"/>
    <w:rsid w:val="002C3021"/>
    <w:rsid w:val="002C36F7"/>
    <w:rsid w:val="002C5D08"/>
    <w:rsid w:val="002C6546"/>
    <w:rsid w:val="002C6D50"/>
    <w:rsid w:val="002D45AA"/>
    <w:rsid w:val="002D4E37"/>
    <w:rsid w:val="002D5950"/>
    <w:rsid w:val="002E1915"/>
    <w:rsid w:val="002E1FB9"/>
    <w:rsid w:val="002E38E4"/>
    <w:rsid w:val="002E4862"/>
    <w:rsid w:val="002E59C1"/>
    <w:rsid w:val="002E6108"/>
    <w:rsid w:val="002F04E4"/>
    <w:rsid w:val="002F1536"/>
    <w:rsid w:val="002F53EE"/>
    <w:rsid w:val="002F56A6"/>
    <w:rsid w:val="002F583F"/>
    <w:rsid w:val="002F6EC3"/>
    <w:rsid w:val="002F716C"/>
    <w:rsid w:val="002F7B49"/>
    <w:rsid w:val="003076A0"/>
    <w:rsid w:val="00310DAF"/>
    <w:rsid w:val="003112B1"/>
    <w:rsid w:val="003115E6"/>
    <w:rsid w:val="003150DF"/>
    <w:rsid w:val="00315FB0"/>
    <w:rsid w:val="00320031"/>
    <w:rsid w:val="00322834"/>
    <w:rsid w:val="003259DD"/>
    <w:rsid w:val="00326299"/>
    <w:rsid w:val="00331996"/>
    <w:rsid w:val="00331AED"/>
    <w:rsid w:val="00333AB9"/>
    <w:rsid w:val="00333AE3"/>
    <w:rsid w:val="003349E8"/>
    <w:rsid w:val="0033536C"/>
    <w:rsid w:val="00335D31"/>
    <w:rsid w:val="00336B9A"/>
    <w:rsid w:val="0033729C"/>
    <w:rsid w:val="003427BA"/>
    <w:rsid w:val="00344EAB"/>
    <w:rsid w:val="003473D1"/>
    <w:rsid w:val="00351651"/>
    <w:rsid w:val="00352EDD"/>
    <w:rsid w:val="00354F3B"/>
    <w:rsid w:val="003552EA"/>
    <w:rsid w:val="003559A8"/>
    <w:rsid w:val="00355C8C"/>
    <w:rsid w:val="00363A18"/>
    <w:rsid w:val="0036480D"/>
    <w:rsid w:val="00364966"/>
    <w:rsid w:val="00365878"/>
    <w:rsid w:val="00365A1B"/>
    <w:rsid w:val="00370601"/>
    <w:rsid w:val="00371287"/>
    <w:rsid w:val="0037150A"/>
    <w:rsid w:val="0037352E"/>
    <w:rsid w:val="003736BD"/>
    <w:rsid w:val="00374B02"/>
    <w:rsid w:val="00375AA1"/>
    <w:rsid w:val="00375F1A"/>
    <w:rsid w:val="00375FC3"/>
    <w:rsid w:val="0037605F"/>
    <w:rsid w:val="0038194B"/>
    <w:rsid w:val="003855FA"/>
    <w:rsid w:val="00386220"/>
    <w:rsid w:val="00387F92"/>
    <w:rsid w:val="00390710"/>
    <w:rsid w:val="00390858"/>
    <w:rsid w:val="003913C9"/>
    <w:rsid w:val="00392B7E"/>
    <w:rsid w:val="00392D6D"/>
    <w:rsid w:val="003930D3"/>
    <w:rsid w:val="003936C9"/>
    <w:rsid w:val="00393847"/>
    <w:rsid w:val="0039441B"/>
    <w:rsid w:val="00395C56"/>
    <w:rsid w:val="00395E34"/>
    <w:rsid w:val="00395F77"/>
    <w:rsid w:val="0039721E"/>
    <w:rsid w:val="003A0CE9"/>
    <w:rsid w:val="003A1E3E"/>
    <w:rsid w:val="003A1F30"/>
    <w:rsid w:val="003A29F8"/>
    <w:rsid w:val="003A2EEC"/>
    <w:rsid w:val="003A7B8F"/>
    <w:rsid w:val="003B1FA5"/>
    <w:rsid w:val="003B2DEA"/>
    <w:rsid w:val="003B418B"/>
    <w:rsid w:val="003B4445"/>
    <w:rsid w:val="003B5674"/>
    <w:rsid w:val="003B5C1B"/>
    <w:rsid w:val="003B711F"/>
    <w:rsid w:val="003B7F81"/>
    <w:rsid w:val="003C0A77"/>
    <w:rsid w:val="003C125E"/>
    <w:rsid w:val="003C134C"/>
    <w:rsid w:val="003C1F31"/>
    <w:rsid w:val="003C2AB1"/>
    <w:rsid w:val="003C3B1C"/>
    <w:rsid w:val="003C687F"/>
    <w:rsid w:val="003C6A69"/>
    <w:rsid w:val="003D17D5"/>
    <w:rsid w:val="003D19C4"/>
    <w:rsid w:val="003D1B03"/>
    <w:rsid w:val="003D1FA1"/>
    <w:rsid w:val="003D28E5"/>
    <w:rsid w:val="003D2AEF"/>
    <w:rsid w:val="003D3D0A"/>
    <w:rsid w:val="003D4C54"/>
    <w:rsid w:val="003D52CF"/>
    <w:rsid w:val="003D679D"/>
    <w:rsid w:val="003D6800"/>
    <w:rsid w:val="003D7B14"/>
    <w:rsid w:val="003E0C85"/>
    <w:rsid w:val="003E27BD"/>
    <w:rsid w:val="003E2909"/>
    <w:rsid w:val="003E473A"/>
    <w:rsid w:val="003E63C6"/>
    <w:rsid w:val="003E78EF"/>
    <w:rsid w:val="003F065E"/>
    <w:rsid w:val="003F2EC6"/>
    <w:rsid w:val="003F369F"/>
    <w:rsid w:val="003F6231"/>
    <w:rsid w:val="003F685B"/>
    <w:rsid w:val="003F7490"/>
    <w:rsid w:val="003F749A"/>
    <w:rsid w:val="003F7F9A"/>
    <w:rsid w:val="00401E89"/>
    <w:rsid w:val="00402424"/>
    <w:rsid w:val="00403EAE"/>
    <w:rsid w:val="00406703"/>
    <w:rsid w:val="0041088D"/>
    <w:rsid w:val="0041097E"/>
    <w:rsid w:val="004117B7"/>
    <w:rsid w:val="00414D42"/>
    <w:rsid w:val="0041631A"/>
    <w:rsid w:val="0042164A"/>
    <w:rsid w:val="004217F1"/>
    <w:rsid w:val="00422EDC"/>
    <w:rsid w:val="00425790"/>
    <w:rsid w:val="00426E09"/>
    <w:rsid w:val="00427DCB"/>
    <w:rsid w:val="004302E8"/>
    <w:rsid w:val="004319C4"/>
    <w:rsid w:val="00434D0B"/>
    <w:rsid w:val="00441800"/>
    <w:rsid w:val="0044350C"/>
    <w:rsid w:val="004467F6"/>
    <w:rsid w:val="00450BAD"/>
    <w:rsid w:val="00451B05"/>
    <w:rsid w:val="00452489"/>
    <w:rsid w:val="004525D6"/>
    <w:rsid w:val="00452674"/>
    <w:rsid w:val="0045509D"/>
    <w:rsid w:val="0045733B"/>
    <w:rsid w:val="00457DF2"/>
    <w:rsid w:val="0046079D"/>
    <w:rsid w:val="00461E58"/>
    <w:rsid w:val="004627AE"/>
    <w:rsid w:val="0046346B"/>
    <w:rsid w:val="004656A7"/>
    <w:rsid w:val="00466391"/>
    <w:rsid w:val="00467D4F"/>
    <w:rsid w:val="004706A6"/>
    <w:rsid w:val="00470A80"/>
    <w:rsid w:val="00473A1D"/>
    <w:rsid w:val="00475AA3"/>
    <w:rsid w:val="004804C3"/>
    <w:rsid w:val="004816CF"/>
    <w:rsid w:val="00481A15"/>
    <w:rsid w:val="004826F9"/>
    <w:rsid w:val="0048391D"/>
    <w:rsid w:val="00484DE1"/>
    <w:rsid w:val="004864A4"/>
    <w:rsid w:val="00490A69"/>
    <w:rsid w:val="0049460F"/>
    <w:rsid w:val="00495CD8"/>
    <w:rsid w:val="004979FA"/>
    <w:rsid w:val="004A0D81"/>
    <w:rsid w:val="004A2533"/>
    <w:rsid w:val="004A37F3"/>
    <w:rsid w:val="004A4D71"/>
    <w:rsid w:val="004A7090"/>
    <w:rsid w:val="004B03E3"/>
    <w:rsid w:val="004B0B3A"/>
    <w:rsid w:val="004B1680"/>
    <w:rsid w:val="004B307F"/>
    <w:rsid w:val="004B494F"/>
    <w:rsid w:val="004B4EF2"/>
    <w:rsid w:val="004B71C2"/>
    <w:rsid w:val="004C34D7"/>
    <w:rsid w:val="004C404A"/>
    <w:rsid w:val="004C779D"/>
    <w:rsid w:val="004D1B6B"/>
    <w:rsid w:val="004D1DDD"/>
    <w:rsid w:val="004D320B"/>
    <w:rsid w:val="004D33E7"/>
    <w:rsid w:val="004D39CD"/>
    <w:rsid w:val="004D4345"/>
    <w:rsid w:val="004D6CAC"/>
    <w:rsid w:val="004E0827"/>
    <w:rsid w:val="004E18F8"/>
    <w:rsid w:val="004E2E8B"/>
    <w:rsid w:val="004E4D05"/>
    <w:rsid w:val="004E51DF"/>
    <w:rsid w:val="004E5810"/>
    <w:rsid w:val="004F295F"/>
    <w:rsid w:val="004F4202"/>
    <w:rsid w:val="004F585B"/>
    <w:rsid w:val="00501047"/>
    <w:rsid w:val="005011A8"/>
    <w:rsid w:val="005020AB"/>
    <w:rsid w:val="0050240B"/>
    <w:rsid w:val="00502484"/>
    <w:rsid w:val="0050560C"/>
    <w:rsid w:val="00506032"/>
    <w:rsid w:val="00507370"/>
    <w:rsid w:val="0050769E"/>
    <w:rsid w:val="005109C1"/>
    <w:rsid w:val="00512E9F"/>
    <w:rsid w:val="0051346A"/>
    <w:rsid w:val="00514293"/>
    <w:rsid w:val="005231B4"/>
    <w:rsid w:val="005249DF"/>
    <w:rsid w:val="00524CDC"/>
    <w:rsid w:val="00527774"/>
    <w:rsid w:val="0053106C"/>
    <w:rsid w:val="005320B3"/>
    <w:rsid w:val="00533C42"/>
    <w:rsid w:val="00534081"/>
    <w:rsid w:val="005342EB"/>
    <w:rsid w:val="00534A6F"/>
    <w:rsid w:val="005353BF"/>
    <w:rsid w:val="00536435"/>
    <w:rsid w:val="0053673A"/>
    <w:rsid w:val="0053769A"/>
    <w:rsid w:val="005415CC"/>
    <w:rsid w:val="005422BC"/>
    <w:rsid w:val="0054482E"/>
    <w:rsid w:val="00545B0F"/>
    <w:rsid w:val="00551E21"/>
    <w:rsid w:val="0055282C"/>
    <w:rsid w:val="0055330A"/>
    <w:rsid w:val="005533FE"/>
    <w:rsid w:val="00553690"/>
    <w:rsid w:val="00556E8B"/>
    <w:rsid w:val="00557B83"/>
    <w:rsid w:val="00560DBA"/>
    <w:rsid w:val="00561A0C"/>
    <w:rsid w:val="00567B3C"/>
    <w:rsid w:val="00571881"/>
    <w:rsid w:val="0057266E"/>
    <w:rsid w:val="00574065"/>
    <w:rsid w:val="00575339"/>
    <w:rsid w:val="00576DAC"/>
    <w:rsid w:val="00577CA6"/>
    <w:rsid w:val="00580A63"/>
    <w:rsid w:val="005828CD"/>
    <w:rsid w:val="00584F76"/>
    <w:rsid w:val="00585949"/>
    <w:rsid w:val="00592AB5"/>
    <w:rsid w:val="005933C7"/>
    <w:rsid w:val="0059398D"/>
    <w:rsid w:val="0059730D"/>
    <w:rsid w:val="005A039E"/>
    <w:rsid w:val="005A5CC4"/>
    <w:rsid w:val="005B091F"/>
    <w:rsid w:val="005B253E"/>
    <w:rsid w:val="005B3DC3"/>
    <w:rsid w:val="005B473F"/>
    <w:rsid w:val="005B5A06"/>
    <w:rsid w:val="005B5DBA"/>
    <w:rsid w:val="005B6C7E"/>
    <w:rsid w:val="005C2BA5"/>
    <w:rsid w:val="005C3B8F"/>
    <w:rsid w:val="005C3D8F"/>
    <w:rsid w:val="005C401A"/>
    <w:rsid w:val="005C491C"/>
    <w:rsid w:val="005C5F5C"/>
    <w:rsid w:val="005C74DC"/>
    <w:rsid w:val="005C7823"/>
    <w:rsid w:val="005D1860"/>
    <w:rsid w:val="005D22D1"/>
    <w:rsid w:val="005D267E"/>
    <w:rsid w:val="005D3329"/>
    <w:rsid w:val="005D3402"/>
    <w:rsid w:val="005D3544"/>
    <w:rsid w:val="005D4117"/>
    <w:rsid w:val="005D4527"/>
    <w:rsid w:val="005D483C"/>
    <w:rsid w:val="005D5FC5"/>
    <w:rsid w:val="005E081A"/>
    <w:rsid w:val="005E27A9"/>
    <w:rsid w:val="005E2C96"/>
    <w:rsid w:val="005E5CCE"/>
    <w:rsid w:val="005E6062"/>
    <w:rsid w:val="005F0E26"/>
    <w:rsid w:val="005F2DD3"/>
    <w:rsid w:val="005F364F"/>
    <w:rsid w:val="005F36E3"/>
    <w:rsid w:val="005F438D"/>
    <w:rsid w:val="005F4E12"/>
    <w:rsid w:val="005F615A"/>
    <w:rsid w:val="005F6D33"/>
    <w:rsid w:val="0060089D"/>
    <w:rsid w:val="00602D79"/>
    <w:rsid w:val="00602DC4"/>
    <w:rsid w:val="006036B9"/>
    <w:rsid w:val="00604CDC"/>
    <w:rsid w:val="0060522C"/>
    <w:rsid w:val="00607E0F"/>
    <w:rsid w:val="00613058"/>
    <w:rsid w:val="006155E7"/>
    <w:rsid w:val="006156E6"/>
    <w:rsid w:val="00615F5F"/>
    <w:rsid w:val="00621FA1"/>
    <w:rsid w:val="00623881"/>
    <w:rsid w:val="006239D2"/>
    <w:rsid w:val="00623F9E"/>
    <w:rsid w:val="00624BAA"/>
    <w:rsid w:val="00625676"/>
    <w:rsid w:val="00625696"/>
    <w:rsid w:val="00625F70"/>
    <w:rsid w:val="00626B1C"/>
    <w:rsid w:val="00626EA7"/>
    <w:rsid w:val="006306CA"/>
    <w:rsid w:val="00632037"/>
    <w:rsid w:val="00632D0B"/>
    <w:rsid w:val="006331E6"/>
    <w:rsid w:val="00634E68"/>
    <w:rsid w:val="0063503F"/>
    <w:rsid w:val="00636ECB"/>
    <w:rsid w:val="00637AD5"/>
    <w:rsid w:val="00640150"/>
    <w:rsid w:val="006409D5"/>
    <w:rsid w:val="00641BE4"/>
    <w:rsid w:val="00646B53"/>
    <w:rsid w:val="00646DEE"/>
    <w:rsid w:val="00647D1E"/>
    <w:rsid w:val="006501D4"/>
    <w:rsid w:val="00657A84"/>
    <w:rsid w:val="00657E8A"/>
    <w:rsid w:val="00662E8D"/>
    <w:rsid w:val="0066430C"/>
    <w:rsid w:val="006648D1"/>
    <w:rsid w:val="006653C0"/>
    <w:rsid w:val="006705B5"/>
    <w:rsid w:val="0067493A"/>
    <w:rsid w:val="00674D1F"/>
    <w:rsid w:val="00675D16"/>
    <w:rsid w:val="006774FF"/>
    <w:rsid w:val="00677757"/>
    <w:rsid w:val="0068164E"/>
    <w:rsid w:val="0068210C"/>
    <w:rsid w:val="00683A6D"/>
    <w:rsid w:val="00684816"/>
    <w:rsid w:val="00686350"/>
    <w:rsid w:val="00687362"/>
    <w:rsid w:val="006879D2"/>
    <w:rsid w:val="00690CFD"/>
    <w:rsid w:val="00691D24"/>
    <w:rsid w:val="00692A23"/>
    <w:rsid w:val="0069311E"/>
    <w:rsid w:val="00693B3E"/>
    <w:rsid w:val="0069422F"/>
    <w:rsid w:val="00694459"/>
    <w:rsid w:val="00695700"/>
    <w:rsid w:val="006A0D33"/>
    <w:rsid w:val="006A118F"/>
    <w:rsid w:val="006A1281"/>
    <w:rsid w:val="006A3ED1"/>
    <w:rsid w:val="006A5A80"/>
    <w:rsid w:val="006B1229"/>
    <w:rsid w:val="006B2EE1"/>
    <w:rsid w:val="006B5CFE"/>
    <w:rsid w:val="006B6E49"/>
    <w:rsid w:val="006C091D"/>
    <w:rsid w:val="006C0CC1"/>
    <w:rsid w:val="006C1263"/>
    <w:rsid w:val="006C18DB"/>
    <w:rsid w:val="006C28D8"/>
    <w:rsid w:val="006C3BE7"/>
    <w:rsid w:val="006C6C99"/>
    <w:rsid w:val="006D0A45"/>
    <w:rsid w:val="006D7315"/>
    <w:rsid w:val="006E0138"/>
    <w:rsid w:val="006E0160"/>
    <w:rsid w:val="006E09B6"/>
    <w:rsid w:val="006E0F77"/>
    <w:rsid w:val="006E173B"/>
    <w:rsid w:val="006E1F37"/>
    <w:rsid w:val="006E2591"/>
    <w:rsid w:val="006E2A44"/>
    <w:rsid w:val="006E3A8D"/>
    <w:rsid w:val="006E3ED7"/>
    <w:rsid w:val="006E6EB7"/>
    <w:rsid w:val="006F4E52"/>
    <w:rsid w:val="006F51B3"/>
    <w:rsid w:val="006F6790"/>
    <w:rsid w:val="006F7600"/>
    <w:rsid w:val="0070100C"/>
    <w:rsid w:val="007019BE"/>
    <w:rsid w:val="00703730"/>
    <w:rsid w:val="00704441"/>
    <w:rsid w:val="00710CD1"/>
    <w:rsid w:val="00713EEA"/>
    <w:rsid w:val="00715517"/>
    <w:rsid w:val="0071630A"/>
    <w:rsid w:val="00720C89"/>
    <w:rsid w:val="00720FAA"/>
    <w:rsid w:val="00721B19"/>
    <w:rsid w:val="00721E6B"/>
    <w:rsid w:val="007239C5"/>
    <w:rsid w:val="00723B9F"/>
    <w:rsid w:val="00725E39"/>
    <w:rsid w:val="007301BA"/>
    <w:rsid w:val="007314FD"/>
    <w:rsid w:val="00733431"/>
    <w:rsid w:val="00733EF1"/>
    <w:rsid w:val="007346C0"/>
    <w:rsid w:val="00740AE7"/>
    <w:rsid w:val="007415C6"/>
    <w:rsid w:val="0074194B"/>
    <w:rsid w:val="00741A2E"/>
    <w:rsid w:val="007420E8"/>
    <w:rsid w:val="007456B6"/>
    <w:rsid w:val="0074647F"/>
    <w:rsid w:val="00746CD6"/>
    <w:rsid w:val="00753D9A"/>
    <w:rsid w:val="00754278"/>
    <w:rsid w:val="0075449D"/>
    <w:rsid w:val="00761C1D"/>
    <w:rsid w:val="007633A7"/>
    <w:rsid w:val="0076429F"/>
    <w:rsid w:val="00764A7F"/>
    <w:rsid w:val="0076532D"/>
    <w:rsid w:val="0076541B"/>
    <w:rsid w:val="00766705"/>
    <w:rsid w:val="00767909"/>
    <w:rsid w:val="00770393"/>
    <w:rsid w:val="007709F2"/>
    <w:rsid w:val="00772A19"/>
    <w:rsid w:val="00772AD8"/>
    <w:rsid w:val="00772D1C"/>
    <w:rsid w:val="007731CF"/>
    <w:rsid w:val="007752ED"/>
    <w:rsid w:val="007814DB"/>
    <w:rsid w:val="00781571"/>
    <w:rsid w:val="00782852"/>
    <w:rsid w:val="007831A2"/>
    <w:rsid w:val="0078368E"/>
    <w:rsid w:val="00783A20"/>
    <w:rsid w:val="00787009"/>
    <w:rsid w:val="00792F93"/>
    <w:rsid w:val="00797EE1"/>
    <w:rsid w:val="007A3BC8"/>
    <w:rsid w:val="007A4083"/>
    <w:rsid w:val="007A4A52"/>
    <w:rsid w:val="007A7F2B"/>
    <w:rsid w:val="007B05CE"/>
    <w:rsid w:val="007B3484"/>
    <w:rsid w:val="007B54E5"/>
    <w:rsid w:val="007C09E6"/>
    <w:rsid w:val="007C40E6"/>
    <w:rsid w:val="007C45E1"/>
    <w:rsid w:val="007D3C2C"/>
    <w:rsid w:val="007D5477"/>
    <w:rsid w:val="007E36C0"/>
    <w:rsid w:val="007E3AE1"/>
    <w:rsid w:val="007E412F"/>
    <w:rsid w:val="007E5144"/>
    <w:rsid w:val="007F0757"/>
    <w:rsid w:val="007F1A91"/>
    <w:rsid w:val="007F1D87"/>
    <w:rsid w:val="007F2029"/>
    <w:rsid w:val="007F2B33"/>
    <w:rsid w:val="007F3DEE"/>
    <w:rsid w:val="007F43D3"/>
    <w:rsid w:val="007F4956"/>
    <w:rsid w:val="007F6A0B"/>
    <w:rsid w:val="007F6CAB"/>
    <w:rsid w:val="007F7BF7"/>
    <w:rsid w:val="00800360"/>
    <w:rsid w:val="00800F98"/>
    <w:rsid w:val="00802DED"/>
    <w:rsid w:val="00804B07"/>
    <w:rsid w:val="008053D0"/>
    <w:rsid w:val="00805853"/>
    <w:rsid w:val="00811492"/>
    <w:rsid w:val="00813056"/>
    <w:rsid w:val="00814A20"/>
    <w:rsid w:val="00814B04"/>
    <w:rsid w:val="008152D7"/>
    <w:rsid w:val="00817F0E"/>
    <w:rsid w:val="00820002"/>
    <w:rsid w:val="00820921"/>
    <w:rsid w:val="0082092B"/>
    <w:rsid w:val="00820F0F"/>
    <w:rsid w:val="008212DD"/>
    <w:rsid w:val="00821D28"/>
    <w:rsid w:val="008234B6"/>
    <w:rsid w:val="00824739"/>
    <w:rsid w:val="00824D0A"/>
    <w:rsid w:val="00825194"/>
    <w:rsid w:val="00830991"/>
    <w:rsid w:val="008314EE"/>
    <w:rsid w:val="00831849"/>
    <w:rsid w:val="00832E4E"/>
    <w:rsid w:val="0083348F"/>
    <w:rsid w:val="00833AD2"/>
    <w:rsid w:val="00833ED2"/>
    <w:rsid w:val="00834A89"/>
    <w:rsid w:val="00834B9F"/>
    <w:rsid w:val="00836B26"/>
    <w:rsid w:val="008372AC"/>
    <w:rsid w:val="00841429"/>
    <w:rsid w:val="00842D4D"/>
    <w:rsid w:val="00844A70"/>
    <w:rsid w:val="008465D3"/>
    <w:rsid w:val="00850D71"/>
    <w:rsid w:val="00852403"/>
    <w:rsid w:val="008527FC"/>
    <w:rsid w:val="00853387"/>
    <w:rsid w:val="00853831"/>
    <w:rsid w:val="008543E1"/>
    <w:rsid w:val="00856023"/>
    <w:rsid w:val="00861853"/>
    <w:rsid w:val="00862D64"/>
    <w:rsid w:val="00863E35"/>
    <w:rsid w:val="00865A89"/>
    <w:rsid w:val="00865B2D"/>
    <w:rsid w:val="008708B0"/>
    <w:rsid w:val="008716C6"/>
    <w:rsid w:val="008718A5"/>
    <w:rsid w:val="00871CC7"/>
    <w:rsid w:val="00874857"/>
    <w:rsid w:val="00875D6E"/>
    <w:rsid w:val="00877634"/>
    <w:rsid w:val="00880040"/>
    <w:rsid w:val="00880549"/>
    <w:rsid w:val="0088087D"/>
    <w:rsid w:val="00881307"/>
    <w:rsid w:val="008819FC"/>
    <w:rsid w:val="00883232"/>
    <w:rsid w:val="00883320"/>
    <w:rsid w:val="00884336"/>
    <w:rsid w:val="00884E0C"/>
    <w:rsid w:val="008879C6"/>
    <w:rsid w:val="00887F23"/>
    <w:rsid w:val="0089035E"/>
    <w:rsid w:val="0089113E"/>
    <w:rsid w:val="00893179"/>
    <w:rsid w:val="00894D29"/>
    <w:rsid w:val="00895E57"/>
    <w:rsid w:val="008971DE"/>
    <w:rsid w:val="008A188D"/>
    <w:rsid w:val="008A39F2"/>
    <w:rsid w:val="008A43CB"/>
    <w:rsid w:val="008A4403"/>
    <w:rsid w:val="008A5463"/>
    <w:rsid w:val="008A7BA5"/>
    <w:rsid w:val="008B07FF"/>
    <w:rsid w:val="008B158B"/>
    <w:rsid w:val="008B557D"/>
    <w:rsid w:val="008C15C8"/>
    <w:rsid w:val="008C702C"/>
    <w:rsid w:val="008C74EE"/>
    <w:rsid w:val="008D3E62"/>
    <w:rsid w:val="008D523B"/>
    <w:rsid w:val="008D574D"/>
    <w:rsid w:val="008D5D03"/>
    <w:rsid w:val="008D6C53"/>
    <w:rsid w:val="008D7028"/>
    <w:rsid w:val="008E0201"/>
    <w:rsid w:val="008E04BA"/>
    <w:rsid w:val="008E3B68"/>
    <w:rsid w:val="008E4073"/>
    <w:rsid w:val="008E4915"/>
    <w:rsid w:val="008E5EF5"/>
    <w:rsid w:val="008E6222"/>
    <w:rsid w:val="008E7BAF"/>
    <w:rsid w:val="008F0CD1"/>
    <w:rsid w:val="008F1464"/>
    <w:rsid w:val="008F1887"/>
    <w:rsid w:val="008F60DD"/>
    <w:rsid w:val="00900419"/>
    <w:rsid w:val="00901BF5"/>
    <w:rsid w:val="00903486"/>
    <w:rsid w:val="00903DCD"/>
    <w:rsid w:val="00906E8A"/>
    <w:rsid w:val="009117C4"/>
    <w:rsid w:val="0091233D"/>
    <w:rsid w:val="009135CE"/>
    <w:rsid w:val="00913A46"/>
    <w:rsid w:val="00920ABA"/>
    <w:rsid w:val="00924172"/>
    <w:rsid w:val="009308D5"/>
    <w:rsid w:val="00941D13"/>
    <w:rsid w:val="00941F58"/>
    <w:rsid w:val="009423EA"/>
    <w:rsid w:val="00943640"/>
    <w:rsid w:val="00943A31"/>
    <w:rsid w:val="00944629"/>
    <w:rsid w:val="00944980"/>
    <w:rsid w:val="009458A1"/>
    <w:rsid w:val="00947395"/>
    <w:rsid w:val="0095077F"/>
    <w:rsid w:val="009515CD"/>
    <w:rsid w:val="00954A1A"/>
    <w:rsid w:val="00956D68"/>
    <w:rsid w:val="00960AD4"/>
    <w:rsid w:val="00961EE8"/>
    <w:rsid w:val="0096315A"/>
    <w:rsid w:val="00965207"/>
    <w:rsid w:val="00966D6D"/>
    <w:rsid w:val="00967CB1"/>
    <w:rsid w:val="009703CE"/>
    <w:rsid w:val="00973DEA"/>
    <w:rsid w:val="009757F7"/>
    <w:rsid w:val="0097609A"/>
    <w:rsid w:val="009761B3"/>
    <w:rsid w:val="00976D80"/>
    <w:rsid w:val="0098153B"/>
    <w:rsid w:val="00981CC9"/>
    <w:rsid w:val="009825EF"/>
    <w:rsid w:val="00987A8D"/>
    <w:rsid w:val="009900C6"/>
    <w:rsid w:val="0099027F"/>
    <w:rsid w:val="0099260E"/>
    <w:rsid w:val="00992FDE"/>
    <w:rsid w:val="00994A34"/>
    <w:rsid w:val="00994CAB"/>
    <w:rsid w:val="00996B61"/>
    <w:rsid w:val="00997AC5"/>
    <w:rsid w:val="00997BBF"/>
    <w:rsid w:val="009A0801"/>
    <w:rsid w:val="009A2252"/>
    <w:rsid w:val="009A2643"/>
    <w:rsid w:val="009A5898"/>
    <w:rsid w:val="009A7188"/>
    <w:rsid w:val="009A7866"/>
    <w:rsid w:val="009B10FF"/>
    <w:rsid w:val="009B20CE"/>
    <w:rsid w:val="009B2FCB"/>
    <w:rsid w:val="009B4111"/>
    <w:rsid w:val="009B58C5"/>
    <w:rsid w:val="009B5A58"/>
    <w:rsid w:val="009B692A"/>
    <w:rsid w:val="009C0091"/>
    <w:rsid w:val="009C07F4"/>
    <w:rsid w:val="009C0860"/>
    <w:rsid w:val="009C0CF2"/>
    <w:rsid w:val="009C0DAE"/>
    <w:rsid w:val="009C1B5F"/>
    <w:rsid w:val="009C1F5F"/>
    <w:rsid w:val="009C53D7"/>
    <w:rsid w:val="009C7FF3"/>
    <w:rsid w:val="009D0DB9"/>
    <w:rsid w:val="009D0F34"/>
    <w:rsid w:val="009D1633"/>
    <w:rsid w:val="009D3B85"/>
    <w:rsid w:val="009D48E2"/>
    <w:rsid w:val="009D6DB7"/>
    <w:rsid w:val="009D7BC7"/>
    <w:rsid w:val="009E43BC"/>
    <w:rsid w:val="009E7B75"/>
    <w:rsid w:val="009F245A"/>
    <w:rsid w:val="009F2FD2"/>
    <w:rsid w:val="009F457A"/>
    <w:rsid w:val="009F5B4E"/>
    <w:rsid w:val="00A001E0"/>
    <w:rsid w:val="00A0481F"/>
    <w:rsid w:val="00A07C45"/>
    <w:rsid w:val="00A10142"/>
    <w:rsid w:val="00A10D40"/>
    <w:rsid w:val="00A11538"/>
    <w:rsid w:val="00A13503"/>
    <w:rsid w:val="00A142FD"/>
    <w:rsid w:val="00A1497A"/>
    <w:rsid w:val="00A15F52"/>
    <w:rsid w:val="00A16809"/>
    <w:rsid w:val="00A20FA6"/>
    <w:rsid w:val="00A231DC"/>
    <w:rsid w:val="00A23A29"/>
    <w:rsid w:val="00A23DB3"/>
    <w:rsid w:val="00A25F1C"/>
    <w:rsid w:val="00A30190"/>
    <w:rsid w:val="00A3250F"/>
    <w:rsid w:val="00A340EF"/>
    <w:rsid w:val="00A3474F"/>
    <w:rsid w:val="00A34E31"/>
    <w:rsid w:val="00A35AAA"/>
    <w:rsid w:val="00A37516"/>
    <w:rsid w:val="00A416F8"/>
    <w:rsid w:val="00A429CD"/>
    <w:rsid w:val="00A44474"/>
    <w:rsid w:val="00A45619"/>
    <w:rsid w:val="00A52D37"/>
    <w:rsid w:val="00A53364"/>
    <w:rsid w:val="00A537C8"/>
    <w:rsid w:val="00A543DA"/>
    <w:rsid w:val="00A54F8D"/>
    <w:rsid w:val="00A5519E"/>
    <w:rsid w:val="00A60989"/>
    <w:rsid w:val="00A62613"/>
    <w:rsid w:val="00A63601"/>
    <w:rsid w:val="00A65220"/>
    <w:rsid w:val="00A66337"/>
    <w:rsid w:val="00A67E3C"/>
    <w:rsid w:val="00A7012A"/>
    <w:rsid w:val="00A708AD"/>
    <w:rsid w:val="00A7255F"/>
    <w:rsid w:val="00A74AD3"/>
    <w:rsid w:val="00A75C15"/>
    <w:rsid w:val="00A761C2"/>
    <w:rsid w:val="00A80185"/>
    <w:rsid w:val="00A8071A"/>
    <w:rsid w:val="00A807FF"/>
    <w:rsid w:val="00A80854"/>
    <w:rsid w:val="00A81275"/>
    <w:rsid w:val="00A82DC0"/>
    <w:rsid w:val="00A843F6"/>
    <w:rsid w:val="00A84B42"/>
    <w:rsid w:val="00A8710D"/>
    <w:rsid w:val="00A90DA3"/>
    <w:rsid w:val="00A94384"/>
    <w:rsid w:val="00A96B0F"/>
    <w:rsid w:val="00A97A06"/>
    <w:rsid w:val="00AA0B07"/>
    <w:rsid w:val="00AA73E8"/>
    <w:rsid w:val="00AA743F"/>
    <w:rsid w:val="00AB147C"/>
    <w:rsid w:val="00AB322C"/>
    <w:rsid w:val="00AB33B0"/>
    <w:rsid w:val="00AB3E42"/>
    <w:rsid w:val="00AB5CF2"/>
    <w:rsid w:val="00AB634F"/>
    <w:rsid w:val="00AC098F"/>
    <w:rsid w:val="00AC0D51"/>
    <w:rsid w:val="00AC2C1F"/>
    <w:rsid w:val="00AC4F1D"/>
    <w:rsid w:val="00AC5762"/>
    <w:rsid w:val="00AC6857"/>
    <w:rsid w:val="00AD0BB2"/>
    <w:rsid w:val="00AD31CC"/>
    <w:rsid w:val="00AD5668"/>
    <w:rsid w:val="00AD57F1"/>
    <w:rsid w:val="00AE0927"/>
    <w:rsid w:val="00AE1736"/>
    <w:rsid w:val="00AE22BD"/>
    <w:rsid w:val="00AE269C"/>
    <w:rsid w:val="00AE5056"/>
    <w:rsid w:val="00AE6318"/>
    <w:rsid w:val="00AE6B88"/>
    <w:rsid w:val="00AF0B15"/>
    <w:rsid w:val="00AF117D"/>
    <w:rsid w:val="00AF328A"/>
    <w:rsid w:val="00AF3814"/>
    <w:rsid w:val="00AF392D"/>
    <w:rsid w:val="00B01764"/>
    <w:rsid w:val="00B01F97"/>
    <w:rsid w:val="00B02CD7"/>
    <w:rsid w:val="00B04CDD"/>
    <w:rsid w:val="00B06C83"/>
    <w:rsid w:val="00B11353"/>
    <w:rsid w:val="00B12067"/>
    <w:rsid w:val="00B126A7"/>
    <w:rsid w:val="00B13654"/>
    <w:rsid w:val="00B138B7"/>
    <w:rsid w:val="00B165D8"/>
    <w:rsid w:val="00B206E7"/>
    <w:rsid w:val="00B21C5D"/>
    <w:rsid w:val="00B24742"/>
    <w:rsid w:val="00B2581B"/>
    <w:rsid w:val="00B25BEE"/>
    <w:rsid w:val="00B2694E"/>
    <w:rsid w:val="00B320A5"/>
    <w:rsid w:val="00B34F01"/>
    <w:rsid w:val="00B37831"/>
    <w:rsid w:val="00B41CE7"/>
    <w:rsid w:val="00B43897"/>
    <w:rsid w:val="00B46604"/>
    <w:rsid w:val="00B5163C"/>
    <w:rsid w:val="00B51EFE"/>
    <w:rsid w:val="00B5212A"/>
    <w:rsid w:val="00B52B7A"/>
    <w:rsid w:val="00B52D33"/>
    <w:rsid w:val="00B5517D"/>
    <w:rsid w:val="00B56411"/>
    <w:rsid w:val="00B65496"/>
    <w:rsid w:val="00B65511"/>
    <w:rsid w:val="00B673A9"/>
    <w:rsid w:val="00B676AB"/>
    <w:rsid w:val="00B71086"/>
    <w:rsid w:val="00B710C4"/>
    <w:rsid w:val="00B71463"/>
    <w:rsid w:val="00B71484"/>
    <w:rsid w:val="00B72437"/>
    <w:rsid w:val="00B7251A"/>
    <w:rsid w:val="00B72EA6"/>
    <w:rsid w:val="00B75541"/>
    <w:rsid w:val="00B75759"/>
    <w:rsid w:val="00B75941"/>
    <w:rsid w:val="00B763EE"/>
    <w:rsid w:val="00B76E9A"/>
    <w:rsid w:val="00B77008"/>
    <w:rsid w:val="00B775CD"/>
    <w:rsid w:val="00B813F5"/>
    <w:rsid w:val="00B82135"/>
    <w:rsid w:val="00B8277D"/>
    <w:rsid w:val="00B8339A"/>
    <w:rsid w:val="00B83673"/>
    <w:rsid w:val="00B83F25"/>
    <w:rsid w:val="00B87363"/>
    <w:rsid w:val="00B878BF"/>
    <w:rsid w:val="00B91AE1"/>
    <w:rsid w:val="00B9216B"/>
    <w:rsid w:val="00B92460"/>
    <w:rsid w:val="00B9315C"/>
    <w:rsid w:val="00B93544"/>
    <w:rsid w:val="00B93FBE"/>
    <w:rsid w:val="00B94BFD"/>
    <w:rsid w:val="00B9506B"/>
    <w:rsid w:val="00B97934"/>
    <w:rsid w:val="00B97A5C"/>
    <w:rsid w:val="00BA3C6F"/>
    <w:rsid w:val="00BA3F68"/>
    <w:rsid w:val="00BA68E8"/>
    <w:rsid w:val="00BA6B1D"/>
    <w:rsid w:val="00BB1DB3"/>
    <w:rsid w:val="00BB2973"/>
    <w:rsid w:val="00BB6755"/>
    <w:rsid w:val="00BB6E21"/>
    <w:rsid w:val="00BC0308"/>
    <w:rsid w:val="00BC21AB"/>
    <w:rsid w:val="00BC3634"/>
    <w:rsid w:val="00BC399C"/>
    <w:rsid w:val="00BC39C6"/>
    <w:rsid w:val="00BC4DD1"/>
    <w:rsid w:val="00BC7500"/>
    <w:rsid w:val="00BC791B"/>
    <w:rsid w:val="00BC7C1E"/>
    <w:rsid w:val="00BD1097"/>
    <w:rsid w:val="00BD6AA1"/>
    <w:rsid w:val="00BD70AA"/>
    <w:rsid w:val="00BD7139"/>
    <w:rsid w:val="00BE14FF"/>
    <w:rsid w:val="00BE1DF7"/>
    <w:rsid w:val="00BE2445"/>
    <w:rsid w:val="00BE3B8B"/>
    <w:rsid w:val="00BE4D4B"/>
    <w:rsid w:val="00BE5733"/>
    <w:rsid w:val="00BE5F95"/>
    <w:rsid w:val="00BE60D3"/>
    <w:rsid w:val="00BF2EAC"/>
    <w:rsid w:val="00BF402C"/>
    <w:rsid w:val="00BF6336"/>
    <w:rsid w:val="00BF7093"/>
    <w:rsid w:val="00BF7E09"/>
    <w:rsid w:val="00C00519"/>
    <w:rsid w:val="00C00916"/>
    <w:rsid w:val="00C01F38"/>
    <w:rsid w:val="00C044CC"/>
    <w:rsid w:val="00C0687E"/>
    <w:rsid w:val="00C10319"/>
    <w:rsid w:val="00C13D9C"/>
    <w:rsid w:val="00C26C39"/>
    <w:rsid w:val="00C26D59"/>
    <w:rsid w:val="00C27158"/>
    <w:rsid w:val="00C274B9"/>
    <w:rsid w:val="00C31876"/>
    <w:rsid w:val="00C33CF3"/>
    <w:rsid w:val="00C340EB"/>
    <w:rsid w:val="00C35680"/>
    <w:rsid w:val="00C369B4"/>
    <w:rsid w:val="00C37E4F"/>
    <w:rsid w:val="00C40567"/>
    <w:rsid w:val="00C41AEA"/>
    <w:rsid w:val="00C433AE"/>
    <w:rsid w:val="00C43C24"/>
    <w:rsid w:val="00C50A39"/>
    <w:rsid w:val="00C53A87"/>
    <w:rsid w:val="00C56766"/>
    <w:rsid w:val="00C62167"/>
    <w:rsid w:val="00C63453"/>
    <w:rsid w:val="00C6504E"/>
    <w:rsid w:val="00C65A0E"/>
    <w:rsid w:val="00C65D64"/>
    <w:rsid w:val="00C6643F"/>
    <w:rsid w:val="00C708FF"/>
    <w:rsid w:val="00C727AA"/>
    <w:rsid w:val="00C72D0E"/>
    <w:rsid w:val="00C73362"/>
    <w:rsid w:val="00C74BDB"/>
    <w:rsid w:val="00C74E73"/>
    <w:rsid w:val="00C75569"/>
    <w:rsid w:val="00C75BA2"/>
    <w:rsid w:val="00C76054"/>
    <w:rsid w:val="00C80A37"/>
    <w:rsid w:val="00C81D34"/>
    <w:rsid w:val="00C81E47"/>
    <w:rsid w:val="00C83113"/>
    <w:rsid w:val="00C832A9"/>
    <w:rsid w:val="00C8609C"/>
    <w:rsid w:val="00C9098A"/>
    <w:rsid w:val="00C90FBE"/>
    <w:rsid w:val="00C910CF"/>
    <w:rsid w:val="00C93E47"/>
    <w:rsid w:val="00C9428F"/>
    <w:rsid w:val="00C95C02"/>
    <w:rsid w:val="00C977FC"/>
    <w:rsid w:val="00CA0853"/>
    <w:rsid w:val="00CA0CC1"/>
    <w:rsid w:val="00CA265A"/>
    <w:rsid w:val="00CA4679"/>
    <w:rsid w:val="00CA65B7"/>
    <w:rsid w:val="00CA6A20"/>
    <w:rsid w:val="00CA731D"/>
    <w:rsid w:val="00CA784B"/>
    <w:rsid w:val="00CB03F7"/>
    <w:rsid w:val="00CB07D5"/>
    <w:rsid w:val="00CB2A12"/>
    <w:rsid w:val="00CB31A5"/>
    <w:rsid w:val="00CB3211"/>
    <w:rsid w:val="00CB3EE5"/>
    <w:rsid w:val="00CB3F5B"/>
    <w:rsid w:val="00CB4593"/>
    <w:rsid w:val="00CC06A3"/>
    <w:rsid w:val="00CC0C7D"/>
    <w:rsid w:val="00CC4930"/>
    <w:rsid w:val="00CC512D"/>
    <w:rsid w:val="00CC535A"/>
    <w:rsid w:val="00CC6084"/>
    <w:rsid w:val="00CC69C5"/>
    <w:rsid w:val="00CD0C22"/>
    <w:rsid w:val="00CD1982"/>
    <w:rsid w:val="00CD2C5A"/>
    <w:rsid w:val="00CD5646"/>
    <w:rsid w:val="00CD602A"/>
    <w:rsid w:val="00CD6056"/>
    <w:rsid w:val="00CD6B39"/>
    <w:rsid w:val="00CD6DCF"/>
    <w:rsid w:val="00CE3EA2"/>
    <w:rsid w:val="00CE4DE8"/>
    <w:rsid w:val="00CE50B9"/>
    <w:rsid w:val="00CE6349"/>
    <w:rsid w:val="00CE6956"/>
    <w:rsid w:val="00CF2121"/>
    <w:rsid w:val="00CF4B0A"/>
    <w:rsid w:val="00D02D15"/>
    <w:rsid w:val="00D02D25"/>
    <w:rsid w:val="00D04754"/>
    <w:rsid w:val="00D11823"/>
    <w:rsid w:val="00D13180"/>
    <w:rsid w:val="00D13DC4"/>
    <w:rsid w:val="00D1455D"/>
    <w:rsid w:val="00D160C7"/>
    <w:rsid w:val="00D21ACF"/>
    <w:rsid w:val="00D236D7"/>
    <w:rsid w:val="00D23838"/>
    <w:rsid w:val="00D24D71"/>
    <w:rsid w:val="00D25BA5"/>
    <w:rsid w:val="00D26758"/>
    <w:rsid w:val="00D2696D"/>
    <w:rsid w:val="00D37A02"/>
    <w:rsid w:val="00D41E92"/>
    <w:rsid w:val="00D4593A"/>
    <w:rsid w:val="00D45B71"/>
    <w:rsid w:val="00D45E1B"/>
    <w:rsid w:val="00D4600A"/>
    <w:rsid w:val="00D466D4"/>
    <w:rsid w:val="00D467FB"/>
    <w:rsid w:val="00D47ADD"/>
    <w:rsid w:val="00D51EF3"/>
    <w:rsid w:val="00D521EC"/>
    <w:rsid w:val="00D52B57"/>
    <w:rsid w:val="00D56E3B"/>
    <w:rsid w:val="00D61148"/>
    <w:rsid w:val="00D6226E"/>
    <w:rsid w:val="00D6319D"/>
    <w:rsid w:val="00D63CA5"/>
    <w:rsid w:val="00D647B1"/>
    <w:rsid w:val="00D65083"/>
    <w:rsid w:val="00D67AAE"/>
    <w:rsid w:val="00D71FD1"/>
    <w:rsid w:val="00D72173"/>
    <w:rsid w:val="00D72EFB"/>
    <w:rsid w:val="00D74DFF"/>
    <w:rsid w:val="00D74F61"/>
    <w:rsid w:val="00D75492"/>
    <w:rsid w:val="00D802ED"/>
    <w:rsid w:val="00D82028"/>
    <w:rsid w:val="00D840D8"/>
    <w:rsid w:val="00D842D8"/>
    <w:rsid w:val="00D86B91"/>
    <w:rsid w:val="00D8794B"/>
    <w:rsid w:val="00D906A8"/>
    <w:rsid w:val="00D91890"/>
    <w:rsid w:val="00D92530"/>
    <w:rsid w:val="00D96DAC"/>
    <w:rsid w:val="00DA037E"/>
    <w:rsid w:val="00DA08E5"/>
    <w:rsid w:val="00DA199C"/>
    <w:rsid w:val="00DA19B7"/>
    <w:rsid w:val="00DA4054"/>
    <w:rsid w:val="00DA4E3E"/>
    <w:rsid w:val="00DA6392"/>
    <w:rsid w:val="00DA6624"/>
    <w:rsid w:val="00DB4D2D"/>
    <w:rsid w:val="00DB568F"/>
    <w:rsid w:val="00DB5B25"/>
    <w:rsid w:val="00DB6662"/>
    <w:rsid w:val="00DC0840"/>
    <w:rsid w:val="00DC200A"/>
    <w:rsid w:val="00DC2B65"/>
    <w:rsid w:val="00DC3162"/>
    <w:rsid w:val="00DC3977"/>
    <w:rsid w:val="00DC3B89"/>
    <w:rsid w:val="00DC5A8C"/>
    <w:rsid w:val="00DC6155"/>
    <w:rsid w:val="00DC7F82"/>
    <w:rsid w:val="00DD0355"/>
    <w:rsid w:val="00DD0B98"/>
    <w:rsid w:val="00DD107F"/>
    <w:rsid w:val="00DD2298"/>
    <w:rsid w:val="00DE0724"/>
    <w:rsid w:val="00DE0DDB"/>
    <w:rsid w:val="00DE12CD"/>
    <w:rsid w:val="00DE16B5"/>
    <w:rsid w:val="00DE17DF"/>
    <w:rsid w:val="00DE44BA"/>
    <w:rsid w:val="00DE48E2"/>
    <w:rsid w:val="00DE7A65"/>
    <w:rsid w:val="00DF437D"/>
    <w:rsid w:val="00DF5597"/>
    <w:rsid w:val="00DF6B30"/>
    <w:rsid w:val="00DF6C7E"/>
    <w:rsid w:val="00DF6F70"/>
    <w:rsid w:val="00DF7483"/>
    <w:rsid w:val="00E01115"/>
    <w:rsid w:val="00E05176"/>
    <w:rsid w:val="00E05C68"/>
    <w:rsid w:val="00E06389"/>
    <w:rsid w:val="00E07E1A"/>
    <w:rsid w:val="00E07FF3"/>
    <w:rsid w:val="00E108AF"/>
    <w:rsid w:val="00E11BFD"/>
    <w:rsid w:val="00E146DD"/>
    <w:rsid w:val="00E14E02"/>
    <w:rsid w:val="00E153BE"/>
    <w:rsid w:val="00E1555D"/>
    <w:rsid w:val="00E16DA4"/>
    <w:rsid w:val="00E16FD4"/>
    <w:rsid w:val="00E22779"/>
    <w:rsid w:val="00E228B7"/>
    <w:rsid w:val="00E23106"/>
    <w:rsid w:val="00E25BBB"/>
    <w:rsid w:val="00E27B54"/>
    <w:rsid w:val="00E31ADD"/>
    <w:rsid w:val="00E331B3"/>
    <w:rsid w:val="00E3557D"/>
    <w:rsid w:val="00E363DD"/>
    <w:rsid w:val="00E36692"/>
    <w:rsid w:val="00E369DF"/>
    <w:rsid w:val="00E374FB"/>
    <w:rsid w:val="00E416DE"/>
    <w:rsid w:val="00E4329C"/>
    <w:rsid w:val="00E435D6"/>
    <w:rsid w:val="00E455D4"/>
    <w:rsid w:val="00E502DD"/>
    <w:rsid w:val="00E51EEC"/>
    <w:rsid w:val="00E52F95"/>
    <w:rsid w:val="00E54A11"/>
    <w:rsid w:val="00E54A3F"/>
    <w:rsid w:val="00E55AF9"/>
    <w:rsid w:val="00E57C98"/>
    <w:rsid w:val="00E609A8"/>
    <w:rsid w:val="00E618CD"/>
    <w:rsid w:val="00E61BDD"/>
    <w:rsid w:val="00E61D8B"/>
    <w:rsid w:val="00E63E7E"/>
    <w:rsid w:val="00E65138"/>
    <w:rsid w:val="00E65D8C"/>
    <w:rsid w:val="00E67BD2"/>
    <w:rsid w:val="00E719C3"/>
    <w:rsid w:val="00E72070"/>
    <w:rsid w:val="00E72840"/>
    <w:rsid w:val="00E73325"/>
    <w:rsid w:val="00E73889"/>
    <w:rsid w:val="00E73A9C"/>
    <w:rsid w:val="00E81BC7"/>
    <w:rsid w:val="00E8380F"/>
    <w:rsid w:val="00E9160F"/>
    <w:rsid w:val="00E956DC"/>
    <w:rsid w:val="00EA0CA8"/>
    <w:rsid w:val="00EA1D83"/>
    <w:rsid w:val="00EA580B"/>
    <w:rsid w:val="00EA6726"/>
    <w:rsid w:val="00EA69A9"/>
    <w:rsid w:val="00EA6A0F"/>
    <w:rsid w:val="00EB161A"/>
    <w:rsid w:val="00EB2BA7"/>
    <w:rsid w:val="00EB4C43"/>
    <w:rsid w:val="00EB4D69"/>
    <w:rsid w:val="00EB53A6"/>
    <w:rsid w:val="00EB5977"/>
    <w:rsid w:val="00EC0C7B"/>
    <w:rsid w:val="00EC3CCD"/>
    <w:rsid w:val="00EC4EEA"/>
    <w:rsid w:val="00EC5107"/>
    <w:rsid w:val="00EC6179"/>
    <w:rsid w:val="00ED141F"/>
    <w:rsid w:val="00ED25E4"/>
    <w:rsid w:val="00ED32C8"/>
    <w:rsid w:val="00ED4635"/>
    <w:rsid w:val="00ED59E2"/>
    <w:rsid w:val="00ED5D6F"/>
    <w:rsid w:val="00ED6B59"/>
    <w:rsid w:val="00ED6C26"/>
    <w:rsid w:val="00ED6F84"/>
    <w:rsid w:val="00ED7F66"/>
    <w:rsid w:val="00EE0F46"/>
    <w:rsid w:val="00EE169D"/>
    <w:rsid w:val="00EE37C6"/>
    <w:rsid w:val="00EE382F"/>
    <w:rsid w:val="00EE414B"/>
    <w:rsid w:val="00EE698E"/>
    <w:rsid w:val="00EF1104"/>
    <w:rsid w:val="00EF255B"/>
    <w:rsid w:val="00EF432A"/>
    <w:rsid w:val="00EF4B28"/>
    <w:rsid w:val="00EF7D97"/>
    <w:rsid w:val="00F00138"/>
    <w:rsid w:val="00F01054"/>
    <w:rsid w:val="00F02237"/>
    <w:rsid w:val="00F0292D"/>
    <w:rsid w:val="00F057D2"/>
    <w:rsid w:val="00F078B6"/>
    <w:rsid w:val="00F11D4E"/>
    <w:rsid w:val="00F13B44"/>
    <w:rsid w:val="00F148EC"/>
    <w:rsid w:val="00F14EF5"/>
    <w:rsid w:val="00F1606D"/>
    <w:rsid w:val="00F20A61"/>
    <w:rsid w:val="00F217E6"/>
    <w:rsid w:val="00F222A0"/>
    <w:rsid w:val="00F2286E"/>
    <w:rsid w:val="00F23836"/>
    <w:rsid w:val="00F25903"/>
    <w:rsid w:val="00F25A26"/>
    <w:rsid w:val="00F274B5"/>
    <w:rsid w:val="00F27BE4"/>
    <w:rsid w:val="00F30351"/>
    <w:rsid w:val="00F31255"/>
    <w:rsid w:val="00F33EF0"/>
    <w:rsid w:val="00F3649F"/>
    <w:rsid w:val="00F3665E"/>
    <w:rsid w:val="00F4168E"/>
    <w:rsid w:val="00F4341D"/>
    <w:rsid w:val="00F43444"/>
    <w:rsid w:val="00F44683"/>
    <w:rsid w:val="00F44836"/>
    <w:rsid w:val="00F4649A"/>
    <w:rsid w:val="00F46679"/>
    <w:rsid w:val="00F55678"/>
    <w:rsid w:val="00F561A1"/>
    <w:rsid w:val="00F57EBE"/>
    <w:rsid w:val="00F611D3"/>
    <w:rsid w:val="00F617C3"/>
    <w:rsid w:val="00F61DF5"/>
    <w:rsid w:val="00F63BD0"/>
    <w:rsid w:val="00F6567D"/>
    <w:rsid w:val="00F6574E"/>
    <w:rsid w:val="00F70F04"/>
    <w:rsid w:val="00F735E1"/>
    <w:rsid w:val="00F80461"/>
    <w:rsid w:val="00F805C1"/>
    <w:rsid w:val="00F829A3"/>
    <w:rsid w:val="00F84C46"/>
    <w:rsid w:val="00F85012"/>
    <w:rsid w:val="00F85FBE"/>
    <w:rsid w:val="00F92E12"/>
    <w:rsid w:val="00F935F7"/>
    <w:rsid w:val="00F940AB"/>
    <w:rsid w:val="00F974AF"/>
    <w:rsid w:val="00F97CD2"/>
    <w:rsid w:val="00FA2848"/>
    <w:rsid w:val="00FA4535"/>
    <w:rsid w:val="00FA5551"/>
    <w:rsid w:val="00FA5A20"/>
    <w:rsid w:val="00FB17A0"/>
    <w:rsid w:val="00FB307A"/>
    <w:rsid w:val="00FB3D3B"/>
    <w:rsid w:val="00FB5D79"/>
    <w:rsid w:val="00FB6883"/>
    <w:rsid w:val="00FB77B9"/>
    <w:rsid w:val="00FC3231"/>
    <w:rsid w:val="00FC34B4"/>
    <w:rsid w:val="00FC38DD"/>
    <w:rsid w:val="00FC5C1A"/>
    <w:rsid w:val="00FC608C"/>
    <w:rsid w:val="00FC620B"/>
    <w:rsid w:val="00FC6D8A"/>
    <w:rsid w:val="00FC6FB7"/>
    <w:rsid w:val="00FC70C9"/>
    <w:rsid w:val="00FD615B"/>
    <w:rsid w:val="00FD7B9B"/>
    <w:rsid w:val="00FE01CD"/>
    <w:rsid w:val="00FE05F1"/>
    <w:rsid w:val="00FE0902"/>
    <w:rsid w:val="00FE3600"/>
    <w:rsid w:val="00FE3C33"/>
    <w:rsid w:val="00FE3CD8"/>
    <w:rsid w:val="00FE7C22"/>
    <w:rsid w:val="00FF015C"/>
    <w:rsid w:val="00FF0F7B"/>
    <w:rsid w:val="00FF28AB"/>
    <w:rsid w:val="00FF4C40"/>
    <w:rsid w:val="00FF5495"/>
    <w:rsid w:val="00FF5CE4"/>
    <w:rsid w:val="00FF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3A21"/>
  <w15:chartTrackingRefBased/>
  <w15:docId w15:val="{29037E15-31C1-4806-A72F-C17FD3E2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09"/>
    <w:rPr>
      <w:lang w:val="en-GB"/>
    </w:rPr>
  </w:style>
  <w:style w:type="paragraph" w:styleId="Heading1">
    <w:name w:val="heading 1"/>
    <w:basedOn w:val="Normal"/>
    <w:next w:val="Normal"/>
    <w:link w:val="Heading1Char"/>
    <w:uiPriority w:val="9"/>
    <w:qFormat/>
    <w:rsid w:val="000A37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C750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2FD2"/>
    <w:rPr>
      <w:sz w:val="16"/>
      <w:szCs w:val="16"/>
    </w:rPr>
  </w:style>
  <w:style w:type="paragraph" w:styleId="CommentText">
    <w:name w:val="annotation text"/>
    <w:basedOn w:val="Normal"/>
    <w:link w:val="CommentTextChar"/>
    <w:uiPriority w:val="99"/>
    <w:unhideWhenUsed/>
    <w:rsid w:val="009F2FD2"/>
    <w:pPr>
      <w:spacing w:line="240" w:lineRule="auto"/>
    </w:pPr>
    <w:rPr>
      <w:sz w:val="20"/>
      <w:szCs w:val="20"/>
    </w:rPr>
  </w:style>
  <w:style w:type="character" w:customStyle="1" w:styleId="CommentTextChar">
    <w:name w:val="Comment Text Char"/>
    <w:basedOn w:val="DefaultParagraphFont"/>
    <w:link w:val="CommentText"/>
    <w:uiPriority w:val="99"/>
    <w:rsid w:val="009F2FD2"/>
    <w:rPr>
      <w:sz w:val="20"/>
      <w:szCs w:val="20"/>
      <w:lang w:val="en-GB"/>
    </w:rPr>
  </w:style>
  <w:style w:type="paragraph" w:styleId="CommentSubject">
    <w:name w:val="annotation subject"/>
    <w:basedOn w:val="CommentText"/>
    <w:next w:val="CommentText"/>
    <w:link w:val="CommentSubjectChar"/>
    <w:uiPriority w:val="99"/>
    <w:semiHidden/>
    <w:unhideWhenUsed/>
    <w:rsid w:val="009F2FD2"/>
    <w:rPr>
      <w:b/>
      <w:bCs/>
    </w:rPr>
  </w:style>
  <w:style w:type="character" w:customStyle="1" w:styleId="CommentSubjectChar">
    <w:name w:val="Comment Subject Char"/>
    <w:basedOn w:val="CommentTextChar"/>
    <w:link w:val="CommentSubject"/>
    <w:uiPriority w:val="99"/>
    <w:semiHidden/>
    <w:rsid w:val="009F2FD2"/>
    <w:rPr>
      <w:b/>
      <w:bCs/>
      <w:sz w:val="20"/>
      <w:szCs w:val="20"/>
      <w:lang w:val="en-GB"/>
    </w:rPr>
  </w:style>
  <w:style w:type="paragraph" w:styleId="BalloonText">
    <w:name w:val="Balloon Text"/>
    <w:basedOn w:val="Normal"/>
    <w:link w:val="BalloonTextChar"/>
    <w:uiPriority w:val="99"/>
    <w:semiHidden/>
    <w:unhideWhenUsed/>
    <w:rsid w:val="009F2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FD2"/>
    <w:rPr>
      <w:rFonts w:ascii="Segoe UI" w:hAnsi="Segoe UI" w:cs="Segoe UI"/>
      <w:sz w:val="18"/>
      <w:szCs w:val="18"/>
      <w:lang w:val="en-GB"/>
    </w:rPr>
  </w:style>
  <w:style w:type="paragraph" w:customStyle="1" w:styleId="m4187450244225006608msolistparagraph">
    <w:name w:val="m_4187450244225006608msolistparagraph"/>
    <w:basedOn w:val="Normal"/>
    <w:rsid w:val="009900C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2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4C44"/>
    <w:rPr>
      <w:rFonts w:ascii="Courier New" w:eastAsia="Times New Roman" w:hAnsi="Courier New" w:cs="Courier New"/>
      <w:sz w:val="20"/>
      <w:szCs w:val="20"/>
    </w:rPr>
  </w:style>
  <w:style w:type="character" w:styleId="Hyperlink">
    <w:name w:val="Hyperlink"/>
    <w:basedOn w:val="DefaultParagraphFont"/>
    <w:uiPriority w:val="99"/>
    <w:unhideWhenUsed/>
    <w:rsid w:val="00D96DAC"/>
    <w:rPr>
      <w:color w:val="0000FF"/>
      <w:u w:val="single"/>
    </w:rPr>
  </w:style>
  <w:style w:type="paragraph" w:styleId="Revision">
    <w:name w:val="Revision"/>
    <w:hidden/>
    <w:uiPriority w:val="99"/>
    <w:semiHidden/>
    <w:rsid w:val="00770393"/>
    <w:pPr>
      <w:spacing w:after="0" w:line="240" w:lineRule="auto"/>
    </w:pPr>
    <w:rPr>
      <w:lang w:val="en-GB"/>
    </w:rPr>
  </w:style>
  <w:style w:type="character" w:customStyle="1" w:styleId="UnresolvedMention1">
    <w:name w:val="Unresolved Mention1"/>
    <w:basedOn w:val="DefaultParagraphFont"/>
    <w:uiPriority w:val="99"/>
    <w:semiHidden/>
    <w:unhideWhenUsed/>
    <w:rsid w:val="00684816"/>
    <w:rPr>
      <w:color w:val="605E5C"/>
      <w:shd w:val="clear" w:color="auto" w:fill="E1DFDD"/>
    </w:rPr>
  </w:style>
  <w:style w:type="paragraph" w:styleId="ListParagraph">
    <w:name w:val="List Paragraph"/>
    <w:basedOn w:val="Normal"/>
    <w:uiPriority w:val="34"/>
    <w:qFormat/>
    <w:rsid w:val="00527774"/>
    <w:pPr>
      <w:ind w:left="720"/>
      <w:contextualSpacing/>
    </w:pPr>
  </w:style>
  <w:style w:type="paragraph" w:styleId="Header">
    <w:name w:val="header"/>
    <w:basedOn w:val="Normal"/>
    <w:link w:val="HeaderChar"/>
    <w:uiPriority w:val="99"/>
    <w:unhideWhenUsed/>
    <w:rsid w:val="00023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FE"/>
    <w:rPr>
      <w:lang w:val="en-GB"/>
    </w:rPr>
  </w:style>
  <w:style w:type="paragraph" w:styleId="Footer">
    <w:name w:val="footer"/>
    <w:basedOn w:val="Normal"/>
    <w:link w:val="FooterChar"/>
    <w:uiPriority w:val="99"/>
    <w:unhideWhenUsed/>
    <w:rsid w:val="00023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FE"/>
    <w:rPr>
      <w:lang w:val="en-GB"/>
    </w:rPr>
  </w:style>
  <w:style w:type="character" w:customStyle="1" w:styleId="Heading1Char">
    <w:name w:val="Heading 1 Char"/>
    <w:basedOn w:val="DefaultParagraphFont"/>
    <w:link w:val="Heading1"/>
    <w:uiPriority w:val="9"/>
    <w:rsid w:val="000A378E"/>
    <w:rPr>
      <w:rFonts w:asciiTheme="majorHAnsi" w:eastAsiaTheme="majorEastAsia" w:hAnsiTheme="majorHAnsi" w:cstheme="majorBidi"/>
      <w:color w:val="2E74B5" w:themeColor="accent1" w:themeShade="BF"/>
      <w:sz w:val="32"/>
      <w:szCs w:val="32"/>
      <w:lang w:val="en-GB"/>
    </w:rPr>
  </w:style>
  <w:style w:type="paragraph" w:styleId="NoSpacing">
    <w:name w:val="No Spacing"/>
    <w:uiPriority w:val="1"/>
    <w:qFormat/>
    <w:rsid w:val="003930D3"/>
    <w:pPr>
      <w:spacing w:after="0" w:line="240" w:lineRule="auto"/>
    </w:pPr>
    <w:rPr>
      <w:lang w:val="en-GB"/>
    </w:rPr>
  </w:style>
  <w:style w:type="character" w:styleId="PageNumber">
    <w:name w:val="page number"/>
    <w:basedOn w:val="DefaultParagraphFont"/>
    <w:uiPriority w:val="99"/>
    <w:semiHidden/>
    <w:unhideWhenUsed/>
    <w:rsid w:val="00824D0A"/>
  </w:style>
  <w:style w:type="character" w:styleId="FollowedHyperlink">
    <w:name w:val="FollowedHyperlink"/>
    <w:basedOn w:val="DefaultParagraphFont"/>
    <w:uiPriority w:val="99"/>
    <w:semiHidden/>
    <w:unhideWhenUsed/>
    <w:rsid w:val="00534081"/>
    <w:rPr>
      <w:color w:val="954F72" w:themeColor="followedHyperlink"/>
      <w:u w:val="single"/>
    </w:rPr>
  </w:style>
  <w:style w:type="character" w:styleId="UnresolvedMention">
    <w:name w:val="Unresolved Mention"/>
    <w:basedOn w:val="DefaultParagraphFont"/>
    <w:uiPriority w:val="99"/>
    <w:semiHidden/>
    <w:unhideWhenUsed/>
    <w:rsid w:val="00AC098F"/>
    <w:rPr>
      <w:color w:val="605E5C"/>
      <w:shd w:val="clear" w:color="auto" w:fill="E1DFDD"/>
    </w:rPr>
  </w:style>
  <w:style w:type="paragraph" w:styleId="Bibliography">
    <w:name w:val="Bibliography"/>
    <w:basedOn w:val="Normal"/>
    <w:next w:val="Normal"/>
    <w:uiPriority w:val="37"/>
    <w:unhideWhenUsed/>
    <w:rsid w:val="00C9428F"/>
    <w:pPr>
      <w:tabs>
        <w:tab w:val="left" w:pos="624"/>
      </w:tabs>
      <w:spacing w:after="240" w:line="240" w:lineRule="auto"/>
      <w:ind w:left="624" w:hanging="624"/>
    </w:pPr>
  </w:style>
  <w:style w:type="character" w:styleId="PlaceholderText">
    <w:name w:val="Placeholder Text"/>
    <w:basedOn w:val="DefaultParagraphFont"/>
    <w:uiPriority w:val="99"/>
    <w:semiHidden/>
    <w:rsid w:val="006653C0"/>
    <w:rPr>
      <w:color w:val="808080"/>
    </w:rPr>
  </w:style>
  <w:style w:type="character" w:customStyle="1" w:styleId="Heading4Char">
    <w:name w:val="Heading 4 Char"/>
    <w:basedOn w:val="DefaultParagraphFont"/>
    <w:link w:val="Heading4"/>
    <w:uiPriority w:val="9"/>
    <w:rsid w:val="00BC75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75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14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6273">
      <w:bodyDiv w:val="1"/>
      <w:marLeft w:val="0"/>
      <w:marRight w:val="0"/>
      <w:marTop w:val="0"/>
      <w:marBottom w:val="0"/>
      <w:divBdr>
        <w:top w:val="none" w:sz="0" w:space="0" w:color="auto"/>
        <w:left w:val="none" w:sz="0" w:space="0" w:color="auto"/>
        <w:bottom w:val="none" w:sz="0" w:space="0" w:color="auto"/>
        <w:right w:val="none" w:sz="0" w:space="0" w:color="auto"/>
      </w:divBdr>
    </w:div>
    <w:div w:id="292953161">
      <w:bodyDiv w:val="1"/>
      <w:marLeft w:val="0"/>
      <w:marRight w:val="0"/>
      <w:marTop w:val="0"/>
      <w:marBottom w:val="0"/>
      <w:divBdr>
        <w:top w:val="none" w:sz="0" w:space="0" w:color="auto"/>
        <w:left w:val="none" w:sz="0" w:space="0" w:color="auto"/>
        <w:bottom w:val="none" w:sz="0" w:space="0" w:color="auto"/>
        <w:right w:val="none" w:sz="0" w:space="0" w:color="auto"/>
      </w:divBdr>
    </w:div>
    <w:div w:id="359475377">
      <w:bodyDiv w:val="1"/>
      <w:marLeft w:val="0"/>
      <w:marRight w:val="0"/>
      <w:marTop w:val="0"/>
      <w:marBottom w:val="0"/>
      <w:divBdr>
        <w:top w:val="none" w:sz="0" w:space="0" w:color="auto"/>
        <w:left w:val="none" w:sz="0" w:space="0" w:color="auto"/>
        <w:bottom w:val="none" w:sz="0" w:space="0" w:color="auto"/>
        <w:right w:val="none" w:sz="0" w:space="0" w:color="auto"/>
      </w:divBdr>
    </w:div>
    <w:div w:id="398602542">
      <w:bodyDiv w:val="1"/>
      <w:marLeft w:val="0"/>
      <w:marRight w:val="0"/>
      <w:marTop w:val="0"/>
      <w:marBottom w:val="0"/>
      <w:divBdr>
        <w:top w:val="none" w:sz="0" w:space="0" w:color="auto"/>
        <w:left w:val="none" w:sz="0" w:space="0" w:color="auto"/>
        <w:bottom w:val="none" w:sz="0" w:space="0" w:color="auto"/>
        <w:right w:val="none" w:sz="0" w:space="0" w:color="auto"/>
      </w:divBdr>
    </w:div>
    <w:div w:id="429741669">
      <w:bodyDiv w:val="1"/>
      <w:marLeft w:val="0"/>
      <w:marRight w:val="0"/>
      <w:marTop w:val="0"/>
      <w:marBottom w:val="0"/>
      <w:divBdr>
        <w:top w:val="none" w:sz="0" w:space="0" w:color="auto"/>
        <w:left w:val="none" w:sz="0" w:space="0" w:color="auto"/>
        <w:bottom w:val="none" w:sz="0" w:space="0" w:color="auto"/>
        <w:right w:val="none" w:sz="0" w:space="0" w:color="auto"/>
      </w:divBdr>
      <w:divsChild>
        <w:div w:id="645858325">
          <w:marLeft w:val="0"/>
          <w:marRight w:val="0"/>
          <w:marTop w:val="0"/>
          <w:marBottom w:val="0"/>
          <w:divBdr>
            <w:top w:val="none" w:sz="0" w:space="0" w:color="auto"/>
            <w:left w:val="none" w:sz="0" w:space="0" w:color="auto"/>
            <w:bottom w:val="none" w:sz="0" w:space="0" w:color="auto"/>
            <w:right w:val="none" w:sz="0" w:space="0" w:color="auto"/>
          </w:divBdr>
          <w:divsChild>
            <w:div w:id="2085951480">
              <w:marLeft w:val="0"/>
              <w:marRight w:val="0"/>
              <w:marTop w:val="0"/>
              <w:marBottom w:val="0"/>
              <w:divBdr>
                <w:top w:val="none" w:sz="0" w:space="0" w:color="auto"/>
                <w:left w:val="none" w:sz="0" w:space="0" w:color="auto"/>
                <w:bottom w:val="none" w:sz="0" w:space="0" w:color="auto"/>
                <w:right w:val="none" w:sz="0" w:space="0" w:color="auto"/>
              </w:divBdr>
              <w:divsChild>
                <w:div w:id="11332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7873">
      <w:bodyDiv w:val="1"/>
      <w:marLeft w:val="0"/>
      <w:marRight w:val="0"/>
      <w:marTop w:val="0"/>
      <w:marBottom w:val="0"/>
      <w:divBdr>
        <w:top w:val="none" w:sz="0" w:space="0" w:color="auto"/>
        <w:left w:val="none" w:sz="0" w:space="0" w:color="auto"/>
        <w:bottom w:val="none" w:sz="0" w:space="0" w:color="auto"/>
        <w:right w:val="none" w:sz="0" w:space="0" w:color="auto"/>
      </w:divBdr>
    </w:div>
    <w:div w:id="1026978590">
      <w:bodyDiv w:val="1"/>
      <w:marLeft w:val="0"/>
      <w:marRight w:val="0"/>
      <w:marTop w:val="0"/>
      <w:marBottom w:val="0"/>
      <w:divBdr>
        <w:top w:val="none" w:sz="0" w:space="0" w:color="auto"/>
        <w:left w:val="none" w:sz="0" w:space="0" w:color="auto"/>
        <w:bottom w:val="none" w:sz="0" w:space="0" w:color="auto"/>
        <w:right w:val="none" w:sz="0" w:space="0" w:color="auto"/>
      </w:divBdr>
    </w:div>
    <w:div w:id="1056703581">
      <w:bodyDiv w:val="1"/>
      <w:marLeft w:val="0"/>
      <w:marRight w:val="0"/>
      <w:marTop w:val="0"/>
      <w:marBottom w:val="0"/>
      <w:divBdr>
        <w:top w:val="none" w:sz="0" w:space="0" w:color="auto"/>
        <w:left w:val="none" w:sz="0" w:space="0" w:color="auto"/>
        <w:bottom w:val="none" w:sz="0" w:space="0" w:color="auto"/>
        <w:right w:val="none" w:sz="0" w:space="0" w:color="auto"/>
      </w:divBdr>
    </w:div>
    <w:div w:id="1097483294">
      <w:bodyDiv w:val="1"/>
      <w:marLeft w:val="0"/>
      <w:marRight w:val="0"/>
      <w:marTop w:val="0"/>
      <w:marBottom w:val="0"/>
      <w:divBdr>
        <w:top w:val="none" w:sz="0" w:space="0" w:color="auto"/>
        <w:left w:val="none" w:sz="0" w:space="0" w:color="auto"/>
        <w:bottom w:val="none" w:sz="0" w:space="0" w:color="auto"/>
        <w:right w:val="none" w:sz="0" w:space="0" w:color="auto"/>
      </w:divBdr>
      <w:divsChild>
        <w:div w:id="1765032593">
          <w:marLeft w:val="0"/>
          <w:marRight w:val="0"/>
          <w:marTop w:val="0"/>
          <w:marBottom w:val="0"/>
          <w:divBdr>
            <w:top w:val="none" w:sz="0" w:space="0" w:color="auto"/>
            <w:left w:val="none" w:sz="0" w:space="0" w:color="auto"/>
            <w:bottom w:val="none" w:sz="0" w:space="0" w:color="auto"/>
            <w:right w:val="none" w:sz="0" w:space="0" w:color="auto"/>
          </w:divBdr>
        </w:div>
      </w:divsChild>
    </w:div>
    <w:div w:id="1130248259">
      <w:bodyDiv w:val="1"/>
      <w:marLeft w:val="0"/>
      <w:marRight w:val="0"/>
      <w:marTop w:val="0"/>
      <w:marBottom w:val="0"/>
      <w:divBdr>
        <w:top w:val="none" w:sz="0" w:space="0" w:color="auto"/>
        <w:left w:val="none" w:sz="0" w:space="0" w:color="auto"/>
        <w:bottom w:val="none" w:sz="0" w:space="0" w:color="auto"/>
        <w:right w:val="none" w:sz="0" w:space="0" w:color="auto"/>
      </w:divBdr>
    </w:div>
    <w:div w:id="1131165133">
      <w:bodyDiv w:val="1"/>
      <w:marLeft w:val="0"/>
      <w:marRight w:val="0"/>
      <w:marTop w:val="0"/>
      <w:marBottom w:val="0"/>
      <w:divBdr>
        <w:top w:val="none" w:sz="0" w:space="0" w:color="auto"/>
        <w:left w:val="none" w:sz="0" w:space="0" w:color="auto"/>
        <w:bottom w:val="none" w:sz="0" w:space="0" w:color="auto"/>
        <w:right w:val="none" w:sz="0" w:space="0" w:color="auto"/>
      </w:divBdr>
    </w:div>
    <w:div w:id="1168442745">
      <w:bodyDiv w:val="1"/>
      <w:marLeft w:val="0"/>
      <w:marRight w:val="0"/>
      <w:marTop w:val="0"/>
      <w:marBottom w:val="0"/>
      <w:divBdr>
        <w:top w:val="none" w:sz="0" w:space="0" w:color="auto"/>
        <w:left w:val="none" w:sz="0" w:space="0" w:color="auto"/>
        <w:bottom w:val="none" w:sz="0" w:space="0" w:color="auto"/>
        <w:right w:val="none" w:sz="0" w:space="0" w:color="auto"/>
      </w:divBdr>
      <w:divsChild>
        <w:div w:id="1838426360">
          <w:marLeft w:val="0"/>
          <w:marRight w:val="0"/>
          <w:marTop w:val="0"/>
          <w:marBottom w:val="0"/>
          <w:divBdr>
            <w:top w:val="none" w:sz="0" w:space="0" w:color="auto"/>
            <w:left w:val="none" w:sz="0" w:space="0" w:color="auto"/>
            <w:bottom w:val="none" w:sz="0" w:space="0" w:color="auto"/>
            <w:right w:val="none" w:sz="0" w:space="0" w:color="auto"/>
          </w:divBdr>
          <w:divsChild>
            <w:div w:id="565579303">
              <w:marLeft w:val="0"/>
              <w:marRight w:val="0"/>
              <w:marTop w:val="0"/>
              <w:marBottom w:val="0"/>
              <w:divBdr>
                <w:top w:val="none" w:sz="0" w:space="0" w:color="auto"/>
                <w:left w:val="none" w:sz="0" w:space="0" w:color="auto"/>
                <w:bottom w:val="none" w:sz="0" w:space="0" w:color="auto"/>
                <w:right w:val="none" w:sz="0" w:space="0" w:color="auto"/>
              </w:divBdr>
              <w:divsChild>
                <w:div w:id="15233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911">
      <w:bodyDiv w:val="1"/>
      <w:marLeft w:val="0"/>
      <w:marRight w:val="0"/>
      <w:marTop w:val="0"/>
      <w:marBottom w:val="0"/>
      <w:divBdr>
        <w:top w:val="none" w:sz="0" w:space="0" w:color="auto"/>
        <w:left w:val="none" w:sz="0" w:space="0" w:color="auto"/>
        <w:bottom w:val="none" w:sz="0" w:space="0" w:color="auto"/>
        <w:right w:val="none" w:sz="0" w:space="0" w:color="auto"/>
      </w:divBdr>
    </w:div>
    <w:div w:id="1292203408">
      <w:bodyDiv w:val="1"/>
      <w:marLeft w:val="0"/>
      <w:marRight w:val="0"/>
      <w:marTop w:val="0"/>
      <w:marBottom w:val="0"/>
      <w:divBdr>
        <w:top w:val="none" w:sz="0" w:space="0" w:color="auto"/>
        <w:left w:val="none" w:sz="0" w:space="0" w:color="auto"/>
        <w:bottom w:val="none" w:sz="0" w:space="0" w:color="auto"/>
        <w:right w:val="none" w:sz="0" w:space="0" w:color="auto"/>
      </w:divBdr>
    </w:div>
    <w:div w:id="1414425175">
      <w:bodyDiv w:val="1"/>
      <w:marLeft w:val="0"/>
      <w:marRight w:val="0"/>
      <w:marTop w:val="0"/>
      <w:marBottom w:val="0"/>
      <w:divBdr>
        <w:top w:val="none" w:sz="0" w:space="0" w:color="auto"/>
        <w:left w:val="none" w:sz="0" w:space="0" w:color="auto"/>
        <w:bottom w:val="none" w:sz="0" w:space="0" w:color="auto"/>
        <w:right w:val="none" w:sz="0" w:space="0" w:color="auto"/>
      </w:divBdr>
    </w:div>
    <w:div w:id="1557624630">
      <w:bodyDiv w:val="1"/>
      <w:marLeft w:val="0"/>
      <w:marRight w:val="0"/>
      <w:marTop w:val="0"/>
      <w:marBottom w:val="0"/>
      <w:divBdr>
        <w:top w:val="none" w:sz="0" w:space="0" w:color="auto"/>
        <w:left w:val="none" w:sz="0" w:space="0" w:color="auto"/>
        <w:bottom w:val="none" w:sz="0" w:space="0" w:color="auto"/>
        <w:right w:val="none" w:sz="0" w:space="0" w:color="auto"/>
      </w:divBdr>
    </w:div>
    <w:div w:id="1826315252">
      <w:bodyDiv w:val="1"/>
      <w:marLeft w:val="0"/>
      <w:marRight w:val="0"/>
      <w:marTop w:val="0"/>
      <w:marBottom w:val="0"/>
      <w:divBdr>
        <w:top w:val="none" w:sz="0" w:space="0" w:color="auto"/>
        <w:left w:val="none" w:sz="0" w:space="0" w:color="auto"/>
        <w:bottom w:val="none" w:sz="0" w:space="0" w:color="auto"/>
        <w:right w:val="none" w:sz="0" w:space="0" w:color="auto"/>
      </w:divBdr>
    </w:div>
    <w:div w:id="1897744327">
      <w:bodyDiv w:val="1"/>
      <w:marLeft w:val="0"/>
      <w:marRight w:val="0"/>
      <w:marTop w:val="0"/>
      <w:marBottom w:val="0"/>
      <w:divBdr>
        <w:top w:val="none" w:sz="0" w:space="0" w:color="auto"/>
        <w:left w:val="none" w:sz="0" w:space="0" w:color="auto"/>
        <w:bottom w:val="none" w:sz="0" w:space="0" w:color="auto"/>
        <w:right w:val="none" w:sz="0" w:space="0" w:color="auto"/>
      </w:divBdr>
    </w:div>
    <w:div w:id="20051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show/NCT0232737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Gloria%20Han\AppData\Roaming\Microsoft\Word\www.randomize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FCE2-FD44-408C-BD7E-C32EDD81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34293</Words>
  <Characters>195475</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Amanda L. S.</dc:creator>
  <cp:keywords/>
  <dc:description/>
  <cp:lastModifiedBy>Walker, Lynn</cp:lastModifiedBy>
  <cp:revision>2</cp:revision>
  <cp:lastPrinted>2021-01-21T16:29:00Z</cp:lastPrinted>
  <dcterms:created xsi:type="dcterms:W3CDTF">2021-01-26T15:58:00Z</dcterms:created>
  <dcterms:modified xsi:type="dcterms:W3CDTF">2021-01-26T15:58:00Z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id="izIpa57V"/&gt;&lt;style id="http://www.zotero.org/styles/pain" hasBibliography="1" bibliographyStyleHasBeenSet="1"/&gt;&lt;prefs&gt;&lt;pref name="fieldType" value="Field"/&gt;&lt;pref name="automaticJournalAbbreviation</vt:lpwstr>
  </property>
  <property fmtid="{D5CDD505-2E9C-101B-9397-08002B2CF9AE}" pid="3" name="ZOTERO_PREF_2">
    <vt:lpwstr>s" value="true"/&gt;&lt;pref name="delayCitationUpdates" value="true"/&gt;&lt;/prefs&gt;&lt;/data&gt;</vt:lpwstr>
  </property>
</Properties>
</file>