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E427FF" w14:textId="67AB8324" w:rsidR="0044225C" w:rsidRPr="00BF5A80" w:rsidRDefault="0044225C" w:rsidP="0044225C">
      <w:pPr>
        <w:pStyle w:val="Body"/>
        <w:rPr>
          <w:rFonts w:asciiTheme="minorHAnsi" w:hAnsiTheme="minorHAnsi"/>
          <w:b/>
          <w:bCs/>
          <w:color w:val="000000" w:themeColor="text1"/>
          <w:sz w:val="32"/>
          <w:szCs w:val="32"/>
        </w:rPr>
      </w:pPr>
      <w:r w:rsidRPr="00BF5A80">
        <w:rPr>
          <w:rFonts w:asciiTheme="minorHAnsi" w:hAnsiTheme="minorHAnsi"/>
          <w:b/>
          <w:bCs/>
          <w:color w:val="000000" w:themeColor="text1"/>
          <w:sz w:val="32"/>
          <w:szCs w:val="32"/>
        </w:rPr>
        <w:t>Case Study: Event</w:t>
      </w:r>
      <w:r w:rsidR="00AB5A65" w:rsidRPr="00BF5A80">
        <w:rPr>
          <w:rFonts w:asciiTheme="minorHAnsi" w:hAnsiTheme="minorHAnsi" w:cs="Cambria Math"/>
          <w:b/>
          <w:bCs/>
          <w:color w:val="000000" w:themeColor="text1"/>
          <w:sz w:val="32"/>
          <w:szCs w:val="32"/>
        </w:rPr>
        <w:t xml:space="preserve"> </w:t>
      </w:r>
      <w:r w:rsidRPr="00BF5A80">
        <w:rPr>
          <w:rFonts w:asciiTheme="minorHAnsi" w:hAnsiTheme="minorHAnsi"/>
          <w:b/>
          <w:bCs/>
          <w:color w:val="000000" w:themeColor="text1"/>
          <w:sz w:val="32"/>
          <w:szCs w:val="32"/>
        </w:rPr>
        <w:t>Driven Credit vs Systematic Global Macro (2015</w:t>
      </w:r>
      <w:r w:rsidR="00AD08CE">
        <w:rPr>
          <w:rFonts w:asciiTheme="minorHAnsi" w:hAnsiTheme="minorHAnsi"/>
          <w:b/>
          <w:bCs/>
          <w:color w:val="000000" w:themeColor="text1"/>
          <w:sz w:val="32"/>
          <w:szCs w:val="32"/>
        </w:rPr>
        <w:t>-</w:t>
      </w:r>
      <w:r w:rsidRPr="00BF5A80">
        <w:rPr>
          <w:rFonts w:asciiTheme="minorHAnsi" w:hAnsiTheme="minorHAnsi"/>
          <w:b/>
          <w:bCs/>
          <w:color w:val="000000" w:themeColor="text1"/>
          <w:sz w:val="32"/>
          <w:szCs w:val="32"/>
        </w:rPr>
        <w:t>2025)</w:t>
      </w:r>
    </w:p>
    <w:p w14:paraId="18B3BD8C" w14:textId="5B3AB950" w:rsidR="00394E7F" w:rsidRPr="00BF5A80" w:rsidRDefault="00000000" w:rsidP="0044225C">
      <w:pPr>
        <w:pStyle w:val="Body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F5A80">
        <w:rPr>
          <w:rFonts w:ascii="Times New Roman" w:hAnsi="Times New Roman" w:cs="Times New Roman"/>
          <w:color w:val="000000" w:themeColor="text1"/>
          <w:sz w:val="24"/>
          <w:szCs w:val="24"/>
        </w:rPr>
        <w:t>Scope: Hypothesis 1 (long‑term return)</w:t>
      </w:r>
      <w:r w:rsidR="008767DA" w:rsidRPr="00BF5A8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BF5A80">
        <w:rPr>
          <w:rFonts w:ascii="Times New Roman" w:hAnsi="Times New Roman" w:cs="Times New Roman"/>
          <w:color w:val="000000" w:themeColor="text1"/>
          <w:sz w:val="24"/>
          <w:szCs w:val="24"/>
        </w:rPr>
        <w:t>Hypothesis 2 (capital preservation)</w:t>
      </w:r>
      <w:r w:rsidR="008767DA" w:rsidRPr="00BF5A8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Diversification from Public Equities.</w:t>
      </w:r>
    </w:p>
    <w:p w14:paraId="427B5BFB" w14:textId="77777777" w:rsidR="00394E7F" w:rsidRPr="00BF5A80" w:rsidRDefault="00000000">
      <w:pPr>
        <w:rPr>
          <w:color w:val="000000" w:themeColor="text1"/>
        </w:rPr>
      </w:pPr>
      <w:r w:rsidRPr="00BF5A80">
        <w:rPr>
          <w:b/>
          <w:color w:val="000000" w:themeColor="text1"/>
          <w:sz w:val="26"/>
        </w:rPr>
        <w:t>Executive Summary</w:t>
      </w:r>
    </w:p>
    <w:p w14:paraId="3305A57C" w14:textId="5CF4DE6E" w:rsidR="00944D17" w:rsidRPr="00BF5A80" w:rsidRDefault="00944D17">
      <w:pPr>
        <w:pStyle w:val="Body"/>
        <w:rPr>
          <w:rFonts w:ascii="Times New Roman" w:hAnsi="Times New Roman" w:cs="Times New Roman"/>
          <w:color w:val="000000" w:themeColor="text1"/>
        </w:rPr>
      </w:pPr>
      <w:r w:rsidRPr="00BF5A80">
        <w:rPr>
          <w:rFonts w:ascii="Times New Roman" w:hAnsi="Times New Roman" w:cs="Times New Roman"/>
          <w:color w:val="000000" w:themeColor="text1"/>
        </w:rPr>
        <w:t>We evaluate two hedge funds using monthly data (2015-2025). Hypothesis 1 tests the ability to generate long‑term annualized returns at or above the high single digits (8%). Hypothesis 2 tests capital preservation via drawdown. Hypothesis 3 test diversification via correlation and diversification benefit</w:t>
      </w:r>
      <w:r w:rsidR="007C6127" w:rsidRPr="00BF5A80">
        <w:rPr>
          <w:rFonts w:ascii="Times New Roman" w:hAnsi="Times New Roman" w:cs="Times New Roman"/>
          <w:color w:val="000000" w:themeColor="text1"/>
        </w:rPr>
        <w:t>.</w:t>
      </w:r>
    </w:p>
    <w:p w14:paraId="118487E6" w14:textId="2CA62E27" w:rsidR="00394E7F" w:rsidRPr="00BF5A80" w:rsidRDefault="008767DA">
      <w:pPr>
        <w:pStyle w:val="Body"/>
        <w:rPr>
          <w:rFonts w:ascii="Times New Roman" w:hAnsi="Times New Roman" w:cs="Times New Roman"/>
          <w:color w:val="000000" w:themeColor="text1"/>
        </w:rPr>
      </w:pPr>
      <w:r w:rsidRPr="00BF5A80">
        <w:rPr>
          <w:rFonts w:ascii="Times New Roman" w:hAnsi="Times New Roman" w:cs="Times New Roman"/>
          <w:color w:val="000000" w:themeColor="text1"/>
        </w:rPr>
        <w:t xml:space="preserve">The </w:t>
      </w:r>
      <w:r w:rsidR="0010562A" w:rsidRPr="00BF5A80">
        <w:rPr>
          <w:rFonts w:ascii="Times New Roman" w:hAnsi="Times New Roman" w:cs="Times New Roman"/>
          <w:color w:val="000000" w:themeColor="text1"/>
        </w:rPr>
        <w:t xml:space="preserve">Systematic Global Macro </w:t>
      </w:r>
      <w:r w:rsidRPr="00BF5A80">
        <w:rPr>
          <w:rFonts w:ascii="Times New Roman" w:hAnsi="Times New Roman" w:cs="Times New Roman"/>
          <w:color w:val="000000" w:themeColor="text1"/>
        </w:rPr>
        <w:t xml:space="preserve">(Fund 1) delivers average rolling performance below the 8% hurdle and shows non‑trivial drawdowns. </w:t>
      </w:r>
      <w:r w:rsidR="00A23B3D" w:rsidRPr="00BF5A80">
        <w:rPr>
          <w:rFonts w:ascii="Times New Roman" w:hAnsi="Times New Roman" w:cs="Times New Roman"/>
          <w:color w:val="000000" w:themeColor="text1"/>
        </w:rPr>
        <w:t xml:space="preserve">The </w:t>
      </w:r>
      <w:r w:rsidR="0010562A">
        <w:rPr>
          <w:rFonts w:ascii="Times New Roman" w:hAnsi="Times New Roman" w:cs="Times New Roman"/>
          <w:color w:val="000000" w:themeColor="text1"/>
        </w:rPr>
        <w:t xml:space="preserve">Event Driven Credit </w:t>
      </w:r>
      <w:r w:rsidR="0010562A" w:rsidRPr="00BF5A80">
        <w:rPr>
          <w:rFonts w:ascii="Times New Roman" w:hAnsi="Times New Roman" w:cs="Times New Roman"/>
          <w:color w:val="000000" w:themeColor="text1"/>
        </w:rPr>
        <w:t>(</w:t>
      </w:r>
      <w:r w:rsidRPr="00BF5A80">
        <w:rPr>
          <w:rFonts w:ascii="Times New Roman" w:hAnsi="Times New Roman" w:cs="Times New Roman"/>
          <w:color w:val="000000" w:themeColor="text1"/>
        </w:rPr>
        <w:t>Fund 2) shows more frequent periods above the hurdle but remains cycle‑dependent. Overall, Fund 2 is closer to the long‑term return objective, while Fund 1 shows acceptable but imperfect downside discipline.</w:t>
      </w:r>
    </w:p>
    <w:p w14:paraId="245E429F" w14:textId="239E7336" w:rsidR="00394E7F" w:rsidRPr="00BF5A80" w:rsidRDefault="00000000">
      <w:pPr>
        <w:rPr>
          <w:color w:val="000000" w:themeColor="text1"/>
        </w:rPr>
      </w:pPr>
      <w:r w:rsidRPr="00BF5A80">
        <w:rPr>
          <w:b/>
          <w:color w:val="000000" w:themeColor="text1"/>
          <w:sz w:val="26"/>
        </w:rPr>
        <w:t>Data &amp; Methods</w:t>
      </w:r>
    </w:p>
    <w:p w14:paraId="1CA1F48A" w14:textId="236F8EBC" w:rsidR="00565C38" w:rsidRPr="00BF5A80" w:rsidRDefault="00565C38" w:rsidP="00565C38">
      <w:pPr>
        <w:pStyle w:val="Body"/>
        <w:rPr>
          <w:rFonts w:ascii="Times New Roman" w:hAnsi="Times New Roman" w:cs="Times New Roman"/>
          <w:color w:val="000000" w:themeColor="text1"/>
        </w:rPr>
      </w:pPr>
      <w:r w:rsidRPr="00BF5A80">
        <w:rPr>
          <w:rFonts w:ascii="Times New Roman" w:hAnsi="Times New Roman" w:cs="Times New Roman"/>
          <w:color w:val="000000" w:themeColor="text1"/>
        </w:rPr>
        <w:t>• Data: monthly total returns for both funds and S&amp;P 500, 2015</w:t>
      </w:r>
      <w:r w:rsidR="0044225C" w:rsidRPr="00BF5A80">
        <w:rPr>
          <w:rFonts w:ascii="Times New Roman" w:hAnsi="Times New Roman" w:cs="Times New Roman"/>
          <w:color w:val="000000" w:themeColor="text1"/>
        </w:rPr>
        <w:t>-</w:t>
      </w:r>
      <w:r w:rsidRPr="00BF5A80">
        <w:rPr>
          <w:rFonts w:ascii="Times New Roman" w:hAnsi="Times New Roman" w:cs="Times New Roman"/>
          <w:color w:val="000000" w:themeColor="text1"/>
        </w:rPr>
        <w:t>2025.</w:t>
      </w:r>
      <w:r w:rsidRPr="00BF5A80">
        <w:rPr>
          <w:rFonts w:ascii="Times New Roman" w:hAnsi="Times New Roman" w:cs="Times New Roman"/>
          <w:color w:val="000000" w:themeColor="text1"/>
        </w:rPr>
        <w:br/>
        <w:t>• Hypothesis 1: compute rolling 12‑month compounded return and annualize, compare to an 8% target line, summarize level and stability.</w:t>
      </w:r>
      <w:r w:rsidRPr="00BF5A80">
        <w:rPr>
          <w:rFonts w:ascii="Times New Roman" w:hAnsi="Times New Roman" w:cs="Times New Roman"/>
          <w:color w:val="000000" w:themeColor="text1"/>
        </w:rPr>
        <w:br/>
        <w:t xml:space="preserve">• Hypothesis 2: compute cumulative NAV, underwater (drawdown) series, Maximum Drawdown (MDD), Average Drawdown Duration (months), MAR ratio (ann. return / </w:t>
      </w:r>
      <w:r w:rsidR="000010E1" w:rsidRPr="00BF5A80">
        <w:rPr>
          <w:rFonts w:ascii="Times New Roman" w:hAnsi="Times New Roman" w:cs="Times New Roman"/>
          <w:color w:val="000000" w:themeColor="text1"/>
        </w:rPr>
        <w:t>|</w:t>
      </w:r>
      <w:r w:rsidRPr="00BF5A80">
        <w:rPr>
          <w:rFonts w:ascii="Times New Roman" w:hAnsi="Times New Roman" w:cs="Times New Roman"/>
          <w:color w:val="000000" w:themeColor="text1"/>
        </w:rPr>
        <w:t>MDD|), and Ulcer Index (root‑mean‑square drawdown).</w:t>
      </w:r>
      <w:r w:rsidRPr="00BF5A80">
        <w:rPr>
          <w:rFonts w:ascii="Times New Roman" w:hAnsi="Times New Roman" w:cs="Times New Roman"/>
          <w:color w:val="000000" w:themeColor="text1"/>
        </w:rPr>
        <w:br/>
        <w:t>• Hypothesis3: compute static correlation/Down Market Correlation, Diversification Benefit</w:t>
      </w:r>
    </w:p>
    <w:p w14:paraId="47DE5EC9" w14:textId="02E447F4" w:rsidR="00394E7F" w:rsidRPr="00BF5A80" w:rsidRDefault="00000000">
      <w:pPr>
        <w:rPr>
          <w:color w:val="000000" w:themeColor="text1"/>
        </w:rPr>
      </w:pPr>
      <w:r w:rsidRPr="00BF5A80">
        <w:rPr>
          <w:b/>
          <w:color w:val="000000" w:themeColor="text1"/>
          <w:sz w:val="26"/>
        </w:rPr>
        <w:t xml:space="preserve">Hypothesis </w:t>
      </w:r>
      <w:r w:rsidR="00D5086A" w:rsidRPr="00BF5A80">
        <w:rPr>
          <w:b/>
          <w:color w:val="000000" w:themeColor="text1"/>
          <w:sz w:val="26"/>
        </w:rPr>
        <w:t>1:</w:t>
      </w:r>
      <w:r w:rsidRPr="00BF5A80">
        <w:rPr>
          <w:b/>
          <w:color w:val="000000" w:themeColor="text1"/>
          <w:sz w:val="26"/>
        </w:rPr>
        <w:t xml:space="preserve"> Generate Lon</w:t>
      </w:r>
      <w:r w:rsidR="00FF1437" w:rsidRPr="00BF5A80">
        <w:rPr>
          <w:b/>
          <w:color w:val="000000" w:themeColor="text1"/>
          <w:sz w:val="26"/>
        </w:rPr>
        <w:t>g-</w:t>
      </w:r>
      <w:r w:rsidRPr="00BF5A80">
        <w:rPr>
          <w:b/>
          <w:color w:val="000000" w:themeColor="text1"/>
          <w:sz w:val="26"/>
        </w:rPr>
        <w:t xml:space="preserve">Term Annualized Returns </w:t>
      </w:r>
      <w:r w:rsidR="00C00F18" w:rsidRPr="00BF5A80">
        <w:rPr>
          <w:b/>
          <w:color w:val="000000" w:themeColor="text1"/>
          <w:sz w:val="26"/>
        </w:rPr>
        <w:t>&gt;</w:t>
      </w:r>
      <w:r w:rsidRPr="00BF5A80">
        <w:rPr>
          <w:b/>
          <w:color w:val="000000" w:themeColor="text1"/>
          <w:sz w:val="26"/>
        </w:rPr>
        <w:t xml:space="preserve"> High Single Digits</w:t>
      </w:r>
    </w:p>
    <w:p w14:paraId="322A40E4" w14:textId="4830987C" w:rsidR="003E223E" w:rsidRPr="003E223E" w:rsidRDefault="003E223E" w:rsidP="003E223E">
      <w:pPr>
        <w:rPr>
          <w:rFonts w:ascii="Calibri" w:eastAsia="Calibri" w:hAnsi="Calibri"/>
          <w:b/>
          <w:color w:val="000000" w:themeColor="text1"/>
        </w:rPr>
      </w:pPr>
      <w:r w:rsidRPr="003E223E">
        <w:rPr>
          <w:rFonts w:ascii="Calibri" w:eastAsia="Calibri" w:hAnsi="Calibri"/>
          <w:b/>
          <w:color w:val="000000" w:themeColor="text1"/>
        </w:rPr>
        <w:t>Fund 1: Systematic Global Macro</w:t>
      </w:r>
    </w:p>
    <w:p w14:paraId="1A083862" w14:textId="77777777" w:rsidR="003E223E" w:rsidRPr="003E223E" w:rsidRDefault="003E223E" w:rsidP="003E223E">
      <w:pPr>
        <w:rPr>
          <w:rFonts w:ascii="Calibri" w:eastAsia="Calibri" w:hAnsi="Calibri"/>
          <w:bCs/>
          <w:color w:val="000000" w:themeColor="text1"/>
        </w:rPr>
      </w:pPr>
      <w:r w:rsidRPr="003E223E">
        <w:rPr>
          <w:rFonts w:ascii="Calibri" w:eastAsia="Calibri" w:hAnsi="Calibri"/>
          <w:bCs/>
          <w:color w:val="000000" w:themeColor="text1"/>
        </w:rPr>
        <w:t>• Average annualized return (rolling 12-month): 5.44%.</w:t>
      </w:r>
    </w:p>
    <w:p w14:paraId="4E7DE011" w14:textId="0B56A6AA" w:rsidR="003E223E" w:rsidRPr="003E223E" w:rsidRDefault="003E223E" w:rsidP="003E223E">
      <w:pPr>
        <w:rPr>
          <w:rFonts w:ascii="Calibri" w:eastAsia="Calibri" w:hAnsi="Calibri"/>
          <w:bCs/>
          <w:color w:val="000000" w:themeColor="text1"/>
        </w:rPr>
      </w:pPr>
      <w:r w:rsidRPr="003E223E">
        <w:rPr>
          <w:rFonts w:ascii="Calibri" w:eastAsia="Calibri" w:hAnsi="Calibri"/>
          <w:bCs/>
          <w:color w:val="000000" w:themeColor="text1"/>
        </w:rPr>
        <w:t>• Rolling Sharpe Ratio fluctuated between 0 and 1.</w:t>
      </w:r>
    </w:p>
    <w:p w14:paraId="4E09C9B0" w14:textId="77777777" w:rsidR="003E223E" w:rsidRPr="003E223E" w:rsidRDefault="003E223E" w:rsidP="003E223E">
      <w:pPr>
        <w:rPr>
          <w:rFonts w:ascii="Calibri" w:eastAsia="Calibri" w:hAnsi="Calibri"/>
          <w:bCs/>
          <w:color w:val="000000" w:themeColor="text1"/>
        </w:rPr>
      </w:pPr>
      <w:r w:rsidRPr="003E223E">
        <w:rPr>
          <w:rFonts w:ascii="Calibri" w:eastAsia="Calibri" w:hAnsi="Calibri"/>
          <w:bCs/>
          <w:color w:val="000000" w:themeColor="text1"/>
        </w:rPr>
        <w:t>• Rolling volatility: 0.1298 (12.9%).</w:t>
      </w:r>
    </w:p>
    <w:p w14:paraId="688B32C9" w14:textId="77777777" w:rsidR="003E223E" w:rsidRPr="003E223E" w:rsidRDefault="003E223E" w:rsidP="003E223E">
      <w:pPr>
        <w:rPr>
          <w:rFonts w:ascii="Calibri" w:eastAsia="Calibri" w:hAnsi="Calibri"/>
          <w:bCs/>
          <w:color w:val="000000" w:themeColor="text1"/>
        </w:rPr>
      </w:pPr>
      <w:r w:rsidRPr="003E223E">
        <w:rPr>
          <w:rFonts w:ascii="Calibri" w:eastAsia="Calibri" w:hAnsi="Calibri"/>
          <w:bCs/>
          <w:color w:val="000000" w:themeColor="text1"/>
        </w:rPr>
        <w:t>• Performance spikes between 2019–2024 during trending macro regimes.</w:t>
      </w:r>
    </w:p>
    <w:p w14:paraId="3F283EA8" w14:textId="77777777" w:rsidR="003E223E" w:rsidRPr="003E223E" w:rsidRDefault="003E223E" w:rsidP="003E223E">
      <w:pPr>
        <w:rPr>
          <w:rFonts w:ascii="Calibri" w:eastAsia="Calibri" w:hAnsi="Calibri"/>
          <w:bCs/>
          <w:color w:val="000000" w:themeColor="text1"/>
        </w:rPr>
      </w:pPr>
      <w:r w:rsidRPr="003E223E">
        <w:rPr>
          <w:rFonts w:ascii="Calibri" w:eastAsia="Calibri" w:hAnsi="Calibri"/>
          <w:b/>
          <w:color w:val="000000" w:themeColor="text1"/>
        </w:rPr>
        <w:t>Interpretation:</w:t>
      </w:r>
      <w:r w:rsidRPr="003E223E">
        <w:rPr>
          <w:rFonts w:ascii="Calibri" w:eastAsia="Calibri" w:hAnsi="Calibri"/>
          <w:bCs/>
          <w:color w:val="000000" w:themeColor="text1"/>
        </w:rPr>
        <w:t xml:space="preserve"> The fund’s systematic signal engine performs well when dispersion is high but compresses when macro trends fade.</w:t>
      </w:r>
    </w:p>
    <w:p w14:paraId="05F8939E" w14:textId="77777777" w:rsidR="003E223E" w:rsidRPr="00427F97" w:rsidRDefault="003E223E" w:rsidP="003E223E">
      <w:pPr>
        <w:rPr>
          <w:rFonts w:ascii="Calibri" w:eastAsia="Calibri" w:hAnsi="Calibri"/>
          <w:b/>
          <w:color w:val="000000" w:themeColor="text1"/>
        </w:rPr>
      </w:pPr>
      <w:r w:rsidRPr="00427F97">
        <w:rPr>
          <w:rFonts w:ascii="Calibri" w:eastAsia="Calibri" w:hAnsi="Calibri"/>
          <w:b/>
          <w:color w:val="000000" w:themeColor="text1"/>
        </w:rPr>
        <w:t>Fund 2: Event-Driven Credit</w:t>
      </w:r>
    </w:p>
    <w:p w14:paraId="2C43CD0C" w14:textId="77777777" w:rsidR="003E223E" w:rsidRPr="003E223E" w:rsidRDefault="003E223E" w:rsidP="003E223E">
      <w:pPr>
        <w:rPr>
          <w:rFonts w:ascii="Calibri" w:eastAsia="Calibri" w:hAnsi="Calibri"/>
          <w:bCs/>
          <w:color w:val="000000" w:themeColor="text1"/>
        </w:rPr>
      </w:pPr>
      <w:r w:rsidRPr="003E223E">
        <w:rPr>
          <w:rFonts w:ascii="Calibri" w:eastAsia="Calibri" w:hAnsi="Calibri"/>
          <w:bCs/>
          <w:color w:val="000000" w:themeColor="text1"/>
        </w:rPr>
        <w:lastRenderedPageBreak/>
        <w:t>• Average annualized return (rolling 12-month): 9.61%.</w:t>
      </w:r>
    </w:p>
    <w:p w14:paraId="401E0520" w14:textId="77777777" w:rsidR="003E223E" w:rsidRPr="003E223E" w:rsidRDefault="003E223E" w:rsidP="003E223E">
      <w:pPr>
        <w:rPr>
          <w:rFonts w:ascii="Calibri" w:eastAsia="Calibri" w:hAnsi="Calibri"/>
          <w:bCs/>
          <w:color w:val="000000" w:themeColor="text1"/>
        </w:rPr>
      </w:pPr>
      <w:r w:rsidRPr="003E223E">
        <w:rPr>
          <w:rFonts w:ascii="Calibri" w:eastAsia="Calibri" w:hAnsi="Calibri"/>
          <w:bCs/>
          <w:color w:val="000000" w:themeColor="text1"/>
        </w:rPr>
        <w:t>• Rolling Sharpe Ratio consistently above Fund 1.</w:t>
      </w:r>
    </w:p>
    <w:p w14:paraId="5AB76634" w14:textId="77777777" w:rsidR="003E223E" w:rsidRPr="003E223E" w:rsidRDefault="003E223E" w:rsidP="003E223E">
      <w:pPr>
        <w:rPr>
          <w:rFonts w:ascii="Calibri" w:eastAsia="Calibri" w:hAnsi="Calibri"/>
          <w:bCs/>
          <w:color w:val="000000" w:themeColor="text1"/>
        </w:rPr>
      </w:pPr>
      <w:r w:rsidRPr="003E223E">
        <w:rPr>
          <w:rFonts w:ascii="Calibri" w:eastAsia="Calibri" w:hAnsi="Calibri"/>
          <w:bCs/>
          <w:color w:val="000000" w:themeColor="text1"/>
        </w:rPr>
        <w:t>• Rolling volatility: 0.0214 (2.1%).</w:t>
      </w:r>
    </w:p>
    <w:p w14:paraId="48D8C0F7" w14:textId="29FC25A0" w:rsidR="003E223E" w:rsidRPr="003E223E" w:rsidRDefault="003E223E" w:rsidP="003E223E">
      <w:pPr>
        <w:rPr>
          <w:rFonts w:ascii="Calibri" w:eastAsia="Calibri" w:hAnsi="Calibri"/>
          <w:bCs/>
          <w:color w:val="000000" w:themeColor="text1"/>
        </w:rPr>
      </w:pPr>
      <w:r w:rsidRPr="003E223E">
        <w:rPr>
          <w:rFonts w:ascii="Calibri" w:eastAsia="Calibri" w:hAnsi="Calibri"/>
          <w:b/>
          <w:color w:val="000000" w:themeColor="text1"/>
        </w:rPr>
        <w:t xml:space="preserve">Interpretation: </w:t>
      </w:r>
      <w:r w:rsidRPr="003E223E">
        <w:rPr>
          <w:rFonts w:ascii="Calibri" w:eastAsia="Calibri" w:hAnsi="Calibri"/>
          <w:bCs/>
          <w:color w:val="000000" w:themeColor="text1"/>
        </w:rPr>
        <w:t>The fund compounds steadily but depends on stable credit conditions and deal flow.</w:t>
      </w:r>
    </w:p>
    <w:p w14:paraId="131C1A92" w14:textId="77777777" w:rsidR="003E223E" w:rsidRPr="003E223E" w:rsidRDefault="003E223E" w:rsidP="003E223E">
      <w:pPr>
        <w:rPr>
          <w:rFonts w:ascii="Calibri" w:eastAsia="Calibri" w:hAnsi="Calibri"/>
          <w:bCs/>
          <w:color w:val="000000" w:themeColor="text1"/>
        </w:rPr>
      </w:pPr>
      <w:r w:rsidRPr="003E223E">
        <w:rPr>
          <w:rFonts w:ascii="Calibri" w:eastAsia="Calibri" w:hAnsi="Calibri"/>
          <w:b/>
          <w:color w:val="000000" w:themeColor="text1"/>
        </w:rPr>
        <w:t xml:space="preserve">Verdict: </w:t>
      </w:r>
      <w:r w:rsidRPr="003E223E">
        <w:rPr>
          <w:rFonts w:ascii="Calibri" w:eastAsia="Calibri" w:hAnsi="Calibri"/>
          <w:bCs/>
          <w:color w:val="000000" w:themeColor="text1"/>
        </w:rPr>
        <w:t>Fund 2 achieves higher long-term returns, but Fund 1 maintains stronger structural adaptability.</w:t>
      </w:r>
    </w:p>
    <w:p w14:paraId="3D5299FD" w14:textId="77777777" w:rsidR="003E223E" w:rsidRDefault="003E223E" w:rsidP="003E223E">
      <w:pPr>
        <w:rPr>
          <w:rFonts w:ascii="Calibri" w:eastAsia="Calibri" w:hAnsi="Calibri"/>
          <w:b/>
          <w:color w:val="000000" w:themeColor="text1"/>
        </w:rPr>
      </w:pPr>
    </w:p>
    <w:p w14:paraId="76A08F37" w14:textId="3833FBE0" w:rsidR="00394E7F" w:rsidRPr="00BF5A80" w:rsidRDefault="00000000" w:rsidP="003E223E">
      <w:pPr>
        <w:rPr>
          <w:color w:val="000000" w:themeColor="text1"/>
        </w:rPr>
      </w:pPr>
      <w:r w:rsidRPr="00BF5A80">
        <w:rPr>
          <w:b/>
          <w:color w:val="000000" w:themeColor="text1"/>
          <w:sz w:val="26"/>
        </w:rPr>
        <w:t>Hypothesis 2</w:t>
      </w:r>
      <w:r w:rsidR="008767DA" w:rsidRPr="00BF5A80">
        <w:rPr>
          <w:b/>
          <w:color w:val="000000" w:themeColor="text1"/>
          <w:sz w:val="26"/>
        </w:rPr>
        <w:t>:</w:t>
      </w:r>
      <w:r w:rsidRPr="00BF5A80">
        <w:rPr>
          <w:b/>
          <w:color w:val="000000" w:themeColor="text1"/>
          <w:sz w:val="26"/>
        </w:rPr>
        <w:t xml:space="preserve"> Preserve Capital and Minimize Risk of Impairment</w:t>
      </w:r>
    </w:p>
    <w:p w14:paraId="62E5517F" w14:textId="3C216893" w:rsidR="00920A41" w:rsidRPr="00BF5A80" w:rsidRDefault="00000000" w:rsidP="00920A41">
      <w:pPr>
        <w:pStyle w:val="Body"/>
        <w:rPr>
          <w:rFonts w:ascii="Times New Roman" w:hAnsi="Times New Roman" w:cs="Times New Roman"/>
          <w:color w:val="000000" w:themeColor="text1"/>
        </w:rPr>
      </w:pPr>
      <w:r w:rsidRPr="00BF5A80">
        <w:rPr>
          <w:rFonts w:ascii="Times New Roman" w:hAnsi="Times New Roman" w:cs="Times New Roman"/>
          <w:b/>
          <w:color w:val="000000" w:themeColor="text1"/>
        </w:rPr>
        <w:t>Fund 1</w:t>
      </w:r>
      <w:r w:rsidR="008767DA" w:rsidRPr="00BF5A80">
        <w:rPr>
          <w:rFonts w:ascii="Times New Roman" w:hAnsi="Times New Roman" w:cs="Times New Roman"/>
          <w:b/>
          <w:color w:val="000000" w:themeColor="text1"/>
        </w:rPr>
        <w:t xml:space="preserve">: </w:t>
      </w:r>
      <w:r w:rsidR="0010562A" w:rsidRPr="0010562A">
        <w:rPr>
          <w:rFonts w:ascii="Times New Roman" w:hAnsi="Times New Roman" w:cs="Times New Roman"/>
          <w:b/>
          <w:color w:val="000000" w:themeColor="text1"/>
        </w:rPr>
        <w:t>Systematic Global Macro</w:t>
      </w:r>
    </w:p>
    <w:p w14:paraId="6043D366" w14:textId="1274575F" w:rsidR="00CA7D20" w:rsidRPr="00BF5A80" w:rsidRDefault="00CA7D20">
      <w:pPr>
        <w:pStyle w:val="Body"/>
        <w:rPr>
          <w:rFonts w:ascii="Times New Roman" w:hAnsi="Times New Roman" w:cs="Times New Roman"/>
          <w:b/>
          <w:color w:val="000000" w:themeColor="text1"/>
        </w:rPr>
      </w:pPr>
      <w:r w:rsidRPr="00BF5A80">
        <w:rPr>
          <w:rFonts w:ascii="Times New Roman" w:hAnsi="Times New Roman" w:cs="Times New Roman"/>
          <w:b/>
          <w:color w:val="000000" w:themeColor="text1"/>
        </w:rPr>
        <w:t>Tests:</w:t>
      </w:r>
    </w:p>
    <w:p w14:paraId="610CF924" w14:textId="0BA13E2B" w:rsidR="003E223E" w:rsidRPr="003E223E" w:rsidRDefault="003E223E" w:rsidP="003E223E">
      <w:pPr>
        <w:pStyle w:val="Body"/>
        <w:rPr>
          <w:rFonts w:ascii="Times New Roman" w:hAnsi="Times New Roman" w:cs="Times New Roman"/>
          <w:color w:val="000000" w:themeColor="text1"/>
        </w:rPr>
      </w:pPr>
      <w:r w:rsidRPr="003E223E">
        <w:rPr>
          <w:rFonts w:ascii="Times New Roman" w:hAnsi="Times New Roman" w:cs="Times New Roman"/>
          <w:color w:val="000000" w:themeColor="text1"/>
        </w:rPr>
        <w:t xml:space="preserve">• Maximum Drawdown (MDD): </w:t>
      </w:r>
      <w:r>
        <w:rPr>
          <w:rFonts w:ascii="Times New Roman" w:hAnsi="Times New Roman" w:cs="Times New Roman"/>
          <w:color w:val="000000" w:themeColor="text1"/>
        </w:rPr>
        <w:t>-</w:t>
      </w:r>
      <w:r w:rsidRPr="003E223E">
        <w:rPr>
          <w:rFonts w:ascii="Times New Roman" w:hAnsi="Times New Roman" w:cs="Times New Roman"/>
          <w:color w:val="000000" w:themeColor="text1"/>
        </w:rPr>
        <w:t>23.32%.</w:t>
      </w:r>
    </w:p>
    <w:p w14:paraId="49BEC514" w14:textId="77777777" w:rsidR="003E223E" w:rsidRPr="003E223E" w:rsidRDefault="003E223E" w:rsidP="003E223E">
      <w:pPr>
        <w:pStyle w:val="Body"/>
        <w:rPr>
          <w:rFonts w:ascii="Times New Roman" w:hAnsi="Times New Roman" w:cs="Times New Roman"/>
          <w:color w:val="000000" w:themeColor="text1"/>
        </w:rPr>
      </w:pPr>
      <w:r w:rsidRPr="003E223E">
        <w:rPr>
          <w:rFonts w:ascii="Times New Roman" w:hAnsi="Times New Roman" w:cs="Times New Roman"/>
          <w:color w:val="000000" w:themeColor="text1"/>
        </w:rPr>
        <w:t>• Average Drawdown Duration: 8.83 months.</w:t>
      </w:r>
    </w:p>
    <w:p w14:paraId="369B60D0" w14:textId="77777777" w:rsidR="003E223E" w:rsidRPr="003E223E" w:rsidRDefault="003E223E" w:rsidP="003E223E">
      <w:pPr>
        <w:pStyle w:val="Body"/>
        <w:rPr>
          <w:rFonts w:ascii="Times New Roman" w:hAnsi="Times New Roman" w:cs="Times New Roman"/>
          <w:color w:val="000000" w:themeColor="text1"/>
        </w:rPr>
      </w:pPr>
      <w:r w:rsidRPr="003E223E">
        <w:rPr>
          <w:rFonts w:ascii="Times New Roman" w:hAnsi="Times New Roman" w:cs="Times New Roman"/>
          <w:color w:val="000000" w:themeColor="text1"/>
        </w:rPr>
        <w:t>• Ulcer Index (UI): 9.44%.</w:t>
      </w:r>
    </w:p>
    <w:p w14:paraId="01DDEF85" w14:textId="77777777" w:rsidR="003E223E" w:rsidRPr="003E223E" w:rsidRDefault="003E223E" w:rsidP="003E223E">
      <w:pPr>
        <w:pStyle w:val="Body"/>
        <w:rPr>
          <w:rFonts w:ascii="Times New Roman" w:hAnsi="Times New Roman" w:cs="Times New Roman"/>
          <w:color w:val="000000" w:themeColor="text1"/>
        </w:rPr>
      </w:pPr>
      <w:r w:rsidRPr="003E223E">
        <w:rPr>
          <w:rFonts w:ascii="Times New Roman" w:hAnsi="Times New Roman" w:cs="Times New Roman"/>
          <w:color w:val="000000" w:themeColor="text1"/>
        </w:rPr>
        <w:t>• MAR Ratio: 0.23.</w:t>
      </w:r>
    </w:p>
    <w:p w14:paraId="5FDE90FD" w14:textId="77777777" w:rsidR="003E223E" w:rsidRDefault="003E223E" w:rsidP="003E223E">
      <w:pPr>
        <w:pStyle w:val="Body"/>
        <w:rPr>
          <w:rFonts w:ascii="Times New Roman" w:hAnsi="Times New Roman" w:cs="Times New Roman"/>
          <w:color w:val="000000" w:themeColor="text1"/>
        </w:rPr>
      </w:pPr>
      <w:r w:rsidRPr="003E223E">
        <w:rPr>
          <w:rFonts w:ascii="Times New Roman" w:hAnsi="Times New Roman" w:cs="Times New Roman"/>
          <w:color w:val="000000" w:themeColor="text1"/>
        </w:rPr>
        <w:t>Interpretation: Drawdowns are significant but recoverable; the fund bends but doesn’t break.</w:t>
      </w:r>
    </w:p>
    <w:p w14:paraId="008E2DEA" w14:textId="6F9D3432" w:rsidR="0010562A" w:rsidRPr="0010562A" w:rsidRDefault="00000000">
      <w:pPr>
        <w:pStyle w:val="Body"/>
        <w:rPr>
          <w:color w:val="000000" w:themeColor="text1"/>
        </w:rPr>
      </w:pPr>
      <w:r w:rsidRPr="00BF5A80">
        <w:rPr>
          <w:rFonts w:ascii="Times New Roman" w:hAnsi="Times New Roman" w:cs="Times New Roman"/>
          <w:b/>
          <w:color w:val="000000" w:themeColor="text1"/>
        </w:rPr>
        <w:t>Fund 2</w:t>
      </w:r>
      <w:r w:rsidR="008767DA" w:rsidRPr="00BF5A80">
        <w:rPr>
          <w:rFonts w:ascii="Times New Roman" w:hAnsi="Times New Roman" w:cs="Times New Roman"/>
          <w:b/>
          <w:color w:val="000000" w:themeColor="text1"/>
        </w:rPr>
        <w:t xml:space="preserve">: </w:t>
      </w:r>
      <w:r w:rsidR="0010562A">
        <w:rPr>
          <w:b/>
          <w:color w:val="000000" w:themeColor="text1"/>
        </w:rPr>
        <w:t>Event Driven Credit</w:t>
      </w:r>
    </w:p>
    <w:p w14:paraId="3DE59EF8" w14:textId="705ED13E" w:rsidR="00CA7D20" w:rsidRPr="00BF5A80" w:rsidRDefault="00CA7D20">
      <w:pPr>
        <w:pStyle w:val="Body"/>
        <w:rPr>
          <w:rFonts w:ascii="Times New Roman" w:hAnsi="Times New Roman" w:cs="Times New Roman"/>
          <w:color w:val="000000" w:themeColor="text1"/>
        </w:rPr>
      </w:pPr>
      <w:r w:rsidRPr="00BF5A80">
        <w:rPr>
          <w:rFonts w:ascii="Times New Roman" w:hAnsi="Times New Roman" w:cs="Times New Roman"/>
          <w:b/>
          <w:color w:val="000000" w:themeColor="text1"/>
        </w:rPr>
        <w:t>Tests:</w:t>
      </w:r>
    </w:p>
    <w:p w14:paraId="23B527BE" w14:textId="0A79655D" w:rsidR="003E223E" w:rsidRPr="003E223E" w:rsidRDefault="003E223E" w:rsidP="003E223E">
      <w:pPr>
        <w:rPr>
          <w:rFonts w:ascii="Times New Roman" w:eastAsia="Calibri" w:hAnsi="Times New Roman" w:cs="Times New Roman"/>
          <w:color w:val="000000" w:themeColor="text1"/>
        </w:rPr>
      </w:pPr>
      <w:r w:rsidRPr="003E223E">
        <w:rPr>
          <w:rFonts w:ascii="Times New Roman" w:eastAsia="Calibri" w:hAnsi="Times New Roman" w:cs="Times New Roman"/>
          <w:color w:val="000000" w:themeColor="text1"/>
        </w:rPr>
        <w:t xml:space="preserve">• Maximum Drawdown (MDD): </w:t>
      </w:r>
      <w:r>
        <w:rPr>
          <w:rFonts w:ascii="Times New Roman" w:eastAsia="Calibri" w:hAnsi="Times New Roman" w:cs="Times New Roman"/>
          <w:color w:val="000000" w:themeColor="text1"/>
        </w:rPr>
        <w:t>-</w:t>
      </w:r>
      <w:r w:rsidRPr="003E223E">
        <w:rPr>
          <w:rFonts w:ascii="Times New Roman" w:eastAsia="Calibri" w:hAnsi="Times New Roman" w:cs="Times New Roman"/>
          <w:color w:val="000000" w:themeColor="text1"/>
        </w:rPr>
        <w:t>15.12%.</w:t>
      </w:r>
    </w:p>
    <w:p w14:paraId="77C256AC" w14:textId="77777777" w:rsidR="003E223E" w:rsidRPr="003E223E" w:rsidRDefault="003E223E" w:rsidP="003E223E">
      <w:pPr>
        <w:rPr>
          <w:rFonts w:ascii="Times New Roman" w:eastAsia="Calibri" w:hAnsi="Times New Roman" w:cs="Times New Roman"/>
          <w:color w:val="000000" w:themeColor="text1"/>
        </w:rPr>
      </w:pPr>
      <w:r w:rsidRPr="003E223E">
        <w:rPr>
          <w:rFonts w:ascii="Times New Roman" w:eastAsia="Calibri" w:hAnsi="Times New Roman" w:cs="Times New Roman"/>
          <w:color w:val="000000" w:themeColor="text1"/>
        </w:rPr>
        <w:t>• Average Drawdown Duration: 5.23 months.</w:t>
      </w:r>
    </w:p>
    <w:p w14:paraId="7583FC97" w14:textId="77777777" w:rsidR="003E223E" w:rsidRPr="003E223E" w:rsidRDefault="003E223E" w:rsidP="003E223E">
      <w:pPr>
        <w:rPr>
          <w:rFonts w:ascii="Times New Roman" w:eastAsia="Calibri" w:hAnsi="Times New Roman" w:cs="Times New Roman"/>
          <w:color w:val="000000" w:themeColor="text1"/>
        </w:rPr>
      </w:pPr>
      <w:r w:rsidRPr="003E223E">
        <w:rPr>
          <w:rFonts w:ascii="Times New Roman" w:eastAsia="Calibri" w:hAnsi="Times New Roman" w:cs="Times New Roman"/>
          <w:color w:val="000000" w:themeColor="text1"/>
        </w:rPr>
        <w:t>• Ulcer Index (UI): 3.24%.</w:t>
      </w:r>
    </w:p>
    <w:p w14:paraId="637E33A6" w14:textId="77777777" w:rsidR="003E223E" w:rsidRPr="003E223E" w:rsidRDefault="003E223E" w:rsidP="003E223E">
      <w:pPr>
        <w:rPr>
          <w:rFonts w:ascii="Times New Roman" w:eastAsia="Calibri" w:hAnsi="Times New Roman" w:cs="Times New Roman"/>
          <w:color w:val="000000" w:themeColor="text1"/>
        </w:rPr>
      </w:pPr>
      <w:r w:rsidRPr="003E223E">
        <w:rPr>
          <w:rFonts w:ascii="Times New Roman" w:eastAsia="Calibri" w:hAnsi="Times New Roman" w:cs="Times New Roman"/>
          <w:color w:val="000000" w:themeColor="text1"/>
        </w:rPr>
        <w:t>• MAR Ratio: 0.64.</w:t>
      </w:r>
    </w:p>
    <w:p w14:paraId="7B905ED0" w14:textId="77777777" w:rsidR="003E223E" w:rsidRPr="003E223E" w:rsidRDefault="003E223E" w:rsidP="003E223E">
      <w:pPr>
        <w:rPr>
          <w:rFonts w:ascii="Times New Roman" w:eastAsia="Calibri" w:hAnsi="Times New Roman" w:cs="Times New Roman"/>
          <w:color w:val="000000" w:themeColor="text1"/>
        </w:rPr>
      </w:pPr>
      <w:r w:rsidRPr="00427F97">
        <w:rPr>
          <w:rFonts w:ascii="Times New Roman" w:eastAsia="Calibri" w:hAnsi="Times New Roman" w:cs="Times New Roman"/>
          <w:b/>
          <w:bCs/>
          <w:color w:val="000000" w:themeColor="text1"/>
        </w:rPr>
        <w:t>Interpretation:</w:t>
      </w:r>
      <w:r w:rsidRPr="003E223E">
        <w:rPr>
          <w:rFonts w:ascii="Times New Roman" w:eastAsia="Calibri" w:hAnsi="Times New Roman" w:cs="Times New Roman"/>
          <w:color w:val="000000" w:themeColor="text1"/>
        </w:rPr>
        <w:t xml:space="preserve"> Shallower drawdowns and quicker recoveries highlight superior capital discipline but vulnerability to systemic spread widening.</w:t>
      </w:r>
    </w:p>
    <w:p w14:paraId="1BB201B2" w14:textId="77777777" w:rsidR="003E223E" w:rsidRDefault="003E223E" w:rsidP="003E223E">
      <w:pPr>
        <w:rPr>
          <w:rFonts w:ascii="Times New Roman" w:eastAsia="Calibri" w:hAnsi="Times New Roman" w:cs="Times New Roman"/>
          <w:color w:val="000000" w:themeColor="text1"/>
        </w:rPr>
      </w:pPr>
      <w:r w:rsidRPr="003E223E">
        <w:rPr>
          <w:rFonts w:ascii="Times New Roman" w:eastAsia="Calibri" w:hAnsi="Times New Roman" w:cs="Times New Roman"/>
          <w:b/>
          <w:bCs/>
          <w:color w:val="000000" w:themeColor="text1"/>
        </w:rPr>
        <w:t>Verdict:</w:t>
      </w:r>
      <w:r w:rsidRPr="003E223E">
        <w:rPr>
          <w:rFonts w:ascii="Times New Roman" w:eastAsia="Calibri" w:hAnsi="Times New Roman" w:cs="Times New Roman"/>
          <w:color w:val="000000" w:themeColor="text1"/>
        </w:rPr>
        <w:t xml:space="preserve"> Fund 2 preserves capital more efficiently; Fund 1’s recoveries are slower but stable.</w:t>
      </w:r>
    </w:p>
    <w:p w14:paraId="5B7CC105" w14:textId="6E325349" w:rsidR="00394E7F" w:rsidRPr="00BF5A80" w:rsidRDefault="00000000" w:rsidP="003E223E">
      <w:pPr>
        <w:rPr>
          <w:color w:val="000000" w:themeColor="text1"/>
        </w:rPr>
      </w:pPr>
      <w:r w:rsidRPr="00BF5A80">
        <w:rPr>
          <w:b/>
          <w:color w:val="000000" w:themeColor="text1"/>
          <w:sz w:val="26"/>
        </w:rPr>
        <w:t>Hypothesis 3</w:t>
      </w:r>
      <w:r w:rsidR="00654502" w:rsidRPr="00BF5A80">
        <w:rPr>
          <w:b/>
          <w:color w:val="000000" w:themeColor="text1"/>
          <w:sz w:val="26"/>
        </w:rPr>
        <w:t>:</w:t>
      </w:r>
      <w:r w:rsidRPr="00BF5A80">
        <w:rPr>
          <w:b/>
          <w:color w:val="000000" w:themeColor="text1"/>
          <w:sz w:val="26"/>
        </w:rPr>
        <w:t xml:space="preserve"> Offer Strong Diversification from Public Equities</w:t>
      </w:r>
    </w:p>
    <w:p w14:paraId="4A520BAD" w14:textId="77777777" w:rsidR="00112132" w:rsidRDefault="00000000">
      <w:pPr>
        <w:pStyle w:val="Body"/>
        <w:rPr>
          <w:rFonts w:ascii="Times New Roman" w:hAnsi="Times New Roman" w:cs="Times New Roman"/>
          <w:color w:val="000000" w:themeColor="text1"/>
        </w:rPr>
      </w:pPr>
      <w:r w:rsidRPr="00112132">
        <w:rPr>
          <w:rFonts w:ascii="Times New Roman" w:hAnsi="Times New Roman" w:cs="Times New Roman"/>
          <w:b/>
          <w:bCs/>
          <w:color w:val="000000" w:themeColor="text1"/>
        </w:rPr>
        <w:t>Tests:</w:t>
      </w:r>
    </w:p>
    <w:p w14:paraId="5C05B142" w14:textId="2414BAE1" w:rsidR="00394E7F" w:rsidRPr="00BF5A80" w:rsidRDefault="00000000">
      <w:pPr>
        <w:pStyle w:val="Body"/>
        <w:rPr>
          <w:rFonts w:ascii="Times New Roman" w:hAnsi="Times New Roman" w:cs="Times New Roman"/>
          <w:color w:val="000000" w:themeColor="text1"/>
        </w:rPr>
      </w:pPr>
      <w:r w:rsidRPr="00BF5A80">
        <w:rPr>
          <w:rFonts w:ascii="Times New Roman" w:hAnsi="Times New Roman" w:cs="Times New Roman"/>
          <w:color w:val="000000" w:themeColor="text1"/>
        </w:rPr>
        <w:lastRenderedPageBreak/>
        <w:br/>
        <w:t>• Static dependence: monthly correlation r(fund, S&amp;P 500).</w:t>
      </w:r>
      <w:r w:rsidRPr="00BF5A80">
        <w:rPr>
          <w:rFonts w:ascii="Times New Roman" w:hAnsi="Times New Roman" w:cs="Times New Roman"/>
          <w:color w:val="000000" w:themeColor="text1"/>
        </w:rPr>
        <w:br/>
        <w:t>• Rolling dependence: 12‑month rolling correlation to detect regime shifts.</w:t>
      </w:r>
      <w:r w:rsidRPr="00BF5A80">
        <w:rPr>
          <w:rFonts w:ascii="Times New Roman" w:hAnsi="Times New Roman" w:cs="Times New Roman"/>
          <w:color w:val="000000" w:themeColor="text1"/>
        </w:rPr>
        <w:br/>
        <w:t>• Linear exposure: OLS r_f = α + β·</w:t>
      </w:r>
      <w:proofErr w:type="spellStart"/>
      <w:r w:rsidRPr="00BF5A80">
        <w:rPr>
          <w:rFonts w:ascii="Times New Roman" w:hAnsi="Times New Roman" w:cs="Times New Roman"/>
          <w:color w:val="000000" w:themeColor="text1"/>
        </w:rPr>
        <w:t>r_m</w:t>
      </w:r>
      <w:proofErr w:type="spellEnd"/>
      <w:r w:rsidRPr="00BF5A80">
        <w:rPr>
          <w:rFonts w:ascii="Times New Roman" w:hAnsi="Times New Roman" w:cs="Times New Roman"/>
          <w:color w:val="000000" w:themeColor="text1"/>
        </w:rPr>
        <w:t xml:space="preserve"> (monthly)</w:t>
      </w:r>
      <w:r w:rsidR="00654502" w:rsidRPr="00BF5A80">
        <w:rPr>
          <w:rFonts w:ascii="Times New Roman" w:hAnsi="Times New Roman" w:cs="Times New Roman"/>
          <w:color w:val="000000" w:themeColor="text1"/>
        </w:rPr>
        <w:t xml:space="preserve">, </w:t>
      </w:r>
      <w:r w:rsidRPr="00BF5A80">
        <w:rPr>
          <w:rFonts w:ascii="Times New Roman" w:hAnsi="Times New Roman" w:cs="Times New Roman"/>
          <w:color w:val="000000" w:themeColor="text1"/>
        </w:rPr>
        <w:t>β measures l market coupling, R² the share of explainable variance.</w:t>
      </w:r>
      <w:r w:rsidRPr="00BF5A80">
        <w:rPr>
          <w:rFonts w:ascii="Times New Roman" w:hAnsi="Times New Roman" w:cs="Times New Roman"/>
          <w:color w:val="000000" w:themeColor="text1"/>
        </w:rPr>
        <w:br/>
        <w:t>• Stress coupling: Down‑Market Beta (OLS restricted to months with S&amp;P &lt; 0).</w:t>
      </w:r>
      <w:r w:rsidRPr="00BF5A80">
        <w:rPr>
          <w:rFonts w:ascii="Times New Roman" w:hAnsi="Times New Roman" w:cs="Times New Roman"/>
          <w:color w:val="000000" w:themeColor="text1"/>
        </w:rPr>
        <w:br/>
        <w:t>• Structural contribution: Diversification Benefit DB = 1 − σ_p / (w_fσ_f + w_mσ_m), with w_f = w_m = 0.5.</w:t>
      </w:r>
    </w:p>
    <w:p w14:paraId="616E2603" w14:textId="77777777" w:rsidR="00394E7F" w:rsidRPr="00BF5A80" w:rsidRDefault="00000000">
      <w:pPr>
        <w:pStyle w:val="Body"/>
        <w:rPr>
          <w:rFonts w:ascii="Times New Roman" w:hAnsi="Times New Roman" w:cs="Times New Roman"/>
          <w:color w:val="000000" w:themeColor="text1"/>
        </w:rPr>
      </w:pPr>
      <w:r w:rsidRPr="00BF5A80">
        <w:rPr>
          <w:rFonts w:ascii="Times New Roman" w:hAnsi="Times New Roman" w:cs="Times New Roman"/>
          <w:b/>
          <w:color w:val="000000" w:themeColor="text1"/>
        </w:rPr>
        <w:t>Results &amp; Interpretation</w:t>
      </w:r>
    </w:p>
    <w:p w14:paraId="59B536A7" w14:textId="29C639E0" w:rsidR="00394E7F" w:rsidRPr="00BF5A80" w:rsidRDefault="00000000">
      <w:pPr>
        <w:pStyle w:val="Body"/>
        <w:rPr>
          <w:rFonts w:ascii="Times New Roman" w:hAnsi="Times New Roman" w:cs="Times New Roman"/>
          <w:color w:val="000000" w:themeColor="text1"/>
        </w:rPr>
      </w:pPr>
      <w:r w:rsidRPr="00BF5A80">
        <w:rPr>
          <w:rFonts w:ascii="Times New Roman" w:hAnsi="Times New Roman" w:cs="Times New Roman"/>
          <w:b/>
          <w:bCs/>
          <w:color w:val="000000" w:themeColor="text1"/>
        </w:rPr>
        <w:t>Fund 1</w:t>
      </w:r>
      <w:r w:rsidR="00B93A70">
        <w:rPr>
          <w:rFonts w:ascii="Times New Roman" w:hAnsi="Times New Roman" w:cs="Times New Roman"/>
          <w:b/>
          <w:bCs/>
          <w:color w:val="000000" w:themeColor="text1"/>
        </w:rPr>
        <w:t xml:space="preserve">: </w:t>
      </w:r>
      <w:r w:rsidR="00B93A70" w:rsidRPr="00B93A70">
        <w:t xml:space="preserve"> </w:t>
      </w:r>
      <w:r w:rsidR="0010562A">
        <w:rPr>
          <w:rFonts w:ascii="Times New Roman" w:hAnsi="Times New Roman" w:cs="Times New Roman"/>
          <w:b/>
          <w:bCs/>
          <w:color w:val="000000" w:themeColor="text1"/>
        </w:rPr>
        <w:t>S</w:t>
      </w:r>
      <w:r w:rsidR="0010562A" w:rsidRPr="00BF5A80">
        <w:rPr>
          <w:rFonts w:ascii="Times New Roman" w:hAnsi="Times New Roman" w:cs="Times New Roman"/>
          <w:b/>
          <w:bCs/>
          <w:color w:val="000000" w:themeColor="text1"/>
        </w:rPr>
        <w:t>ystematic</w:t>
      </w:r>
      <w:r w:rsidR="0010562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10562A" w:rsidRPr="00BF5A80">
        <w:rPr>
          <w:rFonts w:ascii="Times New Roman" w:hAnsi="Times New Roman" w:cs="Times New Roman"/>
          <w:b/>
          <w:bCs/>
          <w:color w:val="000000" w:themeColor="text1"/>
        </w:rPr>
        <w:t>Global</w:t>
      </w:r>
      <w:r w:rsidR="0010562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10562A" w:rsidRPr="00BF5A80">
        <w:rPr>
          <w:rFonts w:ascii="Times New Roman" w:hAnsi="Times New Roman" w:cs="Times New Roman"/>
          <w:b/>
          <w:bCs/>
          <w:color w:val="000000" w:themeColor="text1"/>
        </w:rPr>
        <w:t>Macro</w:t>
      </w:r>
      <w:r w:rsidRPr="00BF5A80">
        <w:rPr>
          <w:rFonts w:ascii="Times New Roman" w:hAnsi="Times New Roman" w:cs="Times New Roman"/>
          <w:color w:val="000000" w:themeColor="text1"/>
        </w:rPr>
        <w:br/>
        <w:t xml:space="preserve">• Static correlation: </w:t>
      </w:r>
      <w:r w:rsidR="00654502" w:rsidRPr="00BF5A80">
        <w:rPr>
          <w:rFonts w:ascii="Times New Roman" w:hAnsi="Times New Roman" w:cs="Times New Roman"/>
          <w:color w:val="000000" w:themeColor="text1"/>
        </w:rPr>
        <w:t>=</w:t>
      </w:r>
      <w:r w:rsidRPr="00BF5A80">
        <w:rPr>
          <w:rFonts w:ascii="Times New Roman" w:hAnsi="Times New Roman" w:cs="Times New Roman"/>
          <w:color w:val="000000" w:themeColor="text1"/>
        </w:rPr>
        <w:t xml:space="preserve"> </w:t>
      </w:r>
      <w:r w:rsidR="0044225C" w:rsidRPr="00BF5A80">
        <w:rPr>
          <w:rFonts w:ascii="Times New Roman" w:hAnsi="Times New Roman" w:cs="Times New Roman"/>
          <w:color w:val="000000" w:themeColor="text1"/>
        </w:rPr>
        <w:t>-</w:t>
      </w:r>
      <w:r w:rsidRPr="00BF5A80">
        <w:rPr>
          <w:rFonts w:ascii="Times New Roman" w:hAnsi="Times New Roman" w:cs="Times New Roman"/>
          <w:color w:val="000000" w:themeColor="text1"/>
        </w:rPr>
        <w:t>0.03 (near‑zero).</w:t>
      </w:r>
      <w:r w:rsidRPr="00BF5A80">
        <w:rPr>
          <w:rFonts w:ascii="Times New Roman" w:hAnsi="Times New Roman" w:cs="Times New Roman"/>
          <w:color w:val="000000" w:themeColor="text1"/>
        </w:rPr>
        <w:br/>
        <w:t>• Rolling correlation: low on average, briefly positive in stress episodes (liquidity beta).</w:t>
      </w:r>
      <w:r w:rsidRPr="00BF5A80">
        <w:rPr>
          <w:rFonts w:ascii="Times New Roman" w:hAnsi="Times New Roman" w:cs="Times New Roman"/>
          <w:color w:val="000000" w:themeColor="text1"/>
        </w:rPr>
        <w:br/>
        <w:t xml:space="preserve">• </w:t>
      </w:r>
      <w:r w:rsidR="00B5405A">
        <w:rPr>
          <w:rFonts w:ascii="Times New Roman" w:hAnsi="Times New Roman" w:cs="Times New Roman"/>
          <w:color w:val="000000" w:themeColor="text1"/>
        </w:rPr>
        <w:t>True diversifier (</w:t>
      </w:r>
      <w:proofErr w:type="spellStart"/>
      <w:r w:rsidR="00B5405A">
        <w:rPr>
          <w:rFonts w:ascii="Times New Roman" w:hAnsi="Times New Roman" w:cs="Times New Roman"/>
          <w:color w:val="000000" w:themeColor="text1"/>
        </w:rPr>
        <w:t>correl</w:t>
      </w:r>
      <w:proofErr w:type="spellEnd"/>
      <w:r w:rsidR="00B5405A">
        <w:rPr>
          <w:rFonts w:ascii="Times New Roman" w:hAnsi="Times New Roman" w:cs="Times New Roman"/>
          <w:color w:val="000000" w:themeColor="text1"/>
        </w:rPr>
        <w:t xml:space="preserve"> when markets are down) = 0.09</w:t>
      </w:r>
      <w:r w:rsidRPr="00BF5A80">
        <w:rPr>
          <w:rFonts w:ascii="Times New Roman" w:hAnsi="Times New Roman" w:cs="Times New Roman"/>
          <w:color w:val="000000" w:themeColor="text1"/>
        </w:rPr>
        <w:t>.</w:t>
      </w:r>
      <w:r w:rsidRPr="00BF5A80">
        <w:rPr>
          <w:rFonts w:ascii="Times New Roman" w:hAnsi="Times New Roman" w:cs="Times New Roman"/>
          <w:color w:val="000000" w:themeColor="text1"/>
        </w:rPr>
        <w:br/>
        <w:t xml:space="preserve">• Down‑Market Beta: 0.15 </w:t>
      </w:r>
      <w:r w:rsidR="00654502" w:rsidRPr="00BF5A80">
        <w:rPr>
          <w:rFonts w:ascii="Times New Roman" w:hAnsi="Times New Roman" w:cs="Times New Roman"/>
          <w:color w:val="000000" w:themeColor="text1"/>
        </w:rPr>
        <w:t xml:space="preserve">- </w:t>
      </w:r>
      <w:r w:rsidRPr="00BF5A80">
        <w:rPr>
          <w:rFonts w:ascii="Times New Roman" w:hAnsi="Times New Roman" w:cs="Times New Roman"/>
          <w:color w:val="000000" w:themeColor="text1"/>
        </w:rPr>
        <w:t xml:space="preserve"> loses modestly when equities fall.</w:t>
      </w:r>
      <w:r w:rsidRPr="00BF5A80">
        <w:rPr>
          <w:rFonts w:ascii="Times New Roman" w:hAnsi="Times New Roman" w:cs="Times New Roman"/>
          <w:color w:val="000000" w:themeColor="text1"/>
        </w:rPr>
        <w:br/>
        <w:t xml:space="preserve">• Diversification Benefit (DB, 50/50 with S&amp;P): </w:t>
      </w:r>
      <w:r w:rsidR="00654502" w:rsidRPr="00BF5A80">
        <w:rPr>
          <w:rFonts w:ascii="Times New Roman" w:hAnsi="Times New Roman" w:cs="Times New Roman"/>
          <w:color w:val="000000" w:themeColor="text1"/>
        </w:rPr>
        <w:t>=</w:t>
      </w:r>
      <w:r w:rsidRPr="00BF5A80">
        <w:rPr>
          <w:rFonts w:ascii="Times New Roman" w:hAnsi="Times New Roman" w:cs="Times New Roman"/>
          <w:color w:val="000000" w:themeColor="text1"/>
        </w:rPr>
        <w:t xml:space="preserve"> 0.30.</w:t>
      </w:r>
      <w:r w:rsidRPr="00BF5A80">
        <w:rPr>
          <w:rFonts w:ascii="Times New Roman" w:hAnsi="Times New Roman" w:cs="Times New Roman"/>
          <w:color w:val="000000" w:themeColor="text1"/>
        </w:rPr>
        <w:br/>
      </w:r>
      <w:r w:rsidR="00112132" w:rsidRPr="00112132">
        <w:rPr>
          <w:rFonts w:ascii="Times New Roman" w:hAnsi="Times New Roman" w:cs="Times New Roman"/>
          <w:b/>
          <w:bCs/>
          <w:color w:val="000000" w:themeColor="text1"/>
        </w:rPr>
        <w:t>Interpretation:</w:t>
      </w:r>
      <w:r w:rsidR="00112132">
        <w:rPr>
          <w:rFonts w:ascii="Times New Roman" w:hAnsi="Times New Roman" w:cs="Times New Roman"/>
          <w:color w:val="000000" w:themeColor="text1"/>
        </w:rPr>
        <w:t xml:space="preserve"> </w:t>
      </w:r>
      <w:r w:rsidR="00B5405A" w:rsidRPr="00B5405A">
        <w:rPr>
          <w:rFonts w:ascii="Times New Roman" w:hAnsi="Times New Roman" w:cs="Times New Roman"/>
          <w:color w:val="000000" w:themeColor="text1"/>
        </w:rPr>
        <w:t>Fund 1 provides consistent diversification and low equity coupling, its behavior aligns with a true diversifier.</w:t>
      </w:r>
    </w:p>
    <w:p w14:paraId="17FE7E49" w14:textId="7B51FD25" w:rsidR="00394E7F" w:rsidRDefault="00000000">
      <w:pPr>
        <w:pStyle w:val="Body"/>
        <w:rPr>
          <w:rFonts w:ascii="Times New Roman" w:hAnsi="Times New Roman" w:cs="Times New Roman"/>
          <w:color w:val="000000" w:themeColor="text1"/>
        </w:rPr>
      </w:pPr>
      <w:r w:rsidRPr="00BF5A80">
        <w:rPr>
          <w:rFonts w:ascii="Times New Roman" w:hAnsi="Times New Roman" w:cs="Times New Roman"/>
          <w:b/>
          <w:bCs/>
          <w:color w:val="000000" w:themeColor="text1"/>
        </w:rPr>
        <w:t>Fund 2</w:t>
      </w:r>
      <w:r w:rsidR="00654502" w:rsidRPr="00BF5A80">
        <w:rPr>
          <w:rFonts w:ascii="Times New Roman" w:hAnsi="Times New Roman" w:cs="Times New Roman"/>
          <w:b/>
          <w:bCs/>
          <w:color w:val="000000" w:themeColor="text1"/>
        </w:rPr>
        <w:t xml:space="preserve">: </w:t>
      </w:r>
      <w:r w:rsidRPr="00BF5A8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10562A">
        <w:rPr>
          <w:rFonts w:ascii="Times New Roman" w:hAnsi="Times New Roman" w:cs="Times New Roman"/>
          <w:b/>
          <w:bCs/>
          <w:color w:val="000000" w:themeColor="text1"/>
        </w:rPr>
        <w:t>Event Driven Credit</w:t>
      </w:r>
      <w:r w:rsidRPr="00BF5A80">
        <w:rPr>
          <w:rFonts w:ascii="Times New Roman" w:hAnsi="Times New Roman" w:cs="Times New Roman"/>
          <w:color w:val="000000" w:themeColor="text1"/>
        </w:rPr>
        <w:br/>
        <w:t xml:space="preserve">• Static correlation: </w:t>
      </w:r>
      <w:r w:rsidR="00654502" w:rsidRPr="00BF5A80">
        <w:rPr>
          <w:rFonts w:ascii="Times New Roman" w:hAnsi="Times New Roman" w:cs="Times New Roman"/>
          <w:color w:val="000000" w:themeColor="text1"/>
        </w:rPr>
        <w:t>=</w:t>
      </w:r>
      <w:r w:rsidRPr="00BF5A80">
        <w:rPr>
          <w:rFonts w:ascii="Times New Roman" w:hAnsi="Times New Roman" w:cs="Times New Roman"/>
          <w:color w:val="000000" w:themeColor="text1"/>
        </w:rPr>
        <w:t xml:space="preserve"> 0.56 </w:t>
      </w:r>
      <w:r w:rsidRPr="00BF5A80">
        <w:rPr>
          <w:rFonts w:ascii="Times New Roman" w:hAnsi="Times New Roman" w:cs="Times New Roman"/>
          <w:color w:val="000000" w:themeColor="text1"/>
        </w:rPr>
        <w:br/>
        <w:t>• Rolling correlation: rises during risk‑on regimes</w:t>
      </w:r>
      <w:r w:rsidR="00654502" w:rsidRPr="00BF5A80">
        <w:rPr>
          <w:rFonts w:ascii="Times New Roman" w:hAnsi="Times New Roman" w:cs="Times New Roman"/>
          <w:color w:val="000000" w:themeColor="text1"/>
        </w:rPr>
        <w:t xml:space="preserve">, </w:t>
      </w:r>
      <w:r w:rsidRPr="00BF5A80">
        <w:rPr>
          <w:rFonts w:ascii="Times New Roman" w:hAnsi="Times New Roman" w:cs="Times New Roman"/>
          <w:color w:val="000000" w:themeColor="text1"/>
        </w:rPr>
        <w:t>independence fades in choppy markets.</w:t>
      </w:r>
      <w:r w:rsidRPr="00BF5A80">
        <w:rPr>
          <w:rFonts w:ascii="Times New Roman" w:hAnsi="Times New Roman" w:cs="Times New Roman"/>
          <w:color w:val="000000" w:themeColor="text1"/>
        </w:rPr>
        <w:br/>
        <w:t xml:space="preserve">• </w:t>
      </w:r>
      <w:r w:rsidR="00B5405A">
        <w:rPr>
          <w:rFonts w:ascii="Times New Roman" w:hAnsi="Times New Roman" w:cs="Times New Roman"/>
          <w:color w:val="000000" w:themeColor="text1"/>
        </w:rPr>
        <w:t>True diversification(</w:t>
      </w:r>
      <w:proofErr w:type="spellStart"/>
      <w:r w:rsidR="00B5405A">
        <w:rPr>
          <w:rFonts w:ascii="Times New Roman" w:hAnsi="Times New Roman" w:cs="Times New Roman"/>
          <w:color w:val="000000" w:themeColor="text1"/>
        </w:rPr>
        <w:t>correl</w:t>
      </w:r>
      <w:proofErr w:type="spellEnd"/>
      <w:r w:rsidR="00B5405A">
        <w:rPr>
          <w:rFonts w:ascii="Times New Roman" w:hAnsi="Times New Roman" w:cs="Times New Roman"/>
          <w:color w:val="000000" w:themeColor="text1"/>
        </w:rPr>
        <w:t xml:space="preserve"> when market are down) : =0.51</w:t>
      </w:r>
      <w:r w:rsidRPr="00BF5A80">
        <w:rPr>
          <w:rFonts w:ascii="Times New Roman" w:hAnsi="Times New Roman" w:cs="Times New Roman"/>
          <w:color w:val="000000" w:themeColor="text1"/>
        </w:rPr>
        <w:t>.</w:t>
      </w:r>
      <w:r w:rsidRPr="00BF5A80">
        <w:rPr>
          <w:rFonts w:ascii="Times New Roman" w:hAnsi="Times New Roman" w:cs="Times New Roman"/>
          <w:color w:val="000000" w:themeColor="text1"/>
        </w:rPr>
        <w:br/>
        <w:t xml:space="preserve">• Down‑Market Beta: 0.44 </w:t>
      </w:r>
      <w:r w:rsidR="00654502" w:rsidRPr="00BF5A80">
        <w:rPr>
          <w:rFonts w:ascii="Times New Roman" w:hAnsi="Times New Roman" w:cs="Times New Roman"/>
          <w:color w:val="000000" w:themeColor="text1"/>
        </w:rPr>
        <w:t>-</w:t>
      </w:r>
      <w:r w:rsidRPr="00BF5A80">
        <w:rPr>
          <w:rFonts w:ascii="Times New Roman" w:hAnsi="Times New Roman" w:cs="Times New Roman"/>
          <w:color w:val="000000" w:themeColor="text1"/>
        </w:rPr>
        <w:t xml:space="preserve"> sells off with equities in down months.</w:t>
      </w:r>
      <w:r w:rsidRPr="00BF5A80">
        <w:rPr>
          <w:rFonts w:ascii="Times New Roman" w:hAnsi="Times New Roman" w:cs="Times New Roman"/>
          <w:color w:val="000000" w:themeColor="text1"/>
        </w:rPr>
        <w:br/>
        <w:t xml:space="preserve">• Diversification Benefit (DB, 50/50 with S&amp;P): </w:t>
      </w:r>
      <w:r w:rsidR="00654502" w:rsidRPr="00BF5A80">
        <w:rPr>
          <w:rFonts w:ascii="Times New Roman" w:hAnsi="Times New Roman" w:cs="Times New Roman"/>
          <w:color w:val="000000" w:themeColor="text1"/>
        </w:rPr>
        <w:t>=</w:t>
      </w:r>
      <w:r w:rsidRPr="00BF5A80">
        <w:rPr>
          <w:rFonts w:ascii="Times New Roman" w:hAnsi="Times New Roman" w:cs="Times New Roman"/>
          <w:color w:val="000000" w:themeColor="text1"/>
        </w:rPr>
        <w:t xml:space="preserve"> 0.17.</w:t>
      </w:r>
      <w:r w:rsidRPr="00BF5A80">
        <w:rPr>
          <w:rFonts w:ascii="Times New Roman" w:hAnsi="Times New Roman" w:cs="Times New Roman"/>
          <w:color w:val="000000" w:themeColor="text1"/>
        </w:rPr>
        <w:br/>
      </w:r>
      <w:r w:rsidR="00B5405A" w:rsidRPr="00B5405A">
        <w:rPr>
          <w:b/>
          <w:bCs/>
        </w:rPr>
        <w:t>Interpretation:</w:t>
      </w:r>
      <w:r w:rsidR="00B5405A">
        <w:t xml:space="preserve"> Fund 2 behaves pro-cyclically, enhancing returns in stable markets but losing independence during stress.</w:t>
      </w:r>
    </w:p>
    <w:p w14:paraId="19E23B64" w14:textId="78B54CBB" w:rsidR="0058379E" w:rsidRPr="00BF5A80" w:rsidRDefault="0058379E">
      <w:pPr>
        <w:pStyle w:val="Body"/>
        <w:rPr>
          <w:rFonts w:ascii="Times New Roman" w:hAnsi="Times New Roman" w:cs="Times New Roman"/>
          <w:color w:val="000000" w:themeColor="text1"/>
        </w:rPr>
      </w:pPr>
      <w:r w:rsidRPr="0058379E">
        <w:rPr>
          <w:rFonts w:ascii="Times New Roman" w:hAnsi="Times New Roman" w:cs="Times New Roman"/>
          <w:b/>
          <w:bCs/>
          <w:color w:val="000000" w:themeColor="text1"/>
        </w:rPr>
        <w:t>Verdict:</w:t>
      </w:r>
      <w:r w:rsidRPr="0058379E">
        <w:rPr>
          <w:rFonts w:ascii="Times New Roman" w:hAnsi="Times New Roman" w:cs="Times New Roman"/>
          <w:color w:val="000000" w:themeColor="text1"/>
        </w:rPr>
        <w:t xml:space="preserve"> Fund 1 provides better diversification than Fund 2: lower static and down‑market coupling and a higher DB. Neither fund is a pure hedge. Fund 1 is the superior portfolio diversifier in our sample, while Fund 2 behaves as a directional risk‑on macro sleeve.</w:t>
      </w:r>
    </w:p>
    <w:p w14:paraId="3D0C0D7E" w14:textId="0F1124CC" w:rsidR="008767DA" w:rsidRPr="00BF5A80" w:rsidRDefault="00A23B3D">
      <w:pPr>
        <w:pStyle w:val="Body"/>
        <w:rPr>
          <w:rFonts w:asciiTheme="minorHAnsi" w:hAnsiTheme="minorHAnsi"/>
          <w:b/>
          <w:bCs/>
          <w:color w:val="000000" w:themeColor="text1"/>
          <w:sz w:val="28"/>
          <w:szCs w:val="28"/>
        </w:rPr>
      </w:pPr>
      <w:r w:rsidRPr="00BF5A80">
        <w:rPr>
          <w:rFonts w:asciiTheme="minorHAnsi" w:hAnsiTheme="minorHAnsi"/>
          <w:b/>
          <w:bCs/>
          <w:color w:val="000000" w:themeColor="text1"/>
          <w:sz w:val="28"/>
          <w:szCs w:val="28"/>
        </w:rPr>
        <w:t>Conclusion:</w:t>
      </w:r>
    </w:p>
    <w:p w14:paraId="3ECC3989" w14:textId="426DBF8B" w:rsidR="00A23B3D" w:rsidRPr="00B5405A" w:rsidRDefault="00B5405A" w:rsidP="00B5405A">
      <w:r>
        <w:t>Fund 1 (Systematic Global Macro) offers adaptability, diversification, and process-driven resilience, making it better suited for a risk-mitigating allocation. Fund 2 (Event-Driven Credit) demonstrates higher returns and superior drawdown metrics, fitting better in a return-seeking or opportunistic sleeve.</w:t>
      </w:r>
    </w:p>
    <w:sectPr w:rsidR="00A23B3D" w:rsidRPr="00B540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5563796">
    <w:abstractNumId w:val="8"/>
  </w:num>
  <w:num w:numId="2" w16cid:durableId="860361750">
    <w:abstractNumId w:val="6"/>
  </w:num>
  <w:num w:numId="3" w16cid:durableId="663699447">
    <w:abstractNumId w:val="5"/>
  </w:num>
  <w:num w:numId="4" w16cid:durableId="593246465">
    <w:abstractNumId w:val="4"/>
  </w:num>
  <w:num w:numId="5" w16cid:durableId="870457473">
    <w:abstractNumId w:val="7"/>
  </w:num>
  <w:num w:numId="6" w16cid:durableId="2141267217">
    <w:abstractNumId w:val="3"/>
  </w:num>
  <w:num w:numId="7" w16cid:durableId="1092969995">
    <w:abstractNumId w:val="2"/>
  </w:num>
  <w:num w:numId="8" w16cid:durableId="130442156">
    <w:abstractNumId w:val="1"/>
  </w:num>
  <w:num w:numId="9" w16cid:durableId="634604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0E1"/>
    <w:rsid w:val="00034616"/>
    <w:rsid w:val="0006063C"/>
    <w:rsid w:val="000D3546"/>
    <w:rsid w:val="000F3A08"/>
    <w:rsid w:val="0010562A"/>
    <w:rsid w:val="00112132"/>
    <w:rsid w:val="001436E9"/>
    <w:rsid w:val="0015074B"/>
    <w:rsid w:val="0029639D"/>
    <w:rsid w:val="00326F90"/>
    <w:rsid w:val="00394E7F"/>
    <w:rsid w:val="003D1591"/>
    <w:rsid w:val="003E223E"/>
    <w:rsid w:val="00427F97"/>
    <w:rsid w:val="0044225C"/>
    <w:rsid w:val="00493B43"/>
    <w:rsid w:val="005612CE"/>
    <w:rsid w:val="00565C38"/>
    <w:rsid w:val="0058379E"/>
    <w:rsid w:val="005C4224"/>
    <w:rsid w:val="00654502"/>
    <w:rsid w:val="006A176E"/>
    <w:rsid w:val="007C6127"/>
    <w:rsid w:val="00816E71"/>
    <w:rsid w:val="0087175C"/>
    <w:rsid w:val="008767DA"/>
    <w:rsid w:val="00920A41"/>
    <w:rsid w:val="00944D17"/>
    <w:rsid w:val="00A1510D"/>
    <w:rsid w:val="00A201ED"/>
    <w:rsid w:val="00A23B3D"/>
    <w:rsid w:val="00A56930"/>
    <w:rsid w:val="00AA1D8D"/>
    <w:rsid w:val="00AB5A65"/>
    <w:rsid w:val="00AD08CE"/>
    <w:rsid w:val="00AF4AD9"/>
    <w:rsid w:val="00B47730"/>
    <w:rsid w:val="00B5405A"/>
    <w:rsid w:val="00B93A70"/>
    <w:rsid w:val="00BC547A"/>
    <w:rsid w:val="00BF5A80"/>
    <w:rsid w:val="00C00F18"/>
    <w:rsid w:val="00CA7D20"/>
    <w:rsid w:val="00CB0664"/>
    <w:rsid w:val="00D5086A"/>
    <w:rsid w:val="00D67E8F"/>
    <w:rsid w:val="00E17AFB"/>
    <w:rsid w:val="00E921CC"/>
    <w:rsid w:val="00EE473C"/>
    <w:rsid w:val="00F55776"/>
    <w:rsid w:val="00FC693F"/>
    <w:rsid w:val="00FD68C9"/>
    <w:rsid w:val="00FF1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5D5EB9"/>
  <w14:defaultImageDpi w14:val="300"/>
  <w15:docId w15:val="{2A953568-3588-7542-9496-28DD79CF0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rPr>
      <w:rFonts w:ascii="Calibri" w:eastAsia="Calibri" w:hAnsi="Calibri"/>
    </w:rPr>
  </w:style>
  <w:style w:type="paragraph" w:styleId="Revision">
    <w:name w:val="Revision"/>
    <w:hidden/>
    <w:uiPriority w:val="99"/>
    <w:semiHidden/>
    <w:rsid w:val="005C422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743</Words>
  <Characters>4238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Teddy Tenetcha</cp:lastModifiedBy>
  <cp:revision>2</cp:revision>
  <dcterms:created xsi:type="dcterms:W3CDTF">2025-11-26T00:47:00Z</dcterms:created>
  <dcterms:modified xsi:type="dcterms:W3CDTF">2025-11-26T00:47:00Z</dcterms:modified>
  <cp:category/>
</cp:coreProperties>
</file>