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E822E" w14:textId="7E84C3BD" w:rsidR="0070563A" w:rsidRDefault="00D912E2">
      <w:r>
        <w:rPr>
          <w:b/>
          <w:sz w:val="30"/>
        </w:rPr>
        <w:t xml:space="preserve">Hedge Fund 1: </w:t>
      </w:r>
      <w:r w:rsidR="00000000">
        <w:rPr>
          <w:b/>
          <w:sz w:val="30"/>
        </w:rPr>
        <w:t xml:space="preserve">Event-Driven Credit </w:t>
      </w:r>
      <w:r w:rsidR="00563DB3">
        <w:rPr>
          <w:b/>
          <w:sz w:val="30"/>
        </w:rPr>
        <w:t>-</w:t>
      </w:r>
      <w:r w:rsidR="00000000">
        <w:rPr>
          <w:b/>
          <w:sz w:val="30"/>
        </w:rPr>
        <w:t xml:space="preserve"> Evaluation Q&amp;A (2015</w:t>
      </w:r>
      <w:r w:rsidR="006A3422">
        <w:rPr>
          <w:b/>
          <w:sz w:val="30"/>
        </w:rPr>
        <w:t>-</w:t>
      </w:r>
      <w:r w:rsidR="00000000">
        <w:rPr>
          <w:b/>
          <w:sz w:val="30"/>
        </w:rPr>
        <w:t>2025)</w:t>
      </w:r>
    </w:p>
    <w:p w14:paraId="7B52DAEF" w14:textId="524A1381" w:rsidR="00621D93" w:rsidRPr="00F33E37" w:rsidRDefault="00621D93" w:rsidP="00621D93">
      <w:pPr>
        <w:pStyle w:val="Body"/>
        <w:rPr>
          <w:rFonts w:ascii="Times New Roman" w:hAnsi="Times New Roman" w:cs="Times New Roman"/>
        </w:rPr>
      </w:pPr>
      <w:r w:rsidRPr="00F33E37">
        <w:rPr>
          <w:rFonts w:ascii="Times New Roman" w:hAnsi="Times New Roman" w:cs="Times New Roman"/>
        </w:rPr>
        <w:t>Framework: objectives are (</w:t>
      </w:r>
      <w:proofErr w:type="spellStart"/>
      <w:r w:rsidRPr="00F33E37">
        <w:rPr>
          <w:rFonts w:ascii="Times New Roman" w:hAnsi="Times New Roman" w:cs="Times New Roman"/>
        </w:rPr>
        <w:t>i</w:t>
      </w:r>
      <w:proofErr w:type="spellEnd"/>
      <w:r w:rsidRPr="00F33E37">
        <w:rPr>
          <w:rFonts w:ascii="Times New Roman" w:hAnsi="Times New Roman" w:cs="Times New Roman"/>
        </w:rPr>
        <w:t xml:space="preserve">) long‑term return </w:t>
      </w:r>
      <w:r w:rsidR="00F33E37">
        <w:rPr>
          <w:rFonts w:ascii="Times New Roman" w:hAnsi="Times New Roman" w:cs="Times New Roman"/>
        </w:rPr>
        <w:t>&gt;</w:t>
      </w:r>
      <w:r w:rsidRPr="00F33E37">
        <w:rPr>
          <w:rFonts w:ascii="Times New Roman" w:hAnsi="Times New Roman" w:cs="Times New Roman"/>
        </w:rPr>
        <w:t xml:space="preserve"> high single digits (8%), (ii) capital preservation, (iii) diversification vs public equities.</w:t>
      </w:r>
    </w:p>
    <w:p w14:paraId="34A5FEC2" w14:textId="49929556" w:rsidR="00621D93" w:rsidRPr="00F33E37" w:rsidRDefault="00621D93" w:rsidP="00621D93">
      <w:pPr>
        <w:pStyle w:val="Body"/>
        <w:rPr>
          <w:rFonts w:ascii="Times New Roman" w:hAnsi="Times New Roman" w:cs="Times New Roman"/>
          <w:b/>
          <w:bCs/>
        </w:rPr>
      </w:pPr>
      <w:r w:rsidRPr="00F33E37">
        <w:rPr>
          <w:rFonts w:ascii="Times New Roman" w:hAnsi="Times New Roman" w:cs="Times New Roman"/>
          <w:b/>
          <w:bCs/>
        </w:rPr>
        <w:t>1) What stands out relative to the three objectives</w:t>
      </w:r>
      <w:r w:rsidR="00A620D0">
        <w:rPr>
          <w:rFonts w:ascii="Times New Roman" w:hAnsi="Times New Roman" w:cs="Times New Roman"/>
          <w:b/>
          <w:bCs/>
        </w:rPr>
        <w:t>?</w:t>
      </w:r>
    </w:p>
    <w:p w14:paraId="5F2B1C96" w14:textId="77777777" w:rsidR="00621D93" w:rsidRPr="00F33E37" w:rsidRDefault="00621D93" w:rsidP="00621D93">
      <w:pPr>
        <w:pStyle w:val="Body"/>
        <w:rPr>
          <w:rFonts w:ascii="Times New Roman" w:hAnsi="Times New Roman" w:cs="Times New Roman"/>
        </w:rPr>
      </w:pPr>
      <w:r w:rsidRPr="00F33E37">
        <w:rPr>
          <w:rFonts w:ascii="Times New Roman" w:hAnsi="Times New Roman" w:cs="Times New Roman"/>
        </w:rPr>
        <w:t>What stands out is that the fund offers partial but tangible risk-mitigation. Its alpha process works, yet it depends on market liquidity and event timing.</w:t>
      </w:r>
    </w:p>
    <w:p w14:paraId="13F4849B" w14:textId="77777777" w:rsidR="00621D93" w:rsidRPr="00F33E37" w:rsidRDefault="00621D93" w:rsidP="00621D93">
      <w:pPr>
        <w:pStyle w:val="Body"/>
        <w:rPr>
          <w:rFonts w:ascii="Times New Roman" w:hAnsi="Times New Roman" w:cs="Times New Roman"/>
        </w:rPr>
      </w:pPr>
      <w:r w:rsidRPr="00F33E37">
        <w:rPr>
          <w:rFonts w:ascii="Times New Roman" w:hAnsi="Times New Roman" w:cs="Times New Roman"/>
        </w:rPr>
        <w:t>Performance is steady in normal credit conditions, with temporary losses emerging only during liquidity contractions, followed by eventual recovery.</w:t>
      </w:r>
    </w:p>
    <w:p w14:paraId="268FE72E" w14:textId="77777777" w:rsidR="00621D93" w:rsidRPr="00F33E37" w:rsidRDefault="00621D93" w:rsidP="00621D93">
      <w:pPr>
        <w:pStyle w:val="Body"/>
        <w:rPr>
          <w:rFonts w:ascii="Times New Roman" w:hAnsi="Times New Roman" w:cs="Times New Roman"/>
        </w:rPr>
      </w:pPr>
      <w:r w:rsidRPr="00F33E37">
        <w:rPr>
          <w:rFonts w:ascii="Times New Roman" w:hAnsi="Times New Roman" w:cs="Times New Roman"/>
        </w:rPr>
        <w:t>In relation to the 3 objectives:</w:t>
      </w:r>
    </w:p>
    <w:p w14:paraId="79A4A460" w14:textId="77777777" w:rsidR="00621D93" w:rsidRPr="00F33E37" w:rsidRDefault="00621D93" w:rsidP="00621D93">
      <w:pPr>
        <w:pStyle w:val="Body"/>
        <w:rPr>
          <w:rFonts w:ascii="Times New Roman" w:hAnsi="Times New Roman" w:cs="Times New Roman"/>
        </w:rPr>
      </w:pPr>
      <w:r w:rsidRPr="00F33E37">
        <w:rPr>
          <w:rFonts w:ascii="Times New Roman" w:hAnsi="Times New Roman" w:cs="Times New Roman"/>
        </w:rPr>
        <w:t>• Return objective: Average rolling 12-month return = 5.4 %, with occasional spikes above 8 %. Performance is good for a defensive credit sleeve.</w:t>
      </w:r>
    </w:p>
    <w:p w14:paraId="3C4300D2" w14:textId="12134E97" w:rsidR="00621D93" w:rsidRPr="00F33E37" w:rsidRDefault="00621D93" w:rsidP="00621D93">
      <w:pPr>
        <w:pStyle w:val="Body"/>
        <w:rPr>
          <w:rFonts w:ascii="Times New Roman" w:hAnsi="Times New Roman" w:cs="Times New Roman"/>
        </w:rPr>
      </w:pPr>
      <w:r w:rsidRPr="00F33E37">
        <w:rPr>
          <w:rFonts w:ascii="Times New Roman" w:hAnsi="Times New Roman" w:cs="Times New Roman"/>
        </w:rPr>
        <w:t xml:space="preserve">• Capital preservation: Max drawdown = </w:t>
      </w:r>
      <w:r w:rsidR="001B0288" w:rsidRPr="00F33E37">
        <w:rPr>
          <w:rFonts w:ascii="Times New Roman" w:hAnsi="Times New Roman" w:cs="Times New Roman"/>
        </w:rPr>
        <w:t>-</w:t>
      </w:r>
      <w:r w:rsidRPr="00F33E37">
        <w:rPr>
          <w:rFonts w:ascii="Times New Roman" w:hAnsi="Times New Roman" w:cs="Times New Roman"/>
        </w:rPr>
        <w:t>23 %, average underwater = 9 months, Ulcer Index = 9.4 %, MAR = 0.23. Losses are painful but recoverable</w:t>
      </w:r>
      <w:r w:rsidR="00670BCE" w:rsidRPr="00F33E37">
        <w:rPr>
          <w:rFonts w:ascii="Times New Roman" w:hAnsi="Times New Roman" w:cs="Times New Roman"/>
        </w:rPr>
        <w:t>. R</w:t>
      </w:r>
      <w:r w:rsidRPr="00F33E37">
        <w:rPr>
          <w:rFonts w:ascii="Times New Roman" w:hAnsi="Times New Roman" w:cs="Times New Roman"/>
        </w:rPr>
        <w:t>isk is periodic, not structural.</w:t>
      </w:r>
    </w:p>
    <w:p w14:paraId="5282F53C" w14:textId="044C5218" w:rsidR="00621D93" w:rsidRPr="00F33E37" w:rsidRDefault="00621D93" w:rsidP="00621D93">
      <w:pPr>
        <w:pStyle w:val="Body"/>
        <w:rPr>
          <w:rFonts w:ascii="Times New Roman" w:hAnsi="Times New Roman" w:cs="Times New Roman"/>
        </w:rPr>
      </w:pPr>
      <w:r w:rsidRPr="00F33E37">
        <w:rPr>
          <w:rFonts w:ascii="Times New Roman" w:hAnsi="Times New Roman" w:cs="Times New Roman"/>
        </w:rPr>
        <w:t xml:space="preserve">• Diversification: Static correlation = </w:t>
      </w:r>
      <w:r w:rsidR="001B0288" w:rsidRPr="00F33E37">
        <w:rPr>
          <w:rFonts w:ascii="Times New Roman" w:hAnsi="Times New Roman" w:cs="Times New Roman"/>
        </w:rPr>
        <w:t>-</w:t>
      </w:r>
      <w:r w:rsidRPr="00F33E37">
        <w:rPr>
          <w:rFonts w:ascii="Times New Roman" w:hAnsi="Times New Roman" w:cs="Times New Roman"/>
        </w:rPr>
        <w:t>0.03, Down-Market beta = 0.15, DB (Diversification Benefit) = 0.30. The fund sits mostly off the equity market and provides moderate diversification even if liquidity beta shows in stress.</w:t>
      </w:r>
    </w:p>
    <w:p w14:paraId="0506D33F" w14:textId="77777777" w:rsidR="00621D93" w:rsidRPr="00F33E37" w:rsidRDefault="00621D93" w:rsidP="00621D93">
      <w:pPr>
        <w:pStyle w:val="Body"/>
        <w:rPr>
          <w:rFonts w:ascii="Times New Roman" w:hAnsi="Times New Roman" w:cs="Times New Roman"/>
          <w:b/>
          <w:bCs/>
        </w:rPr>
      </w:pPr>
      <w:r w:rsidRPr="00F33E37">
        <w:rPr>
          <w:rFonts w:ascii="Times New Roman" w:hAnsi="Times New Roman" w:cs="Times New Roman"/>
          <w:b/>
          <w:bCs/>
        </w:rPr>
        <w:t>2) Would you recommend further due diligence?</w:t>
      </w:r>
    </w:p>
    <w:p w14:paraId="71E2C032" w14:textId="77777777" w:rsidR="00621D93" w:rsidRPr="00F33E37" w:rsidRDefault="00621D93" w:rsidP="00621D93">
      <w:pPr>
        <w:pStyle w:val="Body"/>
        <w:rPr>
          <w:rFonts w:ascii="Times New Roman" w:hAnsi="Times New Roman" w:cs="Times New Roman"/>
        </w:rPr>
      </w:pPr>
      <w:r w:rsidRPr="00F33E37">
        <w:rPr>
          <w:rFonts w:ascii="Times New Roman" w:hAnsi="Times New Roman" w:cs="Times New Roman"/>
        </w:rPr>
        <w:t>Yes, for a risk-mitigating asset sleeve.</w:t>
      </w:r>
    </w:p>
    <w:p w14:paraId="22F433BB" w14:textId="5BB8F58D" w:rsidR="00621D93" w:rsidRPr="00F33E37" w:rsidRDefault="00621D93" w:rsidP="00621D93">
      <w:pPr>
        <w:pStyle w:val="Body"/>
        <w:rPr>
          <w:rFonts w:ascii="Times New Roman" w:hAnsi="Times New Roman" w:cs="Times New Roman"/>
        </w:rPr>
      </w:pPr>
      <w:r w:rsidRPr="00F33E37">
        <w:rPr>
          <w:rFonts w:ascii="Times New Roman" w:hAnsi="Times New Roman" w:cs="Times New Roman"/>
        </w:rPr>
        <w:t>The fund’s behavior aligns reasonably with a defensive allocation</w:t>
      </w:r>
      <w:r w:rsidR="001B0288" w:rsidRPr="00F33E37">
        <w:rPr>
          <w:rFonts w:ascii="Times New Roman" w:hAnsi="Times New Roman" w:cs="Times New Roman"/>
        </w:rPr>
        <w:t>. We observed</w:t>
      </w:r>
      <w:r w:rsidRPr="00F33E37">
        <w:rPr>
          <w:rFonts w:ascii="Times New Roman" w:hAnsi="Times New Roman" w:cs="Times New Roman"/>
        </w:rPr>
        <w:t xml:space="preserve"> limited equity correlation, manageable drawdowns, and idiosyncratic catalysts that can offset market noise.</w:t>
      </w:r>
    </w:p>
    <w:p w14:paraId="0D714043" w14:textId="7E656E85" w:rsidR="00621D93" w:rsidRPr="00F33E37" w:rsidRDefault="00621D93" w:rsidP="00621D93">
      <w:pPr>
        <w:pStyle w:val="Body"/>
        <w:rPr>
          <w:rFonts w:ascii="Times New Roman" w:hAnsi="Times New Roman" w:cs="Times New Roman"/>
        </w:rPr>
      </w:pPr>
      <w:r w:rsidRPr="00F33E37">
        <w:rPr>
          <w:rFonts w:ascii="Times New Roman" w:hAnsi="Times New Roman" w:cs="Times New Roman"/>
        </w:rPr>
        <w:t xml:space="preserve">Further due diligence should confirm the stability of </w:t>
      </w:r>
      <w:r w:rsidR="002F0BC6" w:rsidRPr="00F33E37">
        <w:rPr>
          <w:rFonts w:ascii="Times New Roman" w:hAnsi="Times New Roman" w:cs="Times New Roman"/>
        </w:rPr>
        <w:t xml:space="preserve">the hedge fund </w:t>
      </w:r>
      <w:r w:rsidRPr="00F33E37">
        <w:rPr>
          <w:rFonts w:ascii="Times New Roman" w:hAnsi="Times New Roman" w:cs="Times New Roman"/>
        </w:rPr>
        <w:t>liquidity management and event pipeline under tighter funding conditions.</w:t>
      </w:r>
    </w:p>
    <w:p w14:paraId="4CBB0E13" w14:textId="00C3419E" w:rsidR="00621D93" w:rsidRPr="00F33E37" w:rsidRDefault="00621D93" w:rsidP="00621D93">
      <w:pPr>
        <w:pStyle w:val="Body"/>
        <w:rPr>
          <w:rFonts w:ascii="Times New Roman" w:hAnsi="Times New Roman" w:cs="Times New Roman"/>
          <w:b/>
          <w:bCs/>
        </w:rPr>
      </w:pPr>
      <w:r w:rsidRPr="00F33E37">
        <w:rPr>
          <w:rFonts w:ascii="Times New Roman" w:hAnsi="Times New Roman" w:cs="Times New Roman"/>
          <w:b/>
          <w:bCs/>
        </w:rPr>
        <w:t>3) What additional information would complete the evaluation</w:t>
      </w:r>
      <w:r w:rsidR="002D372E">
        <w:rPr>
          <w:rFonts w:ascii="Times New Roman" w:hAnsi="Times New Roman" w:cs="Times New Roman"/>
          <w:b/>
          <w:bCs/>
        </w:rPr>
        <w:t>?</w:t>
      </w:r>
    </w:p>
    <w:p w14:paraId="3F17D089" w14:textId="77777777" w:rsidR="00621D93" w:rsidRPr="00F33E37" w:rsidRDefault="00621D93" w:rsidP="00621D93">
      <w:pPr>
        <w:pStyle w:val="Body"/>
        <w:rPr>
          <w:rFonts w:ascii="Times New Roman" w:hAnsi="Times New Roman" w:cs="Times New Roman"/>
        </w:rPr>
      </w:pPr>
      <w:r w:rsidRPr="00F33E37">
        <w:rPr>
          <w:rFonts w:ascii="Times New Roman" w:hAnsi="Times New Roman" w:cs="Times New Roman"/>
        </w:rPr>
        <w:t>For a clearer view of its defensive reliability:</w:t>
      </w:r>
    </w:p>
    <w:p w14:paraId="0FA7E540" w14:textId="77777777" w:rsidR="00621D93" w:rsidRPr="00F33E37" w:rsidRDefault="00621D93" w:rsidP="00621D93">
      <w:pPr>
        <w:pStyle w:val="Body"/>
        <w:rPr>
          <w:rFonts w:ascii="Times New Roman" w:hAnsi="Times New Roman" w:cs="Times New Roman"/>
        </w:rPr>
      </w:pPr>
      <w:r w:rsidRPr="00F33E37">
        <w:rPr>
          <w:rFonts w:ascii="Times New Roman" w:hAnsi="Times New Roman" w:cs="Times New Roman"/>
        </w:rPr>
        <w:t>• Evidence of P&amp;L drivers by catalyst type (merger arb, distressed) to separate carry from true idiosyncratic alpha.</w:t>
      </w:r>
    </w:p>
    <w:p w14:paraId="371274AF" w14:textId="1212AF05" w:rsidR="00621D93" w:rsidRPr="00F33E37" w:rsidRDefault="00621D93" w:rsidP="00621D93">
      <w:pPr>
        <w:pStyle w:val="Body"/>
        <w:rPr>
          <w:rFonts w:ascii="Times New Roman" w:hAnsi="Times New Roman" w:cs="Times New Roman"/>
        </w:rPr>
      </w:pPr>
      <w:r w:rsidRPr="00F33E37">
        <w:rPr>
          <w:rFonts w:ascii="Times New Roman" w:hAnsi="Times New Roman" w:cs="Times New Roman"/>
        </w:rPr>
        <w:t>• A liquidity ladder (time</w:t>
      </w:r>
      <w:r w:rsidR="00763670" w:rsidRPr="00F33E37">
        <w:rPr>
          <w:rFonts w:ascii="Times New Roman" w:hAnsi="Times New Roman" w:cs="Times New Roman"/>
        </w:rPr>
        <w:t xml:space="preserve"> </w:t>
      </w:r>
      <w:r w:rsidRPr="00F33E37">
        <w:rPr>
          <w:rFonts w:ascii="Times New Roman" w:hAnsi="Times New Roman" w:cs="Times New Roman"/>
        </w:rPr>
        <w:t>to</w:t>
      </w:r>
      <w:r w:rsidR="00763670" w:rsidRPr="00F33E37">
        <w:rPr>
          <w:rFonts w:ascii="Times New Roman" w:hAnsi="Times New Roman" w:cs="Times New Roman"/>
        </w:rPr>
        <w:t xml:space="preserve"> </w:t>
      </w:r>
      <w:r w:rsidRPr="00F33E37">
        <w:rPr>
          <w:rFonts w:ascii="Times New Roman" w:hAnsi="Times New Roman" w:cs="Times New Roman"/>
        </w:rPr>
        <w:t>cash) and details on redemption terms.</w:t>
      </w:r>
    </w:p>
    <w:p w14:paraId="6958E932" w14:textId="5A132C66" w:rsidR="00517B5C" w:rsidRDefault="00621D93" w:rsidP="00621D93">
      <w:pPr>
        <w:pStyle w:val="Body"/>
        <w:rPr>
          <w:rFonts w:ascii="Times New Roman" w:hAnsi="Times New Roman" w:cs="Times New Roman"/>
        </w:rPr>
      </w:pPr>
      <w:r w:rsidRPr="00F33E37">
        <w:rPr>
          <w:rFonts w:ascii="Times New Roman" w:hAnsi="Times New Roman" w:cs="Times New Roman"/>
        </w:rPr>
        <w:t>• Historical recovery profile: median time from drawdown trough to new high, to evaluate resilience.</w:t>
      </w:r>
    </w:p>
    <w:p w14:paraId="4CAA44AE" w14:textId="1965143B" w:rsidR="00F33E37" w:rsidRPr="00F33E37" w:rsidRDefault="00F33E37" w:rsidP="00621D93">
      <w:pPr>
        <w:pStyle w:val="Body"/>
        <w:rPr>
          <w:rFonts w:ascii="Times New Roman" w:hAnsi="Times New Roman" w:cs="Times New Roman"/>
        </w:rPr>
      </w:pPr>
    </w:p>
    <w:sectPr w:rsidR="00F33E37" w:rsidRPr="00F33E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956701">
    <w:abstractNumId w:val="8"/>
  </w:num>
  <w:num w:numId="2" w16cid:durableId="1790735754">
    <w:abstractNumId w:val="6"/>
  </w:num>
  <w:num w:numId="3" w16cid:durableId="1693653548">
    <w:abstractNumId w:val="5"/>
  </w:num>
  <w:num w:numId="4" w16cid:durableId="472142150">
    <w:abstractNumId w:val="4"/>
  </w:num>
  <w:num w:numId="5" w16cid:durableId="1181625079">
    <w:abstractNumId w:val="7"/>
  </w:num>
  <w:num w:numId="6" w16cid:durableId="1974012">
    <w:abstractNumId w:val="3"/>
  </w:num>
  <w:num w:numId="7" w16cid:durableId="621226395">
    <w:abstractNumId w:val="2"/>
  </w:num>
  <w:num w:numId="8" w16cid:durableId="877359366">
    <w:abstractNumId w:val="1"/>
  </w:num>
  <w:num w:numId="9" w16cid:durableId="1377968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288"/>
    <w:rsid w:val="0029639D"/>
    <w:rsid w:val="002D372E"/>
    <w:rsid w:val="002F0BC6"/>
    <w:rsid w:val="00326F90"/>
    <w:rsid w:val="004C27E1"/>
    <w:rsid w:val="00517B5C"/>
    <w:rsid w:val="00563DB3"/>
    <w:rsid w:val="00621D93"/>
    <w:rsid w:val="00670BCE"/>
    <w:rsid w:val="006A3422"/>
    <w:rsid w:val="0070563A"/>
    <w:rsid w:val="00763670"/>
    <w:rsid w:val="00812BE5"/>
    <w:rsid w:val="008E474D"/>
    <w:rsid w:val="0095047F"/>
    <w:rsid w:val="00A620D0"/>
    <w:rsid w:val="00AA1D8D"/>
    <w:rsid w:val="00B47730"/>
    <w:rsid w:val="00B66D96"/>
    <w:rsid w:val="00CB0664"/>
    <w:rsid w:val="00D912E2"/>
    <w:rsid w:val="00E37908"/>
    <w:rsid w:val="00E41709"/>
    <w:rsid w:val="00E70264"/>
    <w:rsid w:val="00F33E37"/>
    <w:rsid w:val="00FC693F"/>
    <w:rsid w:val="00FD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D365E3"/>
  <w14:defaultImageDpi w14:val="300"/>
  <w15:docId w15:val="{2A953568-3588-7542-9496-28DD79CF0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rPr>
      <w:rFonts w:ascii="Calibri" w:eastAsia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Teddy Tenetcha</cp:lastModifiedBy>
  <cp:revision>15</cp:revision>
  <dcterms:created xsi:type="dcterms:W3CDTF">2025-11-12T03:33:00Z</dcterms:created>
  <dcterms:modified xsi:type="dcterms:W3CDTF">2025-11-12T06:51:00Z</dcterms:modified>
  <cp:category/>
</cp:coreProperties>
</file>