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1D6D1" w14:textId="0AFB5A7E" w:rsidR="007B1B34" w:rsidRDefault="00315852">
      <w:r>
        <w:rPr>
          <w:b/>
          <w:sz w:val="30"/>
        </w:rPr>
        <w:t xml:space="preserve">Hedge Fund 2: </w:t>
      </w:r>
      <w:r w:rsidR="00000000">
        <w:rPr>
          <w:b/>
          <w:sz w:val="30"/>
        </w:rPr>
        <w:t>Systematic Global Macro</w:t>
      </w:r>
      <w:r w:rsidR="00CE7A3F">
        <w:rPr>
          <w:b/>
          <w:sz w:val="30"/>
        </w:rPr>
        <w:t>-</w:t>
      </w:r>
      <w:r w:rsidR="00000000">
        <w:rPr>
          <w:b/>
          <w:sz w:val="30"/>
        </w:rPr>
        <w:t xml:space="preserve"> Evaluation Q&amp;A (2015–2025)</w:t>
      </w:r>
    </w:p>
    <w:p w14:paraId="3166AF65" w14:textId="1BF51EDF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Framework: objectives are (</w:t>
      </w:r>
      <w:proofErr w:type="spellStart"/>
      <w:r w:rsidRPr="00D10CA6">
        <w:rPr>
          <w:rFonts w:ascii="Times New Roman" w:hAnsi="Times New Roman" w:cs="Times New Roman"/>
          <w:bCs/>
        </w:rPr>
        <w:t>i</w:t>
      </w:r>
      <w:proofErr w:type="spellEnd"/>
      <w:r w:rsidRPr="00D10CA6">
        <w:rPr>
          <w:rFonts w:ascii="Times New Roman" w:hAnsi="Times New Roman" w:cs="Times New Roman"/>
          <w:bCs/>
        </w:rPr>
        <w:t xml:space="preserve">) long - term return </w:t>
      </w:r>
      <w:r w:rsidR="000373EC">
        <w:rPr>
          <w:rFonts w:ascii="Times New Roman" w:hAnsi="Times New Roman" w:cs="Times New Roman"/>
          <w:bCs/>
        </w:rPr>
        <w:t>&gt;</w:t>
      </w:r>
      <w:r w:rsidRPr="00D10CA6">
        <w:rPr>
          <w:rFonts w:ascii="Times New Roman" w:hAnsi="Times New Roman" w:cs="Times New Roman"/>
          <w:bCs/>
        </w:rPr>
        <w:t xml:space="preserve"> high single digits (8%), (ii) capital preservation, (iii) diversification vs public equities.</w:t>
      </w:r>
    </w:p>
    <w:p w14:paraId="4B6373F5" w14:textId="71CA9694" w:rsidR="00624078" w:rsidRPr="00D10CA6" w:rsidRDefault="00624078" w:rsidP="00624078">
      <w:pPr>
        <w:pStyle w:val="Body"/>
        <w:rPr>
          <w:rFonts w:ascii="Times New Roman" w:hAnsi="Times New Roman" w:cs="Times New Roman"/>
          <w:b/>
        </w:rPr>
      </w:pPr>
      <w:r w:rsidRPr="00D10CA6">
        <w:rPr>
          <w:rFonts w:ascii="Times New Roman" w:hAnsi="Times New Roman" w:cs="Times New Roman"/>
          <w:b/>
        </w:rPr>
        <w:t>1) What stands out relative to the three objectives</w:t>
      </w:r>
      <w:r w:rsidR="006C552E">
        <w:rPr>
          <w:rFonts w:ascii="Times New Roman" w:hAnsi="Times New Roman" w:cs="Times New Roman"/>
          <w:b/>
        </w:rPr>
        <w:t>?</w:t>
      </w:r>
    </w:p>
    <w:p w14:paraId="41376EE4" w14:textId="35E553FD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What stands out is that the fund behaves more like a growth strategy than a risk-mitigating one. It performs well in rising markets but fails to protect capital when equities fall.</w:t>
      </w:r>
    </w:p>
    <w:p w14:paraId="06A5FEA4" w14:textId="77777777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In relation to the 3 objectives:</w:t>
      </w:r>
    </w:p>
    <w:p w14:paraId="29269CF1" w14:textId="77777777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• Return objective: Rolling 12-month returns often exceed 8 %, but gains occur mainly during equity rallies.</w:t>
      </w:r>
    </w:p>
    <w:p w14:paraId="495F8857" w14:textId="20AC789A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 xml:space="preserve">• Capital preservation: Volatility is low, yet the fund still loses value in market drawdowns (Down-Market </w:t>
      </w:r>
      <w:r w:rsidR="00367065" w:rsidRPr="00D10CA6">
        <w:rPr>
          <w:rFonts w:ascii="Times New Roman" w:hAnsi="Times New Roman" w:cs="Times New Roman"/>
          <w:bCs/>
        </w:rPr>
        <w:t>beta</w:t>
      </w:r>
      <w:r w:rsidRPr="00D10CA6">
        <w:rPr>
          <w:rFonts w:ascii="Times New Roman" w:hAnsi="Times New Roman" w:cs="Times New Roman"/>
          <w:bCs/>
        </w:rPr>
        <w:t xml:space="preserve"> = 0.44).</w:t>
      </w:r>
    </w:p>
    <w:p w14:paraId="67DD57DC" w14:textId="59DA4522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 xml:space="preserve">• Diversification: High correlation with the S&amp;P 500 </w:t>
      </w:r>
      <w:r w:rsidR="005F021B" w:rsidRPr="00D10CA6">
        <w:rPr>
          <w:rFonts w:ascii="Times New Roman" w:hAnsi="Times New Roman" w:cs="Times New Roman"/>
          <w:bCs/>
        </w:rPr>
        <w:t>(0.56</w:t>
      </w:r>
      <w:r w:rsidRPr="00D10CA6">
        <w:rPr>
          <w:rFonts w:ascii="Times New Roman" w:hAnsi="Times New Roman" w:cs="Times New Roman"/>
          <w:bCs/>
        </w:rPr>
        <w:t xml:space="preserve">) and a modest </w:t>
      </w:r>
      <w:r w:rsidR="002F6F2E" w:rsidRPr="00D10CA6">
        <w:rPr>
          <w:rFonts w:ascii="Times New Roman" w:hAnsi="Times New Roman" w:cs="Times New Roman"/>
          <w:bCs/>
        </w:rPr>
        <w:t xml:space="preserve">Diversification Benefit - </w:t>
      </w:r>
      <w:r w:rsidRPr="00D10CA6">
        <w:rPr>
          <w:rFonts w:ascii="Times New Roman" w:hAnsi="Times New Roman" w:cs="Times New Roman"/>
          <w:bCs/>
        </w:rPr>
        <w:t>DB (0.17) show limited risk-mitigation power.</w:t>
      </w:r>
    </w:p>
    <w:p w14:paraId="3180735B" w14:textId="77777777" w:rsidR="00624078" w:rsidRPr="00D10CA6" w:rsidRDefault="00624078" w:rsidP="00624078">
      <w:pPr>
        <w:pStyle w:val="Body"/>
        <w:rPr>
          <w:rFonts w:ascii="Times New Roman" w:hAnsi="Times New Roman" w:cs="Times New Roman"/>
          <w:b/>
        </w:rPr>
      </w:pPr>
      <w:r w:rsidRPr="00D10CA6">
        <w:rPr>
          <w:rFonts w:ascii="Times New Roman" w:hAnsi="Times New Roman" w:cs="Times New Roman"/>
          <w:b/>
        </w:rPr>
        <w:t>2) Would you recommend further due diligence?</w:t>
      </w:r>
    </w:p>
    <w:p w14:paraId="27D63B22" w14:textId="77777777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No, not for a risk-mitigating role.</w:t>
      </w:r>
    </w:p>
    <w:p w14:paraId="0D9C4541" w14:textId="0F40F7B0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The fund’s profile fits a growth or opportunistic sleeve, not a defensive allocation. Further due diligence would not change the fact that its correlation to equities is too high for a hedge mandate.</w:t>
      </w:r>
    </w:p>
    <w:p w14:paraId="3F19975E" w14:textId="5DB90525" w:rsidR="00624078" w:rsidRPr="00D10CA6" w:rsidRDefault="00624078" w:rsidP="00624078">
      <w:pPr>
        <w:pStyle w:val="Body"/>
        <w:rPr>
          <w:rFonts w:ascii="Times New Roman" w:hAnsi="Times New Roman" w:cs="Times New Roman"/>
          <w:b/>
        </w:rPr>
      </w:pPr>
      <w:r w:rsidRPr="00D10CA6">
        <w:rPr>
          <w:rFonts w:ascii="Times New Roman" w:hAnsi="Times New Roman" w:cs="Times New Roman"/>
          <w:b/>
        </w:rPr>
        <w:t>3) What additional information would complete the evaluation</w:t>
      </w:r>
      <w:r w:rsidR="002B2A97">
        <w:rPr>
          <w:rFonts w:ascii="Times New Roman" w:hAnsi="Times New Roman" w:cs="Times New Roman"/>
          <w:b/>
        </w:rPr>
        <w:t>?</w:t>
      </w:r>
    </w:p>
    <w:p w14:paraId="53D0D94C" w14:textId="48E30869" w:rsidR="00624078" w:rsidRPr="00D10CA6" w:rsidRDefault="00D04382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From</w:t>
      </w:r>
      <w:r w:rsidR="00624078" w:rsidRPr="00D10CA6">
        <w:rPr>
          <w:rFonts w:ascii="Times New Roman" w:hAnsi="Times New Roman" w:cs="Times New Roman"/>
          <w:bCs/>
        </w:rPr>
        <w:t xml:space="preserve"> my understanding, If </w:t>
      </w:r>
      <w:r w:rsidR="00D10CA6">
        <w:rPr>
          <w:rFonts w:ascii="Times New Roman" w:hAnsi="Times New Roman" w:cs="Times New Roman"/>
          <w:bCs/>
        </w:rPr>
        <w:t xml:space="preserve">the fund </w:t>
      </w:r>
      <w:r w:rsidR="00624078" w:rsidRPr="00D10CA6">
        <w:rPr>
          <w:rFonts w:ascii="Times New Roman" w:hAnsi="Times New Roman" w:cs="Times New Roman"/>
          <w:bCs/>
        </w:rPr>
        <w:t>were reconsidered for a defensive role, helpful data would include:</w:t>
      </w:r>
    </w:p>
    <w:p w14:paraId="0E2D24E2" w14:textId="036B558B" w:rsidR="00624078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 xml:space="preserve">• Scenario results from major equity sell-offs </w:t>
      </w:r>
      <w:r w:rsidR="00D10CA6" w:rsidRPr="00D10CA6">
        <w:rPr>
          <w:rFonts w:ascii="Times New Roman" w:hAnsi="Times New Roman" w:cs="Times New Roman"/>
          <w:bCs/>
        </w:rPr>
        <w:t>(2020</w:t>
      </w:r>
      <w:r w:rsidRPr="00D10CA6">
        <w:rPr>
          <w:rFonts w:ascii="Times New Roman" w:hAnsi="Times New Roman" w:cs="Times New Roman"/>
          <w:bCs/>
        </w:rPr>
        <w:t>, 2022) showing actual performance.</w:t>
      </w:r>
    </w:p>
    <w:p w14:paraId="15FF1DD4" w14:textId="74ECB7A2" w:rsidR="007B1B34" w:rsidRPr="00D10CA6" w:rsidRDefault="00624078" w:rsidP="00624078">
      <w:pPr>
        <w:pStyle w:val="Body"/>
        <w:rPr>
          <w:rFonts w:ascii="Times New Roman" w:hAnsi="Times New Roman" w:cs="Times New Roman"/>
          <w:bCs/>
        </w:rPr>
      </w:pPr>
      <w:r w:rsidRPr="00D10CA6">
        <w:rPr>
          <w:rFonts w:ascii="Times New Roman" w:hAnsi="Times New Roman" w:cs="Times New Roman"/>
          <w:bCs/>
        </w:rPr>
        <w:t>• Details of risk-control, how quickly can exposure be reduced when volatility spikes?</w:t>
      </w:r>
    </w:p>
    <w:sectPr w:rsidR="007B1B34" w:rsidRPr="00D10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666150">
    <w:abstractNumId w:val="8"/>
  </w:num>
  <w:num w:numId="2" w16cid:durableId="591818801">
    <w:abstractNumId w:val="6"/>
  </w:num>
  <w:num w:numId="3" w16cid:durableId="190263503">
    <w:abstractNumId w:val="5"/>
  </w:num>
  <w:num w:numId="4" w16cid:durableId="811143556">
    <w:abstractNumId w:val="4"/>
  </w:num>
  <w:num w:numId="5" w16cid:durableId="1539198385">
    <w:abstractNumId w:val="7"/>
  </w:num>
  <w:num w:numId="6" w16cid:durableId="1966345127">
    <w:abstractNumId w:val="3"/>
  </w:num>
  <w:num w:numId="7" w16cid:durableId="881525939">
    <w:abstractNumId w:val="2"/>
  </w:num>
  <w:num w:numId="8" w16cid:durableId="596670746">
    <w:abstractNumId w:val="1"/>
  </w:num>
  <w:num w:numId="9" w16cid:durableId="121230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3EC"/>
    <w:rsid w:val="0006063C"/>
    <w:rsid w:val="0015074B"/>
    <w:rsid w:val="0027096A"/>
    <w:rsid w:val="0029639D"/>
    <w:rsid w:val="002B2A97"/>
    <w:rsid w:val="002F6F2E"/>
    <w:rsid w:val="00315852"/>
    <w:rsid w:val="00326F90"/>
    <w:rsid w:val="00367065"/>
    <w:rsid w:val="00527160"/>
    <w:rsid w:val="00594B2F"/>
    <w:rsid w:val="005D28DF"/>
    <w:rsid w:val="005F021B"/>
    <w:rsid w:val="00624078"/>
    <w:rsid w:val="006B4643"/>
    <w:rsid w:val="006C1BDC"/>
    <w:rsid w:val="006C552E"/>
    <w:rsid w:val="007B1B34"/>
    <w:rsid w:val="00804CBA"/>
    <w:rsid w:val="00AA1D8D"/>
    <w:rsid w:val="00B47730"/>
    <w:rsid w:val="00CB0664"/>
    <w:rsid w:val="00CE7A3F"/>
    <w:rsid w:val="00D04382"/>
    <w:rsid w:val="00D10CA6"/>
    <w:rsid w:val="00FC693F"/>
    <w:rsid w:val="00FD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FB6AE"/>
  <w14:defaultImageDpi w14:val="300"/>
  <w15:docId w15:val="{2A953568-3588-7542-9496-28DD79CF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Teddy Tenetcha</cp:lastModifiedBy>
  <cp:revision>16</cp:revision>
  <dcterms:created xsi:type="dcterms:W3CDTF">2025-11-12T03:33:00Z</dcterms:created>
  <dcterms:modified xsi:type="dcterms:W3CDTF">2025-11-12T06:51:00Z</dcterms:modified>
  <cp:category/>
</cp:coreProperties>
</file>