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427FF" w14:textId="67AB8324" w:rsidR="0044225C" w:rsidRPr="00BF5A80" w:rsidRDefault="0044225C" w:rsidP="0044225C">
      <w:pPr>
        <w:pStyle w:val="Body"/>
        <w:rPr>
          <w:rFonts w:asciiTheme="minorHAnsi" w:hAnsiTheme="minorHAnsi"/>
          <w:b/>
          <w:bCs/>
          <w:color w:val="000000" w:themeColor="text1"/>
          <w:sz w:val="32"/>
          <w:szCs w:val="32"/>
        </w:rPr>
      </w:pPr>
      <w:r w:rsidRPr="00BF5A80">
        <w:rPr>
          <w:rFonts w:asciiTheme="minorHAnsi" w:hAnsiTheme="minorHAnsi"/>
          <w:b/>
          <w:bCs/>
          <w:color w:val="000000" w:themeColor="text1"/>
          <w:sz w:val="32"/>
          <w:szCs w:val="32"/>
        </w:rPr>
        <w:t>Case Study: Event</w:t>
      </w:r>
      <w:r w:rsidR="00AB5A65" w:rsidRPr="00BF5A80">
        <w:rPr>
          <w:rFonts w:asciiTheme="minorHAnsi" w:hAnsiTheme="minorHAnsi" w:cs="Cambria Math"/>
          <w:b/>
          <w:bCs/>
          <w:color w:val="000000" w:themeColor="text1"/>
          <w:sz w:val="32"/>
          <w:szCs w:val="32"/>
        </w:rPr>
        <w:t xml:space="preserve"> </w:t>
      </w:r>
      <w:r w:rsidRPr="00BF5A80">
        <w:rPr>
          <w:rFonts w:asciiTheme="minorHAnsi" w:hAnsiTheme="minorHAnsi"/>
          <w:b/>
          <w:bCs/>
          <w:color w:val="000000" w:themeColor="text1"/>
          <w:sz w:val="32"/>
          <w:szCs w:val="32"/>
        </w:rPr>
        <w:t>Driven Credit vs Systematic Global Macro (2015</w:t>
      </w:r>
      <w:r w:rsidR="00AD08CE">
        <w:rPr>
          <w:rFonts w:asciiTheme="minorHAnsi" w:hAnsiTheme="minorHAnsi"/>
          <w:b/>
          <w:bCs/>
          <w:color w:val="000000" w:themeColor="text1"/>
          <w:sz w:val="32"/>
          <w:szCs w:val="32"/>
        </w:rPr>
        <w:t>-</w:t>
      </w:r>
      <w:r w:rsidRPr="00BF5A80">
        <w:rPr>
          <w:rFonts w:asciiTheme="minorHAnsi" w:hAnsiTheme="minorHAnsi"/>
          <w:b/>
          <w:bCs/>
          <w:color w:val="000000" w:themeColor="text1"/>
          <w:sz w:val="32"/>
          <w:szCs w:val="32"/>
        </w:rPr>
        <w:t>2025)</w:t>
      </w:r>
    </w:p>
    <w:p w14:paraId="18B3BD8C" w14:textId="5B3AB950" w:rsidR="00394E7F" w:rsidRPr="00BF5A80" w:rsidRDefault="00000000" w:rsidP="0044225C">
      <w:pPr>
        <w:pStyle w:val="Body"/>
        <w:rPr>
          <w:rFonts w:ascii="Times New Roman" w:hAnsi="Times New Roman" w:cs="Times New Roman"/>
          <w:color w:val="000000" w:themeColor="text1"/>
          <w:sz w:val="24"/>
          <w:szCs w:val="24"/>
        </w:rPr>
      </w:pPr>
      <w:r w:rsidRPr="00BF5A80">
        <w:rPr>
          <w:rFonts w:ascii="Times New Roman" w:hAnsi="Times New Roman" w:cs="Times New Roman"/>
          <w:color w:val="000000" w:themeColor="text1"/>
          <w:sz w:val="24"/>
          <w:szCs w:val="24"/>
        </w:rPr>
        <w:t>Scope: Hypothesis 1 (long‑term return)</w:t>
      </w:r>
      <w:r w:rsidR="008767DA" w:rsidRPr="00BF5A80">
        <w:rPr>
          <w:rFonts w:ascii="Times New Roman" w:hAnsi="Times New Roman" w:cs="Times New Roman"/>
          <w:color w:val="000000" w:themeColor="text1"/>
          <w:sz w:val="24"/>
          <w:szCs w:val="24"/>
        </w:rPr>
        <w:t xml:space="preserve">, </w:t>
      </w:r>
      <w:r w:rsidRPr="00BF5A80">
        <w:rPr>
          <w:rFonts w:ascii="Times New Roman" w:hAnsi="Times New Roman" w:cs="Times New Roman"/>
          <w:color w:val="000000" w:themeColor="text1"/>
          <w:sz w:val="24"/>
          <w:szCs w:val="24"/>
        </w:rPr>
        <w:t>Hypothesis 2 (capital preservation)</w:t>
      </w:r>
      <w:r w:rsidR="008767DA" w:rsidRPr="00BF5A80">
        <w:rPr>
          <w:rFonts w:ascii="Times New Roman" w:hAnsi="Times New Roman" w:cs="Times New Roman"/>
          <w:color w:val="000000" w:themeColor="text1"/>
          <w:sz w:val="24"/>
          <w:szCs w:val="24"/>
        </w:rPr>
        <w:t xml:space="preserve"> and </w:t>
      </w:r>
      <w:r w:rsidR="008767DA" w:rsidRPr="00BF5A80">
        <w:rPr>
          <w:rFonts w:ascii="Times New Roman" w:hAnsi="Times New Roman" w:cs="Times New Roman"/>
          <w:color w:val="000000" w:themeColor="text1"/>
          <w:sz w:val="24"/>
          <w:szCs w:val="24"/>
        </w:rPr>
        <w:t>Diversification from Public Equities</w:t>
      </w:r>
      <w:r w:rsidR="008767DA" w:rsidRPr="00BF5A80">
        <w:rPr>
          <w:rFonts w:ascii="Times New Roman" w:hAnsi="Times New Roman" w:cs="Times New Roman"/>
          <w:color w:val="000000" w:themeColor="text1"/>
          <w:sz w:val="24"/>
          <w:szCs w:val="24"/>
        </w:rPr>
        <w:t>.</w:t>
      </w:r>
    </w:p>
    <w:p w14:paraId="427B5BFB" w14:textId="77777777" w:rsidR="00394E7F" w:rsidRPr="00BF5A80" w:rsidRDefault="00000000">
      <w:pPr>
        <w:rPr>
          <w:color w:val="000000" w:themeColor="text1"/>
        </w:rPr>
      </w:pPr>
      <w:r w:rsidRPr="00BF5A80">
        <w:rPr>
          <w:b/>
          <w:color w:val="000000" w:themeColor="text1"/>
          <w:sz w:val="26"/>
        </w:rPr>
        <w:t>Executive Summary</w:t>
      </w:r>
    </w:p>
    <w:p w14:paraId="3305A57C" w14:textId="5CF4DE6E" w:rsidR="00944D17" w:rsidRPr="00BF5A80" w:rsidRDefault="00944D17">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We evaluate two hedge funds using monthly data (2015-2025). Hypothesis 1 tests the ability to generate long‑term annualized returns at or above the high single digits (8%). Hypothesis 2 tests capital preservation via drawdown. Hypothesis 3 test diversification via correlation and diversification benefit</w:t>
      </w:r>
      <w:r w:rsidR="007C6127" w:rsidRPr="00BF5A80">
        <w:rPr>
          <w:rFonts w:ascii="Times New Roman" w:hAnsi="Times New Roman" w:cs="Times New Roman"/>
          <w:color w:val="000000" w:themeColor="text1"/>
        </w:rPr>
        <w:t>.</w:t>
      </w:r>
    </w:p>
    <w:p w14:paraId="118487E6" w14:textId="248F92F6" w:rsidR="00394E7F" w:rsidRPr="00BF5A80" w:rsidRDefault="008767DA">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 xml:space="preserve">The </w:t>
      </w:r>
      <w:r w:rsidR="00000000" w:rsidRPr="00BF5A80">
        <w:rPr>
          <w:rFonts w:ascii="Times New Roman" w:hAnsi="Times New Roman" w:cs="Times New Roman"/>
          <w:color w:val="000000" w:themeColor="text1"/>
        </w:rPr>
        <w:t xml:space="preserve">Event‑Driven Credit (Fund 1) delivers average rolling performance below the 8% hurdle and </w:t>
      </w:r>
      <w:r w:rsidRPr="00BF5A80">
        <w:rPr>
          <w:rFonts w:ascii="Times New Roman" w:hAnsi="Times New Roman" w:cs="Times New Roman"/>
          <w:color w:val="000000" w:themeColor="text1"/>
        </w:rPr>
        <w:t xml:space="preserve">shows </w:t>
      </w:r>
      <w:r w:rsidR="00000000" w:rsidRPr="00BF5A80">
        <w:rPr>
          <w:rFonts w:ascii="Times New Roman" w:hAnsi="Times New Roman" w:cs="Times New Roman"/>
          <w:color w:val="000000" w:themeColor="text1"/>
        </w:rPr>
        <w:t>non‑trivial drawdowns</w:t>
      </w:r>
      <w:r w:rsidRPr="00BF5A80">
        <w:rPr>
          <w:rFonts w:ascii="Times New Roman" w:hAnsi="Times New Roman" w:cs="Times New Roman"/>
          <w:color w:val="000000" w:themeColor="text1"/>
        </w:rPr>
        <w:t xml:space="preserve">. </w:t>
      </w:r>
      <w:r w:rsidR="00A23B3D" w:rsidRPr="00BF5A80">
        <w:rPr>
          <w:rFonts w:ascii="Times New Roman" w:hAnsi="Times New Roman" w:cs="Times New Roman"/>
          <w:color w:val="000000" w:themeColor="text1"/>
        </w:rPr>
        <w:t>The Systematic</w:t>
      </w:r>
      <w:r w:rsidR="00000000" w:rsidRPr="00BF5A80">
        <w:rPr>
          <w:rFonts w:ascii="Times New Roman" w:hAnsi="Times New Roman" w:cs="Times New Roman"/>
          <w:color w:val="000000" w:themeColor="text1"/>
        </w:rPr>
        <w:t xml:space="preserve"> Global Macro (Fund 2) shows more frequent periods above the hurdle but remains cycle‑dependent. Overall, Fund 2 is closer to the long‑term return objective, while Fund 1 shows acceptable but imperfect downside discipline.</w:t>
      </w:r>
    </w:p>
    <w:p w14:paraId="245E429F" w14:textId="239E7336" w:rsidR="00394E7F" w:rsidRPr="00BF5A80" w:rsidRDefault="00000000">
      <w:pPr>
        <w:rPr>
          <w:color w:val="000000" w:themeColor="text1"/>
        </w:rPr>
      </w:pPr>
      <w:r w:rsidRPr="00BF5A80">
        <w:rPr>
          <w:b/>
          <w:color w:val="000000" w:themeColor="text1"/>
          <w:sz w:val="26"/>
        </w:rPr>
        <w:t>Data &amp; Methods</w:t>
      </w:r>
    </w:p>
    <w:p w14:paraId="1CA1F48A" w14:textId="236F8EBC" w:rsidR="00565C38" w:rsidRPr="00BF5A80" w:rsidRDefault="00565C38" w:rsidP="00565C38">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 Data: monthly total returns for both funds and S&amp;P 500, 2015</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2025.</w:t>
      </w:r>
      <w:r w:rsidRPr="00BF5A80">
        <w:rPr>
          <w:rFonts w:ascii="Times New Roman" w:hAnsi="Times New Roman" w:cs="Times New Roman"/>
          <w:color w:val="000000" w:themeColor="text1"/>
        </w:rPr>
        <w:br/>
        <w:t>• Hypothesis 1: compute rolling 12‑month compounded return and annualize, compare to an 8% target line, summarize level and stability.</w:t>
      </w:r>
      <w:r w:rsidRPr="00BF5A80">
        <w:rPr>
          <w:rFonts w:ascii="Times New Roman" w:hAnsi="Times New Roman" w:cs="Times New Roman"/>
          <w:color w:val="000000" w:themeColor="text1"/>
        </w:rPr>
        <w:br/>
        <w:t xml:space="preserve">• Hypothesis 2: compute cumulative NAV, underwater (drawdown) series, Maximum Drawdown (MDD), Average Drawdown Duration (months), MAR ratio (ann. return / </w:t>
      </w:r>
      <w:r w:rsidR="000010E1"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MDD|), and Ulcer Index (root‑mean‑square drawdown).</w:t>
      </w:r>
      <w:r w:rsidRPr="00BF5A80">
        <w:rPr>
          <w:rFonts w:ascii="Times New Roman" w:hAnsi="Times New Roman" w:cs="Times New Roman"/>
          <w:color w:val="000000" w:themeColor="text1"/>
        </w:rPr>
        <w:br/>
        <w:t xml:space="preserve">• Hypothesis3: </w:t>
      </w:r>
      <w:r w:rsidRPr="00BF5A80">
        <w:rPr>
          <w:rFonts w:ascii="Times New Roman" w:hAnsi="Times New Roman" w:cs="Times New Roman"/>
          <w:color w:val="000000" w:themeColor="text1"/>
        </w:rPr>
        <w:t>c</w:t>
      </w:r>
      <w:r w:rsidRPr="00BF5A80">
        <w:rPr>
          <w:rFonts w:ascii="Times New Roman" w:hAnsi="Times New Roman" w:cs="Times New Roman"/>
          <w:color w:val="000000" w:themeColor="text1"/>
        </w:rPr>
        <w:t>ompute static correlation/Down Market Correlation, Diversification Benefit</w:t>
      </w:r>
    </w:p>
    <w:p w14:paraId="47DE5EC9" w14:textId="02E447F4" w:rsidR="00394E7F" w:rsidRPr="00BF5A80" w:rsidRDefault="00000000">
      <w:pPr>
        <w:rPr>
          <w:color w:val="000000" w:themeColor="text1"/>
        </w:rPr>
      </w:pPr>
      <w:r w:rsidRPr="00BF5A80">
        <w:rPr>
          <w:b/>
          <w:color w:val="000000" w:themeColor="text1"/>
          <w:sz w:val="26"/>
        </w:rPr>
        <w:t xml:space="preserve">Hypothesis </w:t>
      </w:r>
      <w:r w:rsidR="00D5086A" w:rsidRPr="00BF5A80">
        <w:rPr>
          <w:b/>
          <w:color w:val="000000" w:themeColor="text1"/>
          <w:sz w:val="26"/>
        </w:rPr>
        <w:t>1:</w:t>
      </w:r>
      <w:r w:rsidRPr="00BF5A80">
        <w:rPr>
          <w:b/>
          <w:color w:val="000000" w:themeColor="text1"/>
          <w:sz w:val="26"/>
        </w:rPr>
        <w:t xml:space="preserve"> Generate Lon</w:t>
      </w:r>
      <w:r w:rsidR="00FF1437" w:rsidRPr="00BF5A80">
        <w:rPr>
          <w:b/>
          <w:color w:val="000000" w:themeColor="text1"/>
          <w:sz w:val="26"/>
        </w:rPr>
        <w:t>g-</w:t>
      </w:r>
      <w:r w:rsidRPr="00BF5A80">
        <w:rPr>
          <w:b/>
          <w:color w:val="000000" w:themeColor="text1"/>
          <w:sz w:val="26"/>
        </w:rPr>
        <w:t xml:space="preserve">Term Annualized Returns </w:t>
      </w:r>
      <w:r w:rsidR="00C00F18" w:rsidRPr="00BF5A80">
        <w:rPr>
          <w:b/>
          <w:color w:val="000000" w:themeColor="text1"/>
          <w:sz w:val="26"/>
        </w:rPr>
        <w:t>&gt;</w:t>
      </w:r>
      <w:r w:rsidRPr="00BF5A80">
        <w:rPr>
          <w:b/>
          <w:color w:val="000000" w:themeColor="text1"/>
          <w:sz w:val="26"/>
        </w:rPr>
        <w:t xml:space="preserve"> High Single Digits</w:t>
      </w:r>
    </w:p>
    <w:p w14:paraId="38E72BD2" w14:textId="50F9B1EA" w:rsidR="00394E7F" w:rsidRPr="00BF5A80" w:rsidRDefault="00000000">
      <w:pPr>
        <w:pStyle w:val="Body"/>
        <w:rPr>
          <w:color w:val="000000" w:themeColor="text1"/>
        </w:rPr>
      </w:pPr>
      <w:r w:rsidRPr="00BF5A80">
        <w:rPr>
          <w:b/>
          <w:color w:val="000000" w:themeColor="text1"/>
        </w:rPr>
        <w:t>Fund 1</w:t>
      </w:r>
      <w:r w:rsidR="00654502" w:rsidRPr="00BF5A80">
        <w:rPr>
          <w:b/>
          <w:color w:val="000000" w:themeColor="text1"/>
        </w:rPr>
        <w:t>:</w:t>
      </w:r>
      <w:r w:rsidRPr="00BF5A80">
        <w:rPr>
          <w:b/>
          <w:color w:val="000000" w:themeColor="text1"/>
        </w:rPr>
        <w:t xml:space="preserve"> Event</w:t>
      </w:r>
      <w:r w:rsidR="00B93A70">
        <w:rPr>
          <w:b/>
          <w:color w:val="000000" w:themeColor="text1"/>
        </w:rPr>
        <w:t>-</w:t>
      </w:r>
      <w:r w:rsidRPr="00BF5A80">
        <w:rPr>
          <w:b/>
          <w:color w:val="000000" w:themeColor="text1"/>
        </w:rPr>
        <w:t>Driven</w:t>
      </w:r>
      <w:r w:rsidR="00B93A70">
        <w:rPr>
          <w:b/>
          <w:color w:val="000000" w:themeColor="text1"/>
        </w:rPr>
        <w:t xml:space="preserve"> </w:t>
      </w:r>
      <w:r w:rsidRPr="00BF5A80">
        <w:rPr>
          <w:b/>
          <w:color w:val="000000" w:themeColor="text1"/>
        </w:rPr>
        <w:t>Credit</w:t>
      </w:r>
    </w:p>
    <w:p w14:paraId="53292504" w14:textId="5BC19AD9" w:rsidR="008767DA" w:rsidRDefault="0000000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 xml:space="preserve">Average annualized return (rolling 12‑month): 5.44% (from </w:t>
      </w:r>
      <w:r w:rsidR="00816E71" w:rsidRPr="00BF5A80">
        <w:rPr>
          <w:rFonts w:ascii="Times New Roman" w:hAnsi="Times New Roman" w:cs="Times New Roman"/>
          <w:color w:val="000000" w:themeColor="text1"/>
        </w:rPr>
        <w:t xml:space="preserve">excel </w:t>
      </w:r>
      <w:r w:rsidRPr="00BF5A80">
        <w:rPr>
          <w:rFonts w:ascii="Times New Roman" w:hAnsi="Times New Roman" w:cs="Times New Roman"/>
          <w:color w:val="000000" w:themeColor="text1"/>
        </w:rPr>
        <w:t xml:space="preserve">workbook). The rolling path crosses the 8% line episodically but lacks persistence. </w:t>
      </w:r>
      <w:r w:rsidR="00565C38" w:rsidRPr="00BF5A80">
        <w:rPr>
          <w:rFonts w:ascii="Times New Roman" w:hAnsi="Times New Roman" w:cs="Times New Roman"/>
          <w:color w:val="000000" w:themeColor="text1"/>
        </w:rPr>
        <w:t>The rolling Sharpe ratio fluctuates around 0</w:t>
      </w:r>
      <w:r w:rsidR="0044225C" w:rsidRPr="00BF5A80">
        <w:rPr>
          <w:rFonts w:ascii="Times New Roman" w:hAnsi="Times New Roman" w:cs="Times New Roman"/>
          <w:color w:val="000000" w:themeColor="text1"/>
        </w:rPr>
        <w:t>-</w:t>
      </w:r>
      <w:r w:rsidR="00565C38" w:rsidRPr="00BF5A80">
        <w:rPr>
          <w:rFonts w:ascii="Times New Roman" w:hAnsi="Times New Roman" w:cs="Times New Roman"/>
          <w:color w:val="000000" w:themeColor="text1"/>
        </w:rPr>
        <w:t>1, indicating modest and inconsistent risk-adjusted efficiency. Periods of strong returns are often followed by liquidity-driven setbacks, reinforcing that the strategy’s reward per unit of risk is episodic rather than persistent.</w:t>
      </w:r>
      <w:r w:rsidR="00565C38" w:rsidRPr="00BF5A80">
        <w:rPr>
          <w:rFonts w:ascii="Times New Roman" w:hAnsi="Times New Roman" w:cs="Times New Roman"/>
          <w:color w:val="000000" w:themeColor="text1"/>
        </w:rPr>
        <w:t xml:space="preserve"> </w:t>
      </w:r>
      <w:r w:rsidR="008767DA" w:rsidRPr="00BF5A80">
        <w:rPr>
          <w:rFonts w:ascii="Times New Roman" w:hAnsi="Times New Roman" w:cs="Times New Roman"/>
          <w:color w:val="000000" w:themeColor="text1"/>
        </w:rPr>
        <w:t xml:space="preserve">The </w:t>
      </w:r>
      <w:r w:rsidRPr="00BF5A80">
        <w:rPr>
          <w:rFonts w:ascii="Times New Roman" w:hAnsi="Times New Roman" w:cs="Times New Roman"/>
          <w:color w:val="000000" w:themeColor="text1"/>
        </w:rPr>
        <w:t xml:space="preserve">strategy’s alpha engine is present but </w:t>
      </w:r>
      <w:r w:rsidR="00565C38" w:rsidRPr="00BF5A80">
        <w:rPr>
          <w:rFonts w:ascii="Times New Roman" w:hAnsi="Times New Roman" w:cs="Times New Roman"/>
          <w:color w:val="000000" w:themeColor="text1"/>
        </w:rPr>
        <w:t>held back</w:t>
      </w:r>
      <w:r w:rsidRPr="00BF5A80">
        <w:rPr>
          <w:rFonts w:ascii="Times New Roman" w:hAnsi="Times New Roman" w:cs="Times New Roman"/>
          <w:color w:val="000000" w:themeColor="text1"/>
        </w:rPr>
        <w:t xml:space="preserve"> by liquidity risk</w:t>
      </w:r>
      <w:r w:rsidR="00565C38"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w:t>
      </w:r>
      <w:r w:rsidR="00565C38" w:rsidRPr="00BF5A80">
        <w:rPr>
          <w:rFonts w:ascii="Times New Roman" w:hAnsi="Times New Roman" w:cs="Times New Roman"/>
          <w:color w:val="000000" w:themeColor="text1"/>
        </w:rPr>
        <w:t>P</w:t>
      </w:r>
      <w:r w:rsidRPr="00BF5A80">
        <w:rPr>
          <w:rFonts w:ascii="Times New Roman" w:hAnsi="Times New Roman" w:cs="Times New Roman"/>
          <w:color w:val="000000" w:themeColor="text1"/>
        </w:rPr>
        <w:t xml:space="preserve">eriods of spread widening and event delays compress the compounding rate. </w:t>
      </w:r>
    </w:p>
    <w:p w14:paraId="61A4FBDF" w14:textId="18C942E4" w:rsidR="0058379E" w:rsidRPr="00BF5A80" w:rsidRDefault="0058379E">
      <w:pPr>
        <w:pStyle w:val="Body"/>
        <w:rPr>
          <w:rFonts w:ascii="Times New Roman" w:hAnsi="Times New Roman" w:cs="Times New Roman"/>
          <w:color w:val="000000" w:themeColor="text1"/>
        </w:rPr>
      </w:pPr>
      <w:r w:rsidRPr="0058379E">
        <w:rPr>
          <w:rFonts w:ascii="Times New Roman" w:hAnsi="Times New Roman" w:cs="Times New Roman"/>
          <w:b/>
          <w:bCs/>
          <w:color w:val="000000" w:themeColor="text1"/>
        </w:rPr>
        <w:t>Verdict:</w:t>
      </w:r>
      <w:r w:rsidRPr="0058379E">
        <w:rPr>
          <w:rFonts w:ascii="Times New Roman" w:hAnsi="Times New Roman" w:cs="Times New Roman"/>
          <w:color w:val="000000" w:themeColor="text1"/>
        </w:rPr>
        <w:t xml:space="preserve"> does not consistently meet the &gt;8% objective.</w:t>
      </w:r>
    </w:p>
    <w:p w14:paraId="7CCDC2B1" w14:textId="0603ACEF" w:rsidR="00394E7F" w:rsidRPr="00BF5A80" w:rsidRDefault="00000000">
      <w:pPr>
        <w:pStyle w:val="Body"/>
        <w:rPr>
          <w:color w:val="000000" w:themeColor="text1"/>
        </w:rPr>
      </w:pPr>
      <w:r w:rsidRPr="00BF5A80">
        <w:rPr>
          <w:b/>
          <w:color w:val="000000" w:themeColor="text1"/>
        </w:rPr>
        <w:t>Fund 2</w:t>
      </w:r>
      <w:r w:rsidR="00654502" w:rsidRPr="00BF5A80">
        <w:rPr>
          <w:b/>
          <w:color w:val="000000" w:themeColor="text1"/>
        </w:rPr>
        <w:t>:</w:t>
      </w:r>
      <w:r w:rsidRPr="00BF5A80">
        <w:rPr>
          <w:b/>
          <w:color w:val="000000" w:themeColor="text1"/>
        </w:rPr>
        <w:t xml:space="preserve"> Systematic</w:t>
      </w:r>
      <w:r w:rsidR="00B93A70">
        <w:rPr>
          <w:b/>
          <w:color w:val="000000" w:themeColor="text1"/>
        </w:rPr>
        <w:t xml:space="preserve"> </w:t>
      </w:r>
      <w:r w:rsidRPr="00BF5A80">
        <w:rPr>
          <w:b/>
          <w:color w:val="000000" w:themeColor="text1"/>
        </w:rPr>
        <w:t>Global</w:t>
      </w:r>
      <w:r w:rsidR="00B93A70">
        <w:rPr>
          <w:b/>
          <w:color w:val="000000" w:themeColor="text1"/>
        </w:rPr>
        <w:t xml:space="preserve"> </w:t>
      </w:r>
      <w:r w:rsidRPr="00BF5A80">
        <w:rPr>
          <w:b/>
          <w:color w:val="000000" w:themeColor="text1"/>
        </w:rPr>
        <w:t>Macro</w:t>
      </w:r>
    </w:p>
    <w:p w14:paraId="365667FD" w14:textId="5AB17134" w:rsidR="008767DA" w:rsidRDefault="0000000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Rolling 12‑month returns spend materially more time above the 8% line between 2019</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2024, though performance is regime‑sensitive with intermittent setbacks. </w:t>
      </w:r>
      <w:r w:rsidR="008767DA" w:rsidRPr="00BF5A80">
        <w:rPr>
          <w:rFonts w:ascii="Times New Roman" w:hAnsi="Times New Roman" w:cs="Times New Roman"/>
          <w:color w:val="000000" w:themeColor="text1"/>
        </w:rPr>
        <w:t>S</w:t>
      </w:r>
      <w:r w:rsidRPr="00BF5A80">
        <w:rPr>
          <w:rFonts w:ascii="Times New Roman" w:hAnsi="Times New Roman" w:cs="Times New Roman"/>
          <w:color w:val="000000" w:themeColor="text1"/>
        </w:rPr>
        <w:t xml:space="preserve">ignal‑driven exposures </w:t>
      </w:r>
      <w:r w:rsidRPr="00BF5A80">
        <w:rPr>
          <w:rFonts w:ascii="Times New Roman" w:hAnsi="Times New Roman" w:cs="Times New Roman"/>
          <w:color w:val="000000" w:themeColor="text1"/>
        </w:rPr>
        <w:lastRenderedPageBreak/>
        <w:t>monetize macro trends when they exist</w:t>
      </w:r>
      <w:r w:rsidR="008767DA"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 xml:space="preserve">convexity fades in choppy regimes. </w:t>
      </w:r>
      <w:r w:rsidR="00CA7D20" w:rsidRPr="00BF5A80">
        <w:rPr>
          <w:rFonts w:ascii="Times New Roman" w:hAnsi="Times New Roman" w:cs="Times New Roman"/>
          <w:color w:val="000000" w:themeColor="text1"/>
        </w:rPr>
        <w:t>The rolling Sharpe ratio remains consistently above that of Fund 1, peaking above 4 during strong macro-trend periods. This highlights the fund’s superior risk-adjusted performance in trending regimes, though efficiency deteriorates sharply when markets turn range-bound.</w:t>
      </w:r>
    </w:p>
    <w:p w14:paraId="5A6E83E2" w14:textId="3EB84642" w:rsidR="0058379E" w:rsidRPr="00BF5A80" w:rsidRDefault="0058379E">
      <w:pPr>
        <w:pStyle w:val="Body"/>
        <w:rPr>
          <w:rFonts w:ascii="Times New Roman" w:hAnsi="Times New Roman" w:cs="Times New Roman"/>
          <w:color w:val="000000" w:themeColor="text1"/>
        </w:rPr>
      </w:pPr>
      <w:r w:rsidRPr="0058379E">
        <w:rPr>
          <w:rFonts w:ascii="Times New Roman" w:hAnsi="Times New Roman" w:cs="Times New Roman"/>
          <w:b/>
          <w:bCs/>
          <w:color w:val="000000" w:themeColor="text1"/>
        </w:rPr>
        <w:t>Verdict:</w:t>
      </w:r>
      <w:r w:rsidRPr="0058379E">
        <w:rPr>
          <w:rFonts w:ascii="Times New Roman" w:hAnsi="Times New Roman" w:cs="Times New Roman"/>
          <w:color w:val="000000" w:themeColor="text1"/>
        </w:rPr>
        <w:t xml:space="preserve"> closer to the &gt;8% target than Fund 1, but still cyclical rather than structural.</w:t>
      </w:r>
    </w:p>
    <w:p w14:paraId="76A08F37" w14:textId="295520D8" w:rsidR="00394E7F" w:rsidRPr="00BF5A80" w:rsidRDefault="00000000">
      <w:pPr>
        <w:rPr>
          <w:color w:val="000000" w:themeColor="text1"/>
        </w:rPr>
      </w:pPr>
      <w:r w:rsidRPr="00BF5A80">
        <w:rPr>
          <w:b/>
          <w:color w:val="000000" w:themeColor="text1"/>
          <w:sz w:val="26"/>
        </w:rPr>
        <w:t>Hypothesis 2</w:t>
      </w:r>
      <w:r w:rsidR="008767DA" w:rsidRPr="00BF5A80">
        <w:rPr>
          <w:b/>
          <w:color w:val="000000" w:themeColor="text1"/>
          <w:sz w:val="26"/>
        </w:rPr>
        <w:t>:</w:t>
      </w:r>
      <w:r w:rsidRPr="00BF5A80">
        <w:rPr>
          <w:b/>
          <w:color w:val="000000" w:themeColor="text1"/>
          <w:sz w:val="26"/>
        </w:rPr>
        <w:t xml:space="preserve"> Preserve Capital and Minimize Risk of Impairment</w:t>
      </w:r>
    </w:p>
    <w:p w14:paraId="62E5517F" w14:textId="46CC9BCD" w:rsidR="00920A41" w:rsidRPr="00BF5A80" w:rsidRDefault="00000000" w:rsidP="00920A41">
      <w:pPr>
        <w:pStyle w:val="Body"/>
        <w:rPr>
          <w:rFonts w:ascii="Times New Roman" w:hAnsi="Times New Roman" w:cs="Times New Roman"/>
          <w:color w:val="000000" w:themeColor="text1"/>
        </w:rPr>
      </w:pPr>
      <w:r w:rsidRPr="00BF5A80">
        <w:rPr>
          <w:rFonts w:ascii="Times New Roman" w:hAnsi="Times New Roman" w:cs="Times New Roman"/>
          <w:b/>
          <w:color w:val="000000" w:themeColor="text1"/>
        </w:rPr>
        <w:t>Fund 1</w:t>
      </w:r>
      <w:r w:rsidR="008767DA" w:rsidRPr="00BF5A80">
        <w:rPr>
          <w:rFonts w:ascii="Times New Roman" w:hAnsi="Times New Roman" w:cs="Times New Roman"/>
          <w:b/>
          <w:color w:val="000000" w:themeColor="text1"/>
        </w:rPr>
        <w:t xml:space="preserve">: </w:t>
      </w:r>
      <w:r w:rsidR="00B93A70" w:rsidRPr="00B93A70">
        <w:rPr>
          <w:rFonts w:ascii="Times New Roman" w:hAnsi="Times New Roman" w:cs="Times New Roman"/>
          <w:b/>
          <w:color w:val="000000" w:themeColor="text1"/>
        </w:rPr>
        <w:t>Event-Driven Credit</w:t>
      </w:r>
    </w:p>
    <w:p w14:paraId="6043D366" w14:textId="1274575F" w:rsidR="00CA7D20" w:rsidRPr="00BF5A80" w:rsidRDefault="00CA7D20">
      <w:pPr>
        <w:pStyle w:val="Body"/>
        <w:rPr>
          <w:rFonts w:ascii="Times New Roman" w:hAnsi="Times New Roman" w:cs="Times New Roman"/>
          <w:b/>
          <w:color w:val="000000" w:themeColor="text1"/>
        </w:rPr>
      </w:pPr>
      <w:r w:rsidRPr="00BF5A80">
        <w:rPr>
          <w:rFonts w:ascii="Times New Roman" w:hAnsi="Times New Roman" w:cs="Times New Roman"/>
          <w:b/>
          <w:color w:val="000000" w:themeColor="text1"/>
        </w:rPr>
        <w:t>Tests:</w:t>
      </w:r>
    </w:p>
    <w:p w14:paraId="3F6326E1" w14:textId="0D8C410E" w:rsidR="008767DA" w:rsidRPr="00BF5A80" w:rsidRDefault="0000000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 xml:space="preserve">• Maximum Drawdown (MDD): </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23.3%</w:t>
      </w:r>
      <w:r w:rsidRPr="00BF5A80">
        <w:rPr>
          <w:rFonts w:ascii="Times New Roman" w:hAnsi="Times New Roman" w:cs="Times New Roman"/>
          <w:color w:val="000000" w:themeColor="text1"/>
        </w:rPr>
        <w:br/>
        <w:t>• Average Drawdown Duration: 8.8 months</w:t>
      </w:r>
      <w:r w:rsidRPr="00BF5A80">
        <w:rPr>
          <w:rFonts w:ascii="Times New Roman" w:hAnsi="Times New Roman" w:cs="Times New Roman"/>
          <w:color w:val="000000" w:themeColor="text1"/>
        </w:rPr>
        <w:br/>
        <w:t>• Ulcer Index: 9.44%</w:t>
      </w:r>
      <w:r w:rsidRPr="00BF5A80">
        <w:rPr>
          <w:rFonts w:ascii="Times New Roman" w:hAnsi="Times New Roman" w:cs="Times New Roman"/>
          <w:color w:val="000000" w:themeColor="text1"/>
        </w:rPr>
        <w:br/>
        <w:t>• MAR Ratio: 0.23</w:t>
      </w:r>
      <w:r w:rsidRPr="00BF5A80">
        <w:rPr>
          <w:rFonts w:ascii="Times New Roman" w:hAnsi="Times New Roman" w:cs="Times New Roman"/>
          <w:color w:val="000000" w:themeColor="text1"/>
        </w:rPr>
        <w:br/>
        <w:t>Interpretation: drawdowns are painful but recoverable</w:t>
      </w:r>
      <w:r w:rsidR="008767DA"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liquidity stress creates underwater periods</w:t>
      </w:r>
      <w:r w:rsidR="00920A41"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 xml:space="preserve">yet recovery occurs within a sub‑year median horizon. </w:t>
      </w:r>
    </w:p>
    <w:p w14:paraId="29930D61" w14:textId="158E3944" w:rsidR="00CA7D20" w:rsidRDefault="00CA7D2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Furthermore, v</w:t>
      </w:r>
      <w:r w:rsidRPr="00BF5A80">
        <w:rPr>
          <w:rFonts w:ascii="Times New Roman" w:hAnsi="Times New Roman" w:cs="Times New Roman"/>
          <w:color w:val="000000" w:themeColor="text1"/>
        </w:rPr>
        <w:t>olatility fluctuates between 10</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20% annually, spiking during credit stress periods (notably 2020</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2022). The positive autocorrelation observed in several regimes suggests return clustering, losses and recoveries tend to persist rather than mean-revert quickly. This behavior is consistent with liquidity-driven drawdowns that unwind gradually but recover as event catalysts resolve.</w:t>
      </w:r>
    </w:p>
    <w:p w14:paraId="7887EEDD" w14:textId="61939EDD" w:rsidR="0058379E" w:rsidRPr="00BF5A80" w:rsidRDefault="0058379E">
      <w:pPr>
        <w:pStyle w:val="Body"/>
        <w:rPr>
          <w:rFonts w:ascii="Times New Roman" w:hAnsi="Times New Roman" w:cs="Times New Roman"/>
          <w:color w:val="000000" w:themeColor="text1"/>
        </w:rPr>
      </w:pPr>
      <w:r w:rsidRPr="0058379E">
        <w:rPr>
          <w:rFonts w:ascii="Times New Roman" w:hAnsi="Times New Roman" w:cs="Times New Roman"/>
          <w:b/>
          <w:bCs/>
          <w:color w:val="000000" w:themeColor="text1"/>
        </w:rPr>
        <w:t>Verdict:</w:t>
      </w:r>
      <w:r w:rsidRPr="0058379E">
        <w:rPr>
          <w:rFonts w:ascii="Times New Roman" w:hAnsi="Times New Roman" w:cs="Times New Roman"/>
          <w:color w:val="000000" w:themeColor="text1"/>
        </w:rPr>
        <w:t xml:space="preserve"> acceptable capital preservation for an event‑driven credit book, though not strictly defensive.</w:t>
      </w:r>
    </w:p>
    <w:p w14:paraId="2C990F1D" w14:textId="458536AC" w:rsidR="00394E7F" w:rsidRPr="00BF5A80" w:rsidRDefault="00000000">
      <w:pPr>
        <w:pStyle w:val="Body"/>
        <w:rPr>
          <w:rFonts w:ascii="Times New Roman" w:hAnsi="Times New Roman" w:cs="Times New Roman"/>
          <w:b/>
          <w:color w:val="000000" w:themeColor="text1"/>
        </w:rPr>
      </w:pPr>
      <w:r w:rsidRPr="00BF5A80">
        <w:rPr>
          <w:rFonts w:ascii="Times New Roman" w:hAnsi="Times New Roman" w:cs="Times New Roman"/>
          <w:b/>
          <w:color w:val="000000" w:themeColor="text1"/>
        </w:rPr>
        <w:t>Fund 2</w:t>
      </w:r>
      <w:r w:rsidR="008767DA" w:rsidRPr="00BF5A80">
        <w:rPr>
          <w:rFonts w:ascii="Times New Roman" w:hAnsi="Times New Roman" w:cs="Times New Roman"/>
          <w:b/>
          <w:color w:val="000000" w:themeColor="text1"/>
        </w:rPr>
        <w:t xml:space="preserve">: </w:t>
      </w:r>
      <w:r w:rsidR="00920A41" w:rsidRPr="00BF5A80">
        <w:rPr>
          <w:rFonts w:ascii="Times New Roman" w:hAnsi="Times New Roman" w:cs="Times New Roman"/>
          <w:b/>
          <w:color w:val="000000" w:themeColor="text1"/>
        </w:rPr>
        <w:t>Systematic</w:t>
      </w:r>
      <w:r w:rsidR="00B93A70">
        <w:rPr>
          <w:rFonts w:ascii="Times New Roman" w:hAnsi="Times New Roman" w:cs="Times New Roman"/>
          <w:b/>
          <w:color w:val="000000" w:themeColor="text1"/>
        </w:rPr>
        <w:t xml:space="preserve"> </w:t>
      </w:r>
      <w:r w:rsidR="00920A41" w:rsidRPr="00BF5A80">
        <w:rPr>
          <w:rFonts w:ascii="Times New Roman" w:hAnsi="Times New Roman" w:cs="Times New Roman"/>
          <w:b/>
          <w:color w:val="000000" w:themeColor="text1"/>
        </w:rPr>
        <w:t>Global</w:t>
      </w:r>
      <w:r w:rsidR="00B93A70">
        <w:rPr>
          <w:rFonts w:ascii="Times New Roman" w:hAnsi="Times New Roman" w:cs="Times New Roman"/>
          <w:b/>
          <w:color w:val="000000" w:themeColor="text1"/>
        </w:rPr>
        <w:t xml:space="preserve"> </w:t>
      </w:r>
      <w:r w:rsidR="00920A41" w:rsidRPr="00BF5A80">
        <w:rPr>
          <w:rFonts w:ascii="Times New Roman" w:hAnsi="Times New Roman" w:cs="Times New Roman"/>
          <w:b/>
          <w:color w:val="000000" w:themeColor="text1"/>
        </w:rPr>
        <w:t>Macro</w:t>
      </w:r>
    </w:p>
    <w:p w14:paraId="3DE59EF8" w14:textId="2B427167" w:rsidR="00CA7D20" w:rsidRPr="00BF5A80" w:rsidRDefault="00CA7D20">
      <w:pPr>
        <w:pStyle w:val="Body"/>
        <w:rPr>
          <w:rFonts w:ascii="Times New Roman" w:hAnsi="Times New Roman" w:cs="Times New Roman"/>
          <w:color w:val="000000" w:themeColor="text1"/>
        </w:rPr>
      </w:pPr>
      <w:r w:rsidRPr="00BF5A80">
        <w:rPr>
          <w:rFonts w:ascii="Times New Roman" w:hAnsi="Times New Roman" w:cs="Times New Roman"/>
          <w:b/>
          <w:color w:val="000000" w:themeColor="text1"/>
        </w:rPr>
        <w:t>Tests:</w:t>
      </w:r>
    </w:p>
    <w:p w14:paraId="2093E3E3" w14:textId="03302013" w:rsidR="00654502" w:rsidRPr="00BF5A80" w:rsidRDefault="0000000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 xml:space="preserve">• Lower standalone volatility than Fund 1 </w:t>
      </w:r>
      <w:r w:rsidR="00920A41" w:rsidRPr="00BF5A80">
        <w:rPr>
          <w:rFonts w:ascii="Times New Roman" w:hAnsi="Times New Roman" w:cs="Times New Roman"/>
          <w:color w:val="000000" w:themeColor="text1"/>
        </w:rPr>
        <w:t xml:space="preserve">(excel </w:t>
      </w:r>
      <w:r w:rsidRPr="00BF5A80">
        <w:rPr>
          <w:rFonts w:ascii="Times New Roman" w:hAnsi="Times New Roman" w:cs="Times New Roman"/>
          <w:color w:val="000000" w:themeColor="text1"/>
        </w:rPr>
        <w:t>workbook</w:t>
      </w:r>
      <w:r w:rsidR="00920A41" w:rsidRPr="00BF5A80">
        <w:rPr>
          <w:rFonts w:ascii="Times New Roman" w:hAnsi="Times New Roman" w:cs="Times New Roman"/>
          <w:color w:val="000000" w:themeColor="text1"/>
        </w:rPr>
        <w:t xml:space="preserve"> 2)</w:t>
      </w:r>
      <w:r w:rsidRPr="00BF5A80">
        <w:rPr>
          <w:rFonts w:ascii="Times New Roman" w:hAnsi="Times New Roman" w:cs="Times New Roman"/>
          <w:color w:val="000000" w:themeColor="text1"/>
        </w:rPr>
        <w:t xml:space="preserve"> suggests milder average drawdowns</w:t>
      </w:r>
      <w:r w:rsidR="00920A41"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w:t>
      </w:r>
      <w:r w:rsidR="00920A41" w:rsidRPr="00BF5A80">
        <w:rPr>
          <w:rFonts w:ascii="Times New Roman" w:hAnsi="Times New Roman" w:cs="Times New Roman"/>
          <w:color w:val="000000" w:themeColor="text1"/>
        </w:rPr>
        <w:t>H</w:t>
      </w:r>
      <w:r w:rsidRPr="00BF5A80">
        <w:rPr>
          <w:rFonts w:ascii="Times New Roman" w:hAnsi="Times New Roman" w:cs="Times New Roman"/>
          <w:color w:val="000000" w:themeColor="text1"/>
        </w:rPr>
        <w:t>owever</w:t>
      </w:r>
      <w:r w:rsidR="00920A41"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episodic regime shifts can still produce meaningful underwater periods.</w:t>
      </w:r>
      <w:r w:rsidRPr="00BF5A80">
        <w:rPr>
          <w:rFonts w:ascii="Times New Roman" w:hAnsi="Times New Roman" w:cs="Times New Roman"/>
          <w:color w:val="000000" w:themeColor="text1"/>
        </w:rPr>
        <w:br/>
        <w:t xml:space="preserve">• </w:t>
      </w:r>
      <w:r w:rsidR="008767DA" w:rsidRPr="00BF5A80">
        <w:rPr>
          <w:rFonts w:ascii="Times New Roman" w:hAnsi="Times New Roman" w:cs="Times New Roman"/>
          <w:color w:val="000000" w:themeColor="text1"/>
        </w:rPr>
        <w:t>C</w:t>
      </w:r>
      <w:r w:rsidRPr="00BF5A80">
        <w:rPr>
          <w:rFonts w:ascii="Times New Roman" w:hAnsi="Times New Roman" w:cs="Times New Roman"/>
          <w:color w:val="000000" w:themeColor="text1"/>
        </w:rPr>
        <w:t>apital is preserved when the underwater curve hugs zero</w:t>
      </w:r>
      <w:r w:rsidR="008767DA"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Fund 2’s lower variance supports preservation, but the absence of persistent convexity tempers the conclusion.</w:t>
      </w:r>
    </w:p>
    <w:p w14:paraId="26B7A4CC" w14:textId="4E3851A5" w:rsidR="00CA7D20" w:rsidRPr="00BF5A80" w:rsidRDefault="00CA7D2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Furthermore, v</w:t>
      </w:r>
      <w:r w:rsidRPr="00BF5A80">
        <w:rPr>
          <w:rFonts w:ascii="Times New Roman" w:hAnsi="Times New Roman" w:cs="Times New Roman"/>
          <w:color w:val="000000" w:themeColor="text1"/>
        </w:rPr>
        <w:t>olatility remains structurally lower (around 5</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8%) and more stable than Fund 1’s, confirming its lower baseline risk. Autocorrelation alternates around zero, indicating rapid mean reversion, returns reset quickly across macro regimes. This suggests the fund adapts faster to changing environments, though it occasionally mirrors equity beta in risk-on phases.</w:t>
      </w:r>
    </w:p>
    <w:p w14:paraId="06E5A946" w14:textId="26ACD958" w:rsidR="00394E7F" w:rsidRPr="0087175C" w:rsidRDefault="00000000" w:rsidP="00CA7D20">
      <w:pPr>
        <w:pStyle w:val="Body"/>
        <w:spacing w:line="240" w:lineRule="auto"/>
        <w:rPr>
          <w:rFonts w:ascii="Times New Roman" w:hAnsi="Times New Roman" w:cs="Times New Roman"/>
          <w:color w:val="000000" w:themeColor="text1"/>
        </w:rPr>
      </w:pPr>
      <w:r w:rsidRPr="00BF5A80">
        <w:rPr>
          <w:rFonts w:ascii="Times New Roman" w:hAnsi="Times New Roman" w:cs="Times New Roman"/>
          <w:color w:val="000000" w:themeColor="text1"/>
        </w:rPr>
        <w:br/>
      </w:r>
      <w:r w:rsidR="0058379E" w:rsidRPr="0058379E">
        <w:rPr>
          <w:rFonts w:ascii="Times New Roman" w:hAnsi="Times New Roman" w:cs="Times New Roman"/>
          <w:b/>
          <w:bCs/>
          <w:color w:val="000000" w:themeColor="text1"/>
        </w:rPr>
        <w:t>Verdict:</w:t>
      </w:r>
      <w:r w:rsidR="0058379E" w:rsidRPr="0058379E">
        <w:rPr>
          <w:rFonts w:ascii="Times New Roman" w:hAnsi="Times New Roman" w:cs="Times New Roman"/>
          <w:color w:val="000000" w:themeColor="text1"/>
        </w:rPr>
        <w:t xml:space="preserve"> likely better day‑to‑day capital discipline than Fund 1, but vulnerable when macro trends fail.</w:t>
      </w:r>
    </w:p>
    <w:p w14:paraId="5B7CC105" w14:textId="40519884" w:rsidR="00394E7F" w:rsidRPr="00BF5A80" w:rsidRDefault="00000000">
      <w:pPr>
        <w:rPr>
          <w:color w:val="000000" w:themeColor="text1"/>
        </w:rPr>
      </w:pPr>
      <w:r w:rsidRPr="00BF5A80">
        <w:rPr>
          <w:b/>
          <w:color w:val="000000" w:themeColor="text1"/>
          <w:sz w:val="26"/>
        </w:rPr>
        <w:t>Hypothesis 3</w:t>
      </w:r>
      <w:r w:rsidR="00654502" w:rsidRPr="00BF5A80">
        <w:rPr>
          <w:b/>
          <w:color w:val="000000" w:themeColor="text1"/>
          <w:sz w:val="26"/>
        </w:rPr>
        <w:t>:</w:t>
      </w:r>
      <w:r w:rsidRPr="00BF5A80">
        <w:rPr>
          <w:b/>
          <w:color w:val="000000" w:themeColor="text1"/>
          <w:sz w:val="26"/>
        </w:rPr>
        <w:t xml:space="preserve"> Offer Strong Diversification from Public Equities</w:t>
      </w:r>
    </w:p>
    <w:p w14:paraId="5C05B142" w14:textId="0D01E21B" w:rsidR="00394E7F" w:rsidRPr="00BF5A80" w:rsidRDefault="00000000">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lastRenderedPageBreak/>
        <w:t>Tests:</w:t>
      </w:r>
      <w:r w:rsidRPr="00BF5A80">
        <w:rPr>
          <w:rFonts w:ascii="Times New Roman" w:hAnsi="Times New Roman" w:cs="Times New Roman"/>
          <w:color w:val="000000" w:themeColor="text1"/>
        </w:rPr>
        <w:br/>
        <w:t>• Static dependence: monthly correlation r(fund, S&amp;P 500).</w:t>
      </w:r>
      <w:r w:rsidRPr="00BF5A80">
        <w:rPr>
          <w:rFonts w:ascii="Times New Roman" w:hAnsi="Times New Roman" w:cs="Times New Roman"/>
          <w:color w:val="000000" w:themeColor="text1"/>
        </w:rPr>
        <w:br/>
        <w:t>• Rolling dependence: 12‑month rolling correlation to detect regime shifts.</w:t>
      </w:r>
      <w:r w:rsidRPr="00BF5A80">
        <w:rPr>
          <w:rFonts w:ascii="Times New Roman" w:hAnsi="Times New Roman" w:cs="Times New Roman"/>
          <w:color w:val="000000" w:themeColor="text1"/>
        </w:rPr>
        <w:br/>
        <w:t>• Linear exposure: OLS r_f = α + β·</w:t>
      </w:r>
      <w:proofErr w:type="spellStart"/>
      <w:r w:rsidRPr="00BF5A80">
        <w:rPr>
          <w:rFonts w:ascii="Times New Roman" w:hAnsi="Times New Roman" w:cs="Times New Roman"/>
          <w:color w:val="000000" w:themeColor="text1"/>
        </w:rPr>
        <w:t>r_m</w:t>
      </w:r>
      <w:proofErr w:type="spellEnd"/>
      <w:r w:rsidRPr="00BF5A80">
        <w:rPr>
          <w:rFonts w:ascii="Times New Roman" w:hAnsi="Times New Roman" w:cs="Times New Roman"/>
          <w:color w:val="000000" w:themeColor="text1"/>
        </w:rPr>
        <w:t xml:space="preserve"> (monthly)</w:t>
      </w:r>
      <w:r w:rsidR="00654502"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β measures l market coupling, R² the share of explainable variance.</w:t>
      </w:r>
      <w:r w:rsidRPr="00BF5A80">
        <w:rPr>
          <w:rFonts w:ascii="Times New Roman" w:hAnsi="Times New Roman" w:cs="Times New Roman"/>
          <w:color w:val="000000" w:themeColor="text1"/>
        </w:rPr>
        <w:br/>
        <w:t>• Stress coupling: Down‑Market Beta (OLS restricted to months with S&amp;P &lt; 0).</w:t>
      </w:r>
      <w:r w:rsidRPr="00BF5A80">
        <w:rPr>
          <w:rFonts w:ascii="Times New Roman" w:hAnsi="Times New Roman" w:cs="Times New Roman"/>
          <w:color w:val="000000" w:themeColor="text1"/>
        </w:rPr>
        <w:br/>
        <w:t>• Structural contribution: Diversification Benefit DB = 1 − σ_p / (w_fσ_f + w_mσ_m), with w_f = w_m = 0.5.</w:t>
      </w:r>
    </w:p>
    <w:p w14:paraId="616E2603" w14:textId="77777777" w:rsidR="00394E7F" w:rsidRPr="00BF5A80" w:rsidRDefault="00000000">
      <w:pPr>
        <w:pStyle w:val="Body"/>
        <w:rPr>
          <w:rFonts w:ascii="Times New Roman" w:hAnsi="Times New Roman" w:cs="Times New Roman"/>
          <w:color w:val="000000" w:themeColor="text1"/>
        </w:rPr>
      </w:pPr>
      <w:r w:rsidRPr="00BF5A80">
        <w:rPr>
          <w:rFonts w:ascii="Times New Roman" w:hAnsi="Times New Roman" w:cs="Times New Roman"/>
          <w:b/>
          <w:color w:val="000000" w:themeColor="text1"/>
        </w:rPr>
        <w:t>Results &amp; Interpretation</w:t>
      </w:r>
    </w:p>
    <w:p w14:paraId="59B536A7" w14:textId="39D2F0E4" w:rsidR="00394E7F" w:rsidRPr="00BF5A80" w:rsidRDefault="00000000">
      <w:pPr>
        <w:pStyle w:val="Body"/>
        <w:rPr>
          <w:rFonts w:ascii="Times New Roman" w:hAnsi="Times New Roman" w:cs="Times New Roman"/>
          <w:color w:val="000000" w:themeColor="text1"/>
        </w:rPr>
      </w:pPr>
      <w:r w:rsidRPr="00BF5A80">
        <w:rPr>
          <w:rFonts w:ascii="Times New Roman" w:hAnsi="Times New Roman" w:cs="Times New Roman"/>
          <w:b/>
          <w:bCs/>
          <w:color w:val="000000" w:themeColor="text1"/>
        </w:rPr>
        <w:t>Fund 1</w:t>
      </w:r>
      <w:r w:rsidR="00B93A70">
        <w:rPr>
          <w:rFonts w:ascii="Times New Roman" w:hAnsi="Times New Roman" w:cs="Times New Roman"/>
          <w:b/>
          <w:bCs/>
          <w:color w:val="000000" w:themeColor="text1"/>
        </w:rPr>
        <w:t xml:space="preserve">: </w:t>
      </w:r>
      <w:r w:rsidR="00B93A70" w:rsidRPr="00B93A70">
        <w:t xml:space="preserve"> </w:t>
      </w:r>
      <w:r w:rsidR="00B93A70" w:rsidRPr="00B93A70">
        <w:rPr>
          <w:rFonts w:ascii="Times New Roman" w:hAnsi="Times New Roman" w:cs="Times New Roman"/>
          <w:b/>
          <w:bCs/>
          <w:color w:val="000000" w:themeColor="text1"/>
        </w:rPr>
        <w:t>Event-Driven Credit</w:t>
      </w:r>
      <w:r w:rsidRPr="00BF5A80">
        <w:rPr>
          <w:rFonts w:ascii="Times New Roman" w:hAnsi="Times New Roman" w:cs="Times New Roman"/>
          <w:color w:val="000000" w:themeColor="text1"/>
        </w:rPr>
        <w:br/>
        <w:t xml:space="preserve">• Static correlation: </w:t>
      </w:r>
      <w:r w:rsidR="00654502"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w:t>
      </w:r>
      <w:r w:rsidR="0044225C"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0.03 (near‑zero).</w:t>
      </w:r>
      <w:r w:rsidRPr="00BF5A80">
        <w:rPr>
          <w:rFonts w:ascii="Times New Roman" w:hAnsi="Times New Roman" w:cs="Times New Roman"/>
          <w:color w:val="000000" w:themeColor="text1"/>
        </w:rPr>
        <w:br/>
        <w:t>• Rolling correlation: low on average, briefly positive in stress episodes (liquidity beta).</w:t>
      </w:r>
      <w:r w:rsidRPr="00BF5A80">
        <w:rPr>
          <w:rFonts w:ascii="Times New Roman" w:hAnsi="Times New Roman" w:cs="Times New Roman"/>
          <w:color w:val="000000" w:themeColor="text1"/>
        </w:rPr>
        <w:br/>
        <w:t>• OLS β (monthly): small, consistent with partial independence (see workbook regression output).</w:t>
      </w:r>
      <w:r w:rsidRPr="00BF5A80">
        <w:rPr>
          <w:rFonts w:ascii="Times New Roman" w:hAnsi="Times New Roman" w:cs="Times New Roman"/>
          <w:color w:val="000000" w:themeColor="text1"/>
        </w:rPr>
        <w:br/>
        <w:t xml:space="preserve">• Down‑Market Beta: 0.15 </w:t>
      </w:r>
      <w:r w:rsidR="00654502"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 xml:space="preserve"> loses modestly when equities fall.</w:t>
      </w:r>
      <w:r w:rsidRPr="00BF5A80">
        <w:rPr>
          <w:rFonts w:ascii="Times New Roman" w:hAnsi="Times New Roman" w:cs="Times New Roman"/>
          <w:color w:val="000000" w:themeColor="text1"/>
        </w:rPr>
        <w:br/>
        <w:t xml:space="preserve">• Diversification Benefit (DB, 50/50 with S&amp;P): </w:t>
      </w:r>
      <w:r w:rsidR="00654502"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0.30.</w:t>
      </w:r>
      <w:r w:rsidRPr="00BF5A80">
        <w:rPr>
          <w:rFonts w:ascii="Times New Roman" w:hAnsi="Times New Roman" w:cs="Times New Roman"/>
          <w:color w:val="000000" w:themeColor="text1"/>
        </w:rPr>
        <w:br/>
        <w:t>The fund is a moderate, not perfect diversifier.</w:t>
      </w:r>
    </w:p>
    <w:p w14:paraId="17FE7E49" w14:textId="28A6EA07" w:rsidR="00394E7F" w:rsidRDefault="00000000">
      <w:pPr>
        <w:pStyle w:val="Body"/>
        <w:rPr>
          <w:rFonts w:ascii="Times New Roman" w:hAnsi="Times New Roman" w:cs="Times New Roman"/>
          <w:color w:val="000000" w:themeColor="text1"/>
        </w:rPr>
      </w:pPr>
      <w:r w:rsidRPr="00BF5A80">
        <w:rPr>
          <w:rFonts w:ascii="Times New Roman" w:hAnsi="Times New Roman" w:cs="Times New Roman"/>
          <w:b/>
          <w:bCs/>
          <w:color w:val="000000" w:themeColor="text1"/>
        </w:rPr>
        <w:t>Fund 2</w:t>
      </w:r>
      <w:r w:rsidR="00654502" w:rsidRPr="00BF5A80">
        <w:rPr>
          <w:rFonts w:ascii="Times New Roman" w:hAnsi="Times New Roman" w:cs="Times New Roman"/>
          <w:b/>
          <w:bCs/>
          <w:color w:val="000000" w:themeColor="text1"/>
        </w:rPr>
        <w:t xml:space="preserve">: </w:t>
      </w:r>
      <w:r w:rsidRPr="00BF5A80">
        <w:rPr>
          <w:rFonts w:ascii="Times New Roman" w:hAnsi="Times New Roman" w:cs="Times New Roman"/>
          <w:b/>
          <w:bCs/>
          <w:color w:val="000000" w:themeColor="text1"/>
        </w:rPr>
        <w:t xml:space="preserve"> Systematic</w:t>
      </w:r>
      <w:r w:rsidR="00B93A70">
        <w:rPr>
          <w:rFonts w:ascii="Times New Roman" w:hAnsi="Times New Roman" w:cs="Times New Roman"/>
          <w:b/>
          <w:bCs/>
          <w:color w:val="000000" w:themeColor="text1"/>
        </w:rPr>
        <w:t xml:space="preserve"> </w:t>
      </w:r>
      <w:r w:rsidRPr="00BF5A80">
        <w:rPr>
          <w:rFonts w:ascii="Times New Roman" w:hAnsi="Times New Roman" w:cs="Times New Roman"/>
          <w:b/>
          <w:bCs/>
          <w:color w:val="000000" w:themeColor="text1"/>
        </w:rPr>
        <w:t>Global</w:t>
      </w:r>
      <w:r w:rsidR="00B93A70">
        <w:rPr>
          <w:rFonts w:ascii="Times New Roman" w:hAnsi="Times New Roman" w:cs="Times New Roman"/>
          <w:b/>
          <w:bCs/>
          <w:color w:val="000000" w:themeColor="text1"/>
        </w:rPr>
        <w:t xml:space="preserve"> </w:t>
      </w:r>
      <w:r w:rsidRPr="00BF5A80">
        <w:rPr>
          <w:rFonts w:ascii="Times New Roman" w:hAnsi="Times New Roman" w:cs="Times New Roman"/>
          <w:b/>
          <w:bCs/>
          <w:color w:val="000000" w:themeColor="text1"/>
        </w:rPr>
        <w:t>Macro</w:t>
      </w:r>
      <w:r w:rsidRPr="00BF5A80">
        <w:rPr>
          <w:rFonts w:ascii="Times New Roman" w:hAnsi="Times New Roman" w:cs="Times New Roman"/>
          <w:color w:val="000000" w:themeColor="text1"/>
        </w:rPr>
        <w:br/>
        <w:t xml:space="preserve">• Static correlation: </w:t>
      </w:r>
      <w:r w:rsidR="00654502"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0.56 </w:t>
      </w:r>
      <w:r w:rsidRPr="00BF5A80">
        <w:rPr>
          <w:rFonts w:ascii="Times New Roman" w:hAnsi="Times New Roman" w:cs="Times New Roman"/>
          <w:color w:val="000000" w:themeColor="text1"/>
        </w:rPr>
        <w:br/>
        <w:t>• Rolling correlation: rises during risk‑on regimes</w:t>
      </w:r>
      <w:r w:rsidR="00654502" w:rsidRPr="00BF5A80">
        <w:rPr>
          <w:rFonts w:ascii="Times New Roman" w:hAnsi="Times New Roman" w:cs="Times New Roman"/>
          <w:color w:val="000000" w:themeColor="text1"/>
        </w:rPr>
        <w:t xml:space="preserve">, </w:t>
      </w:r>
      <w:r w:rsidRPr="00BF5A80">
        <w:rPr>
          <w:rFonts w:ascii="Times New Roman" w:hAnsi="Times New Roman" w:cs="Times New Roman"/>
          <w:color w:val="000000" w:themeColor="text1"/>
        </w:rPr>
        <w:t>independence fades in choppy markets.</w:t>
      </w:r>
      <w:r w:rsidRPr="00BF5A80">
        <w:rPr>
          <w:rFonts w:ascii="Times New Roman" w:hAnsi="Times New Roman" w:cs="Times New Roman"/>
          <w:color w:val="000000" w:themeColor="text1"/>
        </w:rPr>
        <w:br/>
        <w:t>• OLS β (monthly): positive.</w:t>
      </w:r>
      <w:r w:rsidRPr="00BF5A80">
        <w:rPr>
          <w:rFonts w:ascii="Times New Roman" w:hAnsi="Times New Roman" w:cs="Times New Roman"/>
          <w:color w:val="000000" w:themeColor="text1"/>
        </w:rPr>
        <w:br/>
        <w:t xml:space="preserve">• Down‑Market Beta: 0.44 </w:t>
      </w:r>
      <w:r w:rsidR="00654502"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sells off with equities in down months.</w:t>
      </w:r>
      <w:r w:rsidRPr="00BF5A80">
        <w:rPr>
          <w:rFonts w:ascii="Times New Roman" w:hAnsi="Times New Roman" w:cs="Times New Roman"/>
          <w:color w:val="000000" w:themeColor="text1"/>
        </w:rPr>
        <w:br/>
        <w:t xml:space="preserve">• Diversification Benefit (DB, 50/50 with S&amp;P): </w:t>
      </w:r>
      <w:r w:rsidR="00654502" w:rsidRPr="00BF5A80">
        <w:rPr>
          <w:rFonts w:ascii="Times New Roman" w:hAnsi="Times New Roman" w:cs="Times New Roman"/>
          <w:color w:val="000000" w:themeColor="text1"/>
        </w:rPr>
        <w:t>=</w:t>
      </w:r>
      <w:r w:rsidRPr="00BF5A80">
        <w:rPr>
          <w:rFonts w:ascii="Times New Roman" w:hAnsi="Times New Roman" w:cs="Times New Roman"/>
          <w:color w:val="000000" w:themeColor="text1"/>
        </w:rPr>
        <w:t xml:space="preserve"> 0.17.</w:t>
      </w:r>
      <w:r w:rsidRPr="00BF5A80">
        <w:rPr>
          <w:rFonts w:ascii="Times New Roman" w:hAnsi="Times New Roman" w:cs="Times New Roman"/>
          <w:color w:val="000000" w:themeColor="text1"/>
        </w:rPr>
        <w:br/>
      </w:r>
      <w:r w:rsidR="00654502" w:rsidRPr="00BF5A80">
        <w:rPr>
          <w:rFonts w:ascii="Times New Roman" w:hAnsi="Times New Roman" w:cs="Times New Roman"/>
          <w:color w:val="000000" w:themeColor="text1"/>
        </w:rPr>
        <w:t>The systematic global macro</w:t>
      </w:r>
      <w:r w:rsidRPr="00BF5A80">
        <w:rPr>
          <w:rFonts w:ascii="Times New Roman" w:hAnsi="Times New Roman" w:cs="Times New Roman"/>
          <w:color w:val="000000" w:themeColor="text1"/>
        </w:rPr>
        <w:t xml:space="preserve"> engine captured pro‑growth risk premia</w:t>
      </w:r>
      <w:r w:rsidR="00654502" w:rsidRPr="00BF5A80">
        <w:rPr>
          <w:rFonts w:ascii="Times New Roman" w:hAnsi="Times New Roman" w:cs="Times New Roman"/>
          <w:color w:val="000000" w:themeColor="text1"/>
        </w:rPr>
        <w:t xml:space="preserve"> and</w:t>
      </w:r>
      <w:r w:rsidRPr="00BF5A80">
        <w:rPr>
          <w:rFonts w:ascii="Times New Roman" w:hAnsi="Times New Roman" w:cs="Times New Roman"/>
          <w:color w:val="000000" w:themeColor="text1"/>
        </w:rPr>
        <w:t xml:space="preserve"> diversification is </w:t>
      </w:r>
      <w:r w:rsidR="00654502" w:rsidRPr="00BF5A80">
        <w:rPr>
          <w:rFonts w:ascii="Times New Roman" w:hAnsi="Times New Roman" w:cs="Times New Roman"/>
          <w:color w:val="000000" w:themeColor="text1"/>
        </w:rPr>
        <w:t>periodic</w:t>
      </w:r>
      <w:r w:rsidRPr="00BF5A80">
        <w:rPr>
          <w:rFonts w:ascii="Times New Roman" w:hAnsi="Times New Roman" w:cs="Times New Roman"/>
          <w:color w:val="000000" w:themeColor="text1"/>
        </w:rPr>
        <w:t>, not structural.</w:t>
      </w:r>
    </w:p>
    <w:p w14:paraId="19E23B64" w14:textId="78B54CBB" w:rsidR="0058379E" w:rsidRPr="00BF5A80" w:rsidRDefault="0058379E">
      <w:pPr>
        <w:pStyle w:val="Body"/>
        <w:rPr>
          <w:rFonts w:ascii="Times New Roman" w:hAnsi="Times New Roman" w:cs="Times New Roman"/>
          <w:color w:val="000000" w:themeColor="text1"/>
        </w:rPr>
      </w:pPr>
      <w:r w:rsidRPr="0058379E">
        <w:rPr>
          <w:rFonts w:ascii="Times New Roman" w:hAnsi="Times New Roman" w:cs="Times New Roman"/>
          <w:b/>
          <w:bCs/>
          <w:color w:val="000000" w:themeColor="text1"/>
        </w:rPr>
        <w:t>Verdict:</w:t>
      </w:r>
      <w:r w:rsidRPr="0058379E">
        <w:rPr>
          <w:rFonts w:ascii="Times New Roman" w:hAnsi="Times New Roman" w:cs="Times New Roman"/>
          <w:color w:val="000000" w:themeColor="text1"/>
        </w:rPr>
        <w:t xml:space="preserve"> Fund 1 provides better diversification than Fund 2: lower static and down‑market coupling and a higher DB. Neither fund is a pure hedge. Fund 1 is the superior portfolio diversifier in our sample, while Fund 2 behaves as a directional risk‑on macro sleeve.</w:t>
      </w:r>
    </w:p>
    <w:p w14:paraId="3D0C0D7E" w14:textId="0F1124CC" w:rsidR="008767DA" w:rsidRPr="00BF5A80" w:rsidRDefault="00A23B3D">
      <w:pPr>
        <w:pStyle w:val="Body"/>
        <w:rPr>
          <w:rFonts w:asciiTheme="minorHAnsi" w:hAnsiTheme="minorHAnsi"/>
          <w:b/>
          <w:bCs/>
          <w:color w:val="000000" w:themeColor="text1"/>
          <w:sz w:val="28"/>
          <w:szCs w:val="28"/>
        </w:rPr>
      </w:pPr>
      <w:r w:rsidRPr="00BF5A80">
        <w:rPr>
          <w:rFonts w:asciiTheme="minorHAnsi" w:hAnsiTheme="minorHAnsi"/>
          <w:b/>
          <w:bCs/>
          <w:color w:val="000000" w:themeColor="text1"/>
          <w:sz w:val="28"/>
          <w:szCs w:val="28"/>
        </w:rPr>
        <w:t>Conclusion:</w:t>
      </w:r>
    </w:p>
    <w:p w14:paraId="113BFA3A" w14:textId="52505E92" w:rsidR="00A23B3D" w:rsidRPr="00BF5A80" w:rsidRDefault="00A23B3D" w:rsidP="00A23B3D">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 xml:space="preserve">Across the three evaluation objectives, the two funds showed complementary but distinct </w:t>
      </w:r>
      <w:r w:rsidRPr="00BF5A80">
        <w:rPr>
          <w:rFonts w:ascii="Times New Roman" w:hAnsi="Times New Roman" w:cs="Times New Roman"/>
          <w:color w:val="000000" w:themeColor="text1"/>
        </w:rPr>
        <w:t>profiles. The</w:t>
      </w:r>
      <w:r w:rsidRPr="00BF5A80">
        <w:rPr>
          <w:rFonts w:ascii="Times New Roman" w:hAnsi="Times New Roman" w:cs="Times New Roman"/>
          <w:color w:val="000000" w:themeColor="text1"/>
        </w:rPr>
        <w:t xml:space="preserve"> Event-Driven Credit strategy (Fund 1) shows moderate returns and acceptable capital preservation with limited equity linkage. It behaves as a liquidity-sensitive but fundamentally defensive credit engine. I think valuable for stability, provided position sizing in respects to liquidity risk.</w:t>
      </w:r>
    </w:p>
    <w:p w14:paraId="44FB41EF" w14:textId="77777777" w:rsidR="00A23B3D" w:rsidRPr="00BF5A80" w:rsidRDefault="00A23B3D" w:rsidP="00A23B3D">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The Systematic Global Macro strategy (Fund 2) shows stronger absolute performance yet higher correlation to public markets, delivering growth exposure rather than protection.</w:t>
      </w:r>
    </w:p>
    <w:p w14:paraId="3ECC3989" w14:textId="1A50FEE3" w:rsidR="00A23B3D" w:rsidRPr="00BF5A80" w:rsidRDefault="00A23B3D" w:rsidP="00A23B3D">
      <w:pPr>
        <w:pStyle w:val="Body"/>
        <w:rPr>
          <w:rFonts w:ascii="Times New Roman" w:hAnsi="Times New Roman" w:cs="Times New Roman"/>
          <w:color w:val="000000" w:themeColor="text1"/>
        </w:rPr>
      </w:pPr>
      <w:r w:rsidRPr="00BF5A80">
        <w:rPr>
          <w:rFonts w:ascii="Times New Roman" w:hAnsi="Times New Roman" w:cs="Times New Roman"/>
          <w:color w:val="000000" w:themeColor="text1"/>
        </w:rPr>
        <w:t>For a pension portfolio’s risk-mitigating sleeve, Fund 1 better fulfills the defensive goal of a mitigator, despite periodic drawdowns, while Fund 2 may fit more appropriately within an</w:t>
      </w:r>
      <w:r w:rsidR="00D67E8F" w:rsidRPr="00BF5A80">
        <w:rPr>
          <w:color w:val="000000" w:themeColor="text1"/>
        </w:rPr>
        <w:t xml:space="preserve"> </w:t>
      </w:r>
      <w:r w:rsidRPr="00BF5A80">
        <w:rPr>
          <w:rFonts w:ascii="Times New Roman" w:hAnsi="Times New Roman" w:cs="Times New Roman"/>
          <w:color w:val="000000" w:themeColor="text1"/>
        </w:rPr>
        <w:lastRenderedPageBreak/>
        <w:t>opportunistic or return-seeking allocation.  A balanced allocation would preserve both, the first for resilience, the second for momentum.</w:t>
      </w:r>
    </w:p>
    <w:sectPr w:rsidR="00A23B3D" w:rsidRPr="00BF5A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563796">
    <w:abstractNumId w:val="8"/>
  </w:num>
  <w:num w:numId="2" w16cid:durableId="860361750">
    <w:abstractNumId w:val="6"/>
  </w:num>
  <w:num w:numId="3" w16cid:durableId="663699447">
    <w:abstractNumId w:val="5"/>
  </w:num>
  <w:num w:numId="4" w16cid:durableId="593246465">
    <w:abstractNumId w:val="4"/>
  </w:num>
  <w:num w:numId="5" w16cid:durableId="870457473">
    <w:abstractNumId w:val="7"/>
  </w:num>
  <w:num w:numId="6" w16cid:durableId="2141267217">
    <w:abstractNumId w:val="3"/>
  </w:num>
  <w:num w:numId="7" w16cid:durableId="1092969995">
    <w:abstractNumId w:val="2"/>
  </w:num>
  <w:num w:numId="8" w16cid:durableId="130442156">
    <w:abstractNumId w:val="1"/>
  </w:num>
  <w:num w:numId="9" w16cid:durableId="634604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34616"/>
    <w:rsid w:val="0006063C"/>
    <w:rsid w:val="000F3A08"/>
    <w:rsid w:val="001436E9"/>
    <w:rsid w:val="0015074B"/>
    <w:rsid w:val="0029639D"/>
    <w:rsid w:val="00326F90"/>
    <w:rsid w:val="00394E7F"/>
    <w:rsid w:val="003D1591"/>
    <w:rsid w:val="0044225C"/>
    <w:rsid w:val="00493B43"/>
    <w:rsid w:val="005612CE"/>
    <w:rsid w:val="00565C38"/>
    <w:rsid w:val="0058379E"/>
    <w:rsid w:val="005C4224"/>
    <w:rsid w:val="00654502"/>
    <w:rsid w:val="006A176E"/>
    <w:rsid w:val="007C6127"/>
    <w:rsid w:val="00816E71"/>
    <w:rsid w:val="0087175C"/>
    <w:rsid w:val="008767DA"/>
    <w:rsid w:val="00920A41"/>
    <w:rsid w:val="00944D17"/>
    <w:rsid w:val="00A1510D"/>
    <w:rsid w:val="00A201ED"/>
    <w:rsid w:val="00A23B3D"/>
    <w:rsid w:val="00A56930"/>
    <w:rsid w:val="00AA1D8D"/>
    <w:rsid w:val="00AB5A65"/>
    <w:rsid w:val="00AD08CE"/>
    <w:rsid w:val="00AF4AD9"/>
    <w:rsid w:val="00B47730"/>
    <w:rsid w:val="00B93A70"/>
    <w:rsid w:val="00BC547A"/>
    <w:rsid w:val="00BF5A80"/>
    <w:rsid w:val="00C00F18"/>
    <w:rsid w:val="00CA7D20"/>
    <w:rsid w:val="00CB0664"/>
    <w:rsid w:val="00D5086A"/>
    <w:rsid w:val="00D67E8F"/>
    <w:rsid w:val="00E921CC"/>
    <w:rsid w:val="00EE473C"/>
    <w:rsid w:val="00F55776"/>
    <w:rsid w:val="00FC693F"/>
    <w:rsid w:val="00FD68C9"/>
    <w:rsid w:val="00FF14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D5EB9"/>
  <w14:defaultImageDpi w14:val="300"/>
  <w15:docId w15:val="{2A953568-3588-7542-9496-28DD79CF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rPr>
      <w:rFonts w:ascii="Calibri" w:eastAsia="Calibri" w:hAnsi="Calibri"/>
    </w:rPr>
  </w:style>
  <w:style w:type="paragraph" w:styleId="Revision">
    <w:name w:val="Revision"/>
    <w:hidden/>
    <w:uiPriority w:val="99"/>
    <w:semiHidden/>
    <w:rsid w:val="005C42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Teddy Tenetcha</cp:lastModifiedBy>
  <cp:revision>27</cp:revision>
  <dcterms:created xsi:type="dcterms:W3CDTF">2025-11-12T04:10:00Z</dcterms:created>
  <dcterms:modified xsi:type="dcterms:W3CDTF">2025-11-12T06:52:00Z</dcterms:modified>
  <cp:category/>
</cp:coreProperties>
</file>