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Anastasiya Art Direction</w:t>
      </w:r>
    </w:p>
    <w:p>
      <w:r>
        <w:t>Anastasiya’s Echo</w:t>
      </w:r>
    </w:p>
    <w:p>
      <w:r>
        <w:t>MY CORNER OF THE WORLD · Katya’s Notebook · Ukraine</w:t>
      </w:r>
    </w:p>
    <w:p>
      <w:r>
        <w:t>English art direction guide for the fifteen interior illustrations and two cover images. The visual system follows the 2024 to 2025 English manuscript and the existing AE illustration register. It gives the illustrator and book designer a common reference for faces, places, objects, color, composition and production.</w:t>
      </w:r>
    </w:p>
    <w:p>
      <w:pPr>
        <w:pStyle w:val="Heading1"/>
      </w:pPr>
      <w:r>
        <w:t>Editorial positioning</w:t>
      </w:r>
    </w:p>
    <w:p>
      <w:r>
        <w:t>The manuscript identifies this as a young adult novel for readers thirteen and up. Katya is fourteen during the main story and fifteen at the final school opening. Give her an adolescent face and body, with intelligence, irritation, humor and exhaustion expressed through ordinary gestures. The artwork should allow those feelings to coexist.</w:t>
      </w:r>
    </w:p>
    <w:p>
      <w:r>
        <w:t>The visual story begins with a school gate that stays closed and ends with Katya walking through an open gate at a temporary school. Between them, she holds a light, accepts help, listens to children, chooses a living hand over her notebook and decides what she will share. These actions determine the images. War changes the conditions of daily life; each composition keeps the people’s particular lives visible.</w:t>
      </w:r>
    </w:p>
    <w:p>
      <w:pPr>
        <w:pStyle w:val="Heading1"/>
      </w:pPr>
      <w:r>
        <w:t>Production scope</w:t>
      </w:r>
    </w:p>
    <w:tbl>
      <w:tblPr>
        <w:tblW w:type="auto" w:w="0"/>
        <w:tblLayout w:type="fixed"/>
        <w:tblLook w:firstColumn="1" w:firstRow="1" w:lastColumn="0" w:lastRow="0" w:noHBand="0" w:noVBand="1" w:val="04A0"/>
      </w:tblPr>
      <w:tblGrid>
        <w:gridCol w:w="2880"/>
        <w:gridCol w:w="1368"/>
        <w:gridCol w:w="5832"/>
      </w:tblGrid>
      <w:tr>
        <w:trPr>
          <w:tblHeader/>
          <w:cantSplit/>
        </w:trPr>
        <w:tc>
          <w:tcPr>
            <w:tcW w:type="dxa" w:w="288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E8EDF1"/>
          </w:tcPr>
          <w:p>
            <w:pPr>
              <w:spacing w:after="40" w:before="40"/>
            </w:pPr>
            <w:r>
              <w:rPr>
                <w:b/>
                <w:sz w:val="20"/>
              </w:rPr>
              <w:t>Deliverable</w:t>
            </w:r>
          </w:p>
        </w:tc>
        <w:tc>
          <w:tcPr>
            <w:tcW w:type="dxa" w:w="136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E8EDF1"/>
          </w:tcPr>
          <w:p>
            <w:pPr>
              <w:spacing w:after="40" w:before="40"/>
            </w:pPr>
            <w:r>
              <w:rPr>
                <w:b/>
                <w:sz w:val="20"/>
              </w:rPr>
              <w:t>Number</w:t>
            </w:r>
          </w:p>
        </w:tc>
        <w:tc>
          <w:tcPr>
            <w:tcW w:type="dxa" w:w="583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E8EDF1"/>
          </w:tcPr>
          <w:p>
            <w:pPr>
              <w:spacing w:after="40" w:before="40"/>
            </w:pPr>
            <w:r>
              <w:rPr>
                <w:b/>
                <w:sz w:val="20"/>
              </w:rPr>
              <w:t>Existing identification</w:t>
            </w:r>
          </w:p>
        </w:tc>
      </w:tr>
      <w:tr>
        <w:trPr>
          <w:cantSplit/>
        </w:trPr>
        <w:tc>
          <w:tcPr>
            <w:tcW w:type="dxa" w:w="288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Interior illustrations</w:t>
            </w:r>
          </w:p>
        </w:tc>
        <w:tc>
          <w:tcPr>
            <w:tcW w:type="dxa" w:w="136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15</w:t>
            </w:r>
          </w:p>
        </w:tc>
        <w:tc>
          <w:tcPr>
            <w:tcW w:type="dxa" w:w="583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AE-I01 to AE-I15</w:t>
            </w:r>
          </w:p>
        </w:tc>
      </w:tr>
      <w:tr>
        <w:trPr>
          <w:cantSplit/>
        </w:trPr>
        <w:tc>
          <w:tcPr>
            <w:tcW w:type="dxa" w:w="288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Front cover</w:t>
            </w:r>
          </w:p>
        </w:tc>
        <w:tc>
          <w:tcPr>
            <w:tcW w:type="dxa" w:w="136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1</w:t>
            </w:r>
          </w:p>
        </w:tc>
        <w:tc>
          <w:tcPr>
            <w:tcW w:type="dxa" w:w="583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AE-C01</w:t>
            </w:r>
          </w:p>
        </w:tc>
      </w:tr>
      <w:tr>
        <w:trPr>
          <w:cantSplit/>
        </w:trPr>
        <w:tc>
          <w:tcPr>
            <w:tcW w:type="dxa" w:w="288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Back cover</w:t>
            </w:r>
          </w:p>
        </w:tc>
        <w:tc>
          <w:tcPr>
            <w:tcW w:type="dxa" w:w="136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1</w:t>
            </w:r>
          </w:p>
        </w:tc>
        <w:tc>
          <w:tcPr>
            <w:tcW w:type="dxa" w:w="583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AE-C04</w:t>
            </w:r>
          </w:p>
        </w:tc>
      </w:tr>
      <w:tr>
        <w:trPr>
          <w:cantSplit/>
        </w:trPr>
        <w:tc>
          <w:tcPr>
            <w:tcW w:type="dxa" w:w="288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Core character reference</w:t>
            </w:r>
          </w:p>
        </w:tc>
        <w:tc>
          <w:tcPr>
            <w:tcW w:type="dxa" w:w="136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1 technical sheet</w:t>
            </w:r>
          </w:p>
        </w:tc>
        <w:tc>
          <w:tcPr>
            <w:tcW w:type="dxa" w:w="583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AE-REF01, outside the book illustration count</w:t>
            </w:r>
          </w:p>
        </w:tc>
      </w:tr>
      <w:tr>
        <w:trPr>
          <w:cantSplit/>
        </w:trPr>
        <w:tc>
          <w:tcPr>
            <w:tcW w:type="dxa" w:w="288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Spine</w:t>
            </w:r>
          </w:p>
        </w:tc>
        <w:tc>
          <w:tcPr>
            <w:tcW w:type="dxa" w:w="136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Derived layout</w:t>
            </w:r>
          </w:p>
        </w:tc>
        <w:tc>
          <w:tcPr>
            <w:tcW w:type="dxa" w:w="583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No additional narrative illustration</w:t>
            </w:r>
          </w:p>
        </w:tc>
      </w:tr>
    </w:tbl>
    <w:p>
      <w:pPr>
        <w:spacing w:after="40"/>
      </w:pPr>
    </w:p>
    <w:p>
      <w:r>
        <w:t>The accompanying Prompts Only file contains seventeen book image prompts and one reference sheet prompt. Each starts with Characters present and its asset ID. Keep those IDs and filenames when adding this guide to the production package.</w:t>
      </w:r>
    </w:p>
    <w:p>
      <w:r>
        <w:t>The narrative source is Anastasiyas_Echo_EN_corrige.md. Exact insertion paragraphs and source line numbers remain in the existing illustration index. This guide adds English design instructions and image checks; it does not add scenes to the allocation.</w:t>
      </w:r>
    </w:p>
    <w:p>
      <w:pPr>
        <w:pStyle w:val="Heading1"/>
        <w:pageBreakBefore/>
      </w:pPr>
      <w:r>
        <w:t>Visual direction and palette</w:t>
      </w:r>
    </w:p>
    <w:p>
      <w:r>
        <w:t>Use digital painting with the surface of matte gouache and subtle colored pencil on fine paper. Model volume through broad value shapes, then use selective pencil marks for hair, cloth seams, wood grain and paper edges. Let the texture remain quiet enough to reproduce clearly in a small printed image.</w:t>
      </w:r>
    </w:p>
    <w:p>
      <w:r>
        <w:t>Stylized realism is the shared approach with the Ananya book. Anastasiya’s setting needs its own colors and light. Preserve the same restraint in expressions and hand gestures, while replacing Jaipur’s plaster pink and saffron with weathered Ukrainian interiors, winter blues, paper ivory and the brick red notebook.</w:t>
      </w:r>
    </w:p>
    <w:tbl>
      <w:tblPr>
        <w:tblW w:type="auto" w:w="0"/>
        <w:tblLayout w:type="fixed"/>
        <w:tblLook w:firstColumn="1" w:firstRow="1" w:lastColumn="0" w:lastRow="0" w:noHBand="0" w:noVBand="1" w:val="04A0"/>
      </w:tblPr>
      <w:tblGrid>
        <w:gridCol w:w="2088"/>
        <w:gridCol w:w="1656"/>
        <w:gridCol w:w="6336"/>
      </w:tblGrid>
      <w:tr>
        <w:trPr>
          <w:tblHeader/>
          <w:cantSplit/>
        </w:trPr>
        <w:tc>
          <w:tcPr>
            <w:tcW w:type="dxa" w:w="208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E8EDF1"/>
          </w:tcPr>
          <w:p>
            <w:pPr>
              <w:spacing w:after="40" w:before="40"/>
            </w:pPr>
            <w:r>
              <w:rPr>
                <w:b/>
                <w:sz w:val="20"/>
              </w:rPr>
              <w:t>Color</w:t>
            </w:r>
          </w:p>
        </w:tc>
        <w:tc>
          <w:tcPr>
            <w:tcW w:type="dxa" w:w="165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E8EDF1"/>
          </w:tcPr>
          <w:p>
            <w:pPr>
              <w:spacing w:after="40" w:before="40"/>
            </w:pPr>
            <w:r>
              <w:rPr>
                <w:b/>
                <w:sz w:val="20"/>
              </w:rPr>
              <w:t>Screen reference</w:t>
            </w:r>
          </w:p>
        </w:tc>
        <w:tc>
          <w:tcPr>
            <w:tcW w:type="dxa" w:w="633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E8EDF1"/>
          </w:tcPr>
          <w:p>
            <w:pPr>
              <w:spacing w:after="40" w:before="40"/>
            </w:pPr>
            <w:r>
              <w:rPr>
                <w:b/>
                <w:sz w:val="20"/>
              </w:rPr>
              <w:t>Visual role</w:t>
            </w:r>
          </w:p>
        </w:tc>
      </w:tr>
      <w:tr>
        <w:trPr>
          <w:cantSplit/>
        </w:trPr>
        <w:tc>
          <w:tcPr>
            <w:tcW w:type="dxa" w:w="208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Slate blue</w:t>
            </w:r>
          </w:p>
        </w:tc>
        <w:tc>
          <w:tcPr>
            <w:tcW w:type="dxa" w:w="165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#4F6273</w:t>
            </w:r>
          </w:p>
        </w:tc>
        <w:tc>
          <w:tcPr>
            <w:tcW w:type="dxa" w:w="633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Winter shadows, depth and quiet surrounding space</w:t>
            </w:r>
          </w:p>
        </w:tc>
      </w:tr>
      <w:tr>
        <w:trPr>
          <w:cantSplit/>
        </w:trPr>
        <w:tc>
          <w:tcPr>
            <w:tcW w:type="dxa" w:w="208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Paper ivory</w:t>
            </w:r>
          </w:p>
        </w:tc>
        <w:tc>
          <w:tcPr>
            <w:tcW w:type="dxa" w:w="165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#F0E8D9</w:t>
            </w:r>
          </w:p>
        </w:tc>
        <w:tc>
          <w:tcPr>
            <w:tcW w:type="dxa" w:w="633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Pages, blankets and cover text reserves</w:t>
            </w:r>
          </w:p>
        </w:tc>
      </w:tr>
      <w:tr>
        <w:trPr>
          <w:cantSplit/>
        </w:trPr>
        <w:tc>
          <w:tcPr>
            <w:tcW w:type="dxa" w:w="208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Weathered brown</w:t>
            </w:r>
          </w:p>
        </w:tc>
        <w:tc>
          <w:tcPr>
            <w:tcW w:type="dxa" w:w="165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#756352</w:t>
            </w:r>
          </w:p>
        </w:tc>
        <w:tc>
          <w:tcPr>
            <w:tcW w:type="dxa" w:w="633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Wood, worn furniture and everyday textiles</w:t>
            </w:r>
          </w:p>
        </w:tc>
      </w:tr>
      <w:tr>
        <w:trPr>
          <w:cantSplit/>
        </w:trPr>
        <w:tc>
          <w:tcPr>
            <w:tcW w:type="dxa" w:w="208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Charcoal gray</w:t>
            </w:r>
          </w:p>
        </w:tc>
        <w:tc>
          <w:tcPr>
            <w:tcW w:type="dxa" w:w="165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#414447</w:t>
            </w:r>
          </w:p>
        </w:tc>
        <w:tc>
          <w:tcPr>
            <w:tcW w:type="dxa" w:w="633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Pencil contours, dust and damaged surfaces</w:t>
            </w:r>
          </w:p>
        </w:tc>
      </w:tr>
      <w:tr>
        <w:trPr>
          <w:cantSplit/>
        </w:trPr>
        <w:tc>
          <w:tcPr>
            <w:tcW w:type="dxa" w:w="208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Brick red</w:t>
            </w:r>
          </w:p>
        </w:tc>
        <w:tc>
          <w:tcPr>
            <w:tcW w:type="dxa" w:w="165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#A84F47</w:t>
            </w:r>
          </w:p>
        </w:tc>
        <w:tc>
          <w:tcPr>
            <w:tcW w:type="dxa" w:w="633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The original notebook and restrained focal accents</w:t>
            </w:r>
          </w:p>
        </w:tc>
      </w:tr>
      <w:tr>
        <w:trPr>
          <w:cantSplit/>
        </w:trPr>
        <w:tc>
          <w:tcPr>
            <w:tcW w:type="dxa" w:w="208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Muted green</w:t>
            </w:r>
          </w:p>
        </w:tc>
        <w:tc>
          <w:tcPr>
            <w:tcW w:type="dxa" w:w="165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#66785C</w:t>
            </w:r>
          </w:p>
        </w:tc>
        <w:tc>
          <w:tcPr>
            <w:tcW w:type="dxa" w:w="633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Daryna’s coat and the final notebook</w:t>
            </w:r>
          </w:p>
        </w:tc>
      </w:tr>
      <w:tr>
        <w:trPr>
          <w:cantSplit/>
        </w:trPr>
        <w:tc>
          <w:tcPr>
            <w:tcW w:type="dxa" w:w="208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Measured amber</w:t>
            </w:r>
          </w:p>
        </w:tc>
        <w:tc>
          <w:tcPr>
            <w:tcW w:type="dxa" w:w="165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#D4AF73</w:t>
            </w:r>
          </w:p>
        </w:tc>
        <w:tc>
          <w:tcPr>
            <w:tcW w:type="dxa" w:w="633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Candlelight and the warmth of the stove area</w:t>
            </w:r>
          </w:p>
        </w:tc>
      </w:tr>
    </w:tbl>
    <w:p>
      <w:pPr>
        <w:spacing w:after="40"/>
      </w:pPr>
    </w:p>
    <w:p>
      <w:r>
        <w:t>These are proposed reference colors, not claims about colors stated in the manuscript. Keep the notebook red and the later notebook green readily distinguishable in shadow. Daryna’s coat can be a slightly darker or grayer version of the same green family. The coat and notebook must not compete when they appear in different scenes.</w:t>
      </w:r>
    </w:p>
    <w:p>
      <w:r>
        <w:t>Use the strongest local contrast for the action that matters: fingers against a cheek, a small hand on Katya’s chin, a pencil over a page or two people holding the notebook. Avoid outlining every figure equally. At thumbnail size, the front cover should still read as Katya, her little sister and the red notebook.</w:t>
      </w:r>
    </w:p>
    <w:p>
      <w:r>
        <w:t>Keep an RGB master, then judge final saturation and shadow detail in the printer’s proof. If the interior is printed in grayscale, separate important objects by value, edge and texture as well as hue. A red notebook cannot depend on red alone to remain visible.</w:t>
      </w:r>
    </w:p>
    <w:p>
      <w:pPr>
        <w:pStyle w:val="Heading1"/>
        <w:pageBreakBefore/>
      </w:pPr>
      <w:r>
        <w:t>Light places and composition</w:t>
      </w:r>
    </w:p>
    <w:tbl>
      <w:tblPr>
        <w:tblW w:type="auto" w:w="0"/>
        <w:tblLayout w:type="fixed"/>
        <w:tblLook w:firstColumn="1" w:firstRow="1" w:lastColumn="0" w:lastRow="0" w:noHBand="0" w:noVBand="1" w:val="04A0"/>
      </w:tblPr>
      <w:tblGrid>
        <w:gridCol w:w="2088"/>
        <w:gridCol w:w="3456"/>
        <w:gridCol w:w="4536"/>
      </w:tblGrid>
      <w:tr>
        <w:trPr>
          <w:tblHeader/>
          <w:cantSplit/>
        </w:trPr>
        <w:tc>
          <w:tcPr>
            <w:tcW w:type="dxa" w:w="208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E8EDF1"/>
          </w:tcPr>
          <w:p>
            <w:pPr>
              <w:spacing w:after="40" w:before="40"/>
            </w:pPr>
            <w:r>
              <w:rPr>
                <w:b/>
                <w:sz w:val="20"/>
              </w:rPr>
              <w:t>Setting</w:t>
            </w:r>
          </w:p>
        </w:tc>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E8EDF1"/>
          </w:tcPr>
          <w:p>
            <w:pPr>
              <w:spacing w:after="40" w:before="40"/>
            </w:pPr>
            <w:r>
              <w:rPr>
                <w:b/>
                <w:sz w:val="20"/>
              </w:rPr>
              <w:t>Light and material</w:t>
            </w:r>
          </w:p>
        </w:tc>
        <w:tc>
          <w:tcPr>
            <w:tcW w:type="dxa" w:w="453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E8EDF1"/>
          </w:tcPr>
          <w:p>
            <w:pPr>
              <w:spacing w:after="40" w:before="40"/>
            </w:pPr>
            <w:r>
              <w:rPr>
                <w:b/>
                <w:sz w:val="20"/>
              </w:rPr>
              <w:t>Composition to maintain</w:t>
            </w:r>
          </w:p>
        </w:tc>
      </w:tr>
      <w:tr>
        <w:trPr>
          <w:cantSplit/>
        </w:trPr>
        <w:tc>
          <w:tcPr>
            <w:tcW w:type="dxa" w:w="208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Original school and apartment</w:t>
            </w:r>
          </w:p>
        </w:tc>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Pale September daylight; worn stairs, modest rooms and taped windows.</w:t>
            </w:r>
          </w:p>
        </w:tc>
        <w:tc>
          <w:tcPr>
            <w:tcW w:type="dxa" w:w="453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AE-I01 gives the closed blue gate ample empty space. AE-I02 stays inside the narrow third floor landing.</w:t>
            </w:r>
          </w:p>
        </w:tc>
      </w:tr>
      <w:tr>
        <w:trPr>
          <w:cantSplit/>
        </w:trPr>
        <w:tc>
          <w:tcPr>
            <w:tcW w:type="dxa" w:w="208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The birth room</w:t>
            </w:r>
          </w:p>
        </w:tc>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Late November darkness; candle and headlamp light, covered bedding.</w:t>
            </w:r>
          </w:p>
        </w:tc>
        <w:tc>
          <w:tcPr>
            <w:tcW w:type="dxa" w:w="453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AE-I03 follows Oksana’s two fingers to the baby and then to Katya. No exposed procedure or symbolic radiance.</w:t>
            </w:r>
          </w:p>
        </w:tc>
      </w:tr>
      <w:tr>
        <w:trPr>
          <w:cantSplit/>
        </w:trPr>
        <w:tc>
          <w:tcPr>
            <w:tcW w:type="dxa" w:w="208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Snow road</w:t>
            </w:r>
          </w:p>
        </w:tc>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Blowing snow, cold late afternoon light and worn winter coats.</w:t>
            </w:r>
          </w:p>
        </w:tc>
        <w:tc>
          <w:tcPr>
            <w:tcW w:type="dxa" w:w="453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AE-I04 links the foreground companions to the evacuation group through footprints and the next utility pole.</w:t>
            </w:r>
          </w:p>
        </w:tc>
      </w:tr>
      <w:tr>
        <w:trPr>
          <w:cantSplit/>
        </w:trPr>
        <w:tc>
          <w:tcPr>
            <w:tcW w:type="dxa" w:w="208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Lypove school cellar</w:t>
            </w:r>
          </w:p>
        </w:tc>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Blankets between pillars; mattresses, bags, reused tables, blackboard and stove area.</w:t>
            </w:r>
          </w:p>
        </w:tc>
        <w:tc>
          <w:tcPr>
            <w:tcW w:type="dxa" w:w="453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Give each scene a distinct focal action. Maintain the same shelter materials without repeating one background view.</w:t>
            </w:r>
          </w:p>
        </w:tc>
      </w:tr>
      <w:tr>
        <w:trPr>
          <w:cantSplit/>
        </w:trPr>
        <w:tc>
          <w:tcPr>
            <w:tcW w:type="dxa" w:w="208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Clinic and medical response</w:t>
            </w:r>
          </w:p>
        </w:tc>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Plain clean surfaces, clinical equipment and practical daylight.</w:t>
            </w:r>
          </w:p>
        </w:tc>
        <w:tc>
          <w:tcPr>
            <w:tcW w:type="dxa" w:w="453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Keep professional care visible in AE-I06 and AE-I13. The journalist steps aside while medics work.</w:t>
            </w:r>
          </w:p>
        </w:tc>
      </w:tr>
      <w:tr>
        <w:trPr>
          <w:cantSplit/>
        </w:trPr>
        <w:tc>
          <w:tcPr>
            <w:tcW w:type="dxa" w:w="208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Barn loft</w:t>
            </w:r>
          </w:p>
        </w:tc>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Old straw, a beam across the opening, exposed north side and evening fields.</w:t>
            </w:r>
          </w:p>
        </w:tc>
        <w:tc>
          <w:tcPr>
            <w:tcW w:type="dxa" w:w="453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AE-I08 holds the teenagers and recorder low in the frame, with sky providing space above.</w:t>
            </w:r>
          </w:p>
        </w:tc>
      </w:tr>
      <w:tr>
        <w:trPr>
          <w:cantSplit/>
        </w:trPr>
        <w:tc>
          <w:tcPr>
            <w:tcW w:type="dxa" w:w="208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Temporary school in the west</w:t>
            </w:r>
          </w:p>
        </w:tc>
        <w:tc>
          <w:tcPr>
            <w:tcW w:type="dxa" w:w="345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An old community center, ordinary gate, mixed uniforms and early September light.</w:t>
            </w:r>
          </w:p>
        </w:tc>
        <w:tc>
          <w:tcPr>
            <w:tcW w:type="dxa" w:w="453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AE-I15 echoes the opening image, but the gate opens inward and Katya moves forward.</w:t>
            </w:r>
          </w:p>
        </w:tc>
      </w:tr>
    </w:tbl>
    <w:p>
      <w:pPr>
        <w:spacing w:after="40"/>
      </w:pPr>
    </w:p>
    <w:p>
      <w:r>
        <w:t>Lypove and the original hometown are fictional. Do not identify a real school, skyline, street address, evacuation route or transmitter site. Ordinary architecture and materials can establish the setting without assigning an invented place to a real landmark.</w:t>
      </w:r>
    </w:p>
    <w:p>
      <w:r>
        <w:t>Use eye level or a mild three quarter view for most scenes. A lower viewpoint helps the baby’s laughter; a close diagonal helps the living hand scene. Select a single instant rather than assembling several events into panels or a montage.</w:t>
      </w:r>
    </w:p>
    <w:p>
      <w:r>
        <w:t>In action scenes, make spatial relationships clearer than the movement. Dust may obscure the background, but the reader must distinguish Katya’s arms, Pavlo’s hand, the shawl and the notebook. Keep faces and crucial objects inside the crop safety area. No decorative sound waves or musical notes are needed: objects, listening postures and reactions carry the sound.</w:t>
      </w:r>
    </w:p>
    <w:p>
      <w:pPr>
        <w:pStyle w:val="Heading1"/>
        <w:pageBreakBefore/>
      </w:pPr>
      <w:r>
        <w:t>Principal characters</w:t>
      </w:r>
    </w:p>
    <w:p>
      <w:r>
        <w:t>Separate manuscript facts from proposed casting. Hairstyles, facial features, eye colors and skin tones that the novel does not specify are choices for this illustration system. Lock them in the first approved references and carry them into later scenes without treating them as new narrative facts.</w:t>
      </w:r>
    </w:p>
    <w:tbl>
      <w:tblPr>
        <w:tblW w:type="auto" w:w="0"/>
        <w:tblLayout w:type="fixed"/>
        <w:tblLook w:firstColumn="1" w:firstRow="1" w:lastColumn="0" w:lastRow="0" w:noHBand="0" w:noVBand="1" w:val="04A0"/>
      </w:tblPr>
      <w:tblGrid>
        <w:gridCol w:w="1512"/>
        <w:gridCol w:w="3528"/>
        <w:gridCol w:w="5040"/>
      </w:tblGrid>
      <w:tr>
        <w:trPr>
          <w:tblHeader/>
          <w:cantSplit/>
        </w:trPr>
        <w:tc>
          <w:tcPr>
            <w:tcW w:type="dxa" w:w="151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E8EDF1"/>
          </w:tcPr>
          <w:p>
            <w:pPr>
              <w:spacing w:after="40" w:before="40"/>
            </w:pPr>
            <w:r>
              <w:rPr>
                <w:b/>
                <w:sz w:val="20"/>
              </w:rPr>
              <w:t>Character</w:t>
            </w:r>
          </w:p>
        </w:tc>
        <w:tc>
          <w:tcPr>
            <w:tcW w:type="dxa" w:w="352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E8EDF1"/>
          </w:tcPr>
          <w:p>
            <w:pPr>
              <w:spacing w:after="40" w:before="40"/>
            </w:pPr>
            <w:r>
              <w:rPr>
                <w:b/>
                <w:sz w:val="20"/>
              </w:rPr>
              <w:t>Narrative facts</w:t>
            </w:r>
          </w:p>
        </w:tc>
        <w:tc>
          <w:tcPr>
            <w:tcW w:type="dxa" w:w="504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E8EDF1"/>
          </w:tcPr>
          <w:p>
            <w:pPr>
              <w:spacing w:after="40" w:before="40"/>
            </w:pPr>
            <w:r>
              <w:rPr>
                <w:b/>
                <w:sz w:val="20"/>
              </w:rPr>
              <w:t>Proposed appearance and continuity</w:t>
            </w:r>
          </w:p>
        </w:tc>
      </w:tr>
      <w:tr>
        <w:trPr>
          <w:cantSplit/>
        </w:trPr>
        <w:tc>
          <w:tcPr>
            <w:tcW w:type="dxa" w:w="151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Katya</w:t>
            </w:r>
          </w:p>
        </w:tc>
        <w:tc>
          <w:tcPr>
            <w:tcW w:type="dxa" w:w="352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Kateryna Kovalchuk. Fourteen in the main story; fifteen in September 2025. Anastasiya’s sister.</w:t>
            </w:r>
          </w:p>
        </w:tc>
        <w:tc>
          <w:tcPr>
            <w:tcW w:type="dxa" w:w="504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Narrow oval face, gray green eyes, chestnut hair in a low braid. White blouse and navy skirt for school; worn olive outer layer, oatmeal scarf or knit layer in winter. Remain visibly adolescent.</w:t>
            </w:r>
          </w:p>
        </w:tc>
      </w:tr>
      <w:tr>
        <w:trPr>
          <w:cantSplit/>
        </w:trPr>
        <w:tc>
          <w:tcPr>
            <w:tcW w:type="dxa" w:w="151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Anastasiya</w:t>
            </w:r>
          </w:p>
        </w:tc>
        <w:tc>
          <w:tcPr>
            <w:tcW w:type="dxa" w:w="352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Born November 28, 2024. Nine months in the epilogue.</w:t>
            </w:r>
          </w:p>
        </w:tc>
        <w:tc>
          <w:tcPr>
            <w:tcW w:type="dxa" w:w="504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Rounded face, sparse soft brown hair. Preserve her identity as her head size, posture and expression change with age. Never draw an early infant as a miniature toddler.</w:t>
            </w:r>
          </w:p>
        </w:tc>
      </w:tr>
      <w:tr>
        <w:trPr>
          <w:cantSplit/>
        </w:trPr>
        <w:tc>
          <w:tcPr>
            <w:tcW w:type="dxa" w:w="151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Oksana</w:t>
            </w:r>
          </w:p>
        </w:tc>
        <w:tc>
          <w:tcPr>
            <w:tcW w:type="dxa" w:w="352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Katya’s mother and a librarian. Pregnant in September; dies after the November birth.</w:t>
            </w:r>
          </w:p>
        </w:tc>
        <w:tc>
          <w:tcPr>
            <w:tcW w:type="dxa" w:w="504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Chestnut hair clipped low, soft oval face and tired brown eyes. Cream cardigan and dark dress in AE-I02. In AE-I03 she has given birth, remains alive and is covered by a blanket.</w:t>
            </w:r>
          </w:p>
        </w:tc>
      </w:tr>
      <w:tr>
        <w:trPr>
          <w:cantSplit/>
        </w:trPr>
        <w:tc>
          <w:tcPr>
            <w:tcW w:type="dxa" w:w="151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Baba Vira</w:t>
            </w:r>
          </w:p>
        </w:tc>
        <w:tc>
          <w:tcPr>
            <w:tcW w:type="dxa" w:w="352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Sixty-six. Former midwife, neighbor of the girls and grandmother of Ihor. Responsible adult for the evacuation trip.</w:t>
            </w:r>
          </w:p>
        </w:tc>
        <w:tc>
          <w:tcPr>
            <w:tcW w:type="dxa" w:w="504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Broad lined face, compact gray bun, sturdy build and strong forearms. Practical brown and charcoal clothes. One cane in the epilogue after rehabilitation; none in earlier scenes.</w:t>
            </w:r>
          </w:p>
        </w:tc>
      </w:tr>
      <w:tr>
        <w:trPr>
          <w:cantSplit/>
        </w:trPr>
        <w:tc>
          <w:tcPr>
            <w:tcW w:type="dxa" w:w="151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Ihor</w:t>
            </w:r>
          </w:p>
        </w:tc>
        <w:tc>
          <w:tcPr>
            <w:tcW w:type="dxa" w:w="352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Sixteen during the main story. Vira’s grandson; repairs equipment and joins a civilian communications team.</w:t>
            </w:r>
          </w:p>
        </w:tc>
        <w:tc>
          <w:tcPr>
            <w:tcW w:type="dxa" w:w="504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Lean adolescent, slightly taller than Katya, tousled dark brown hair and an uneven smile. Navy work sweater. Keep his age apparent; no adult soldier styling.</w:t>
            </w:r>
          </w:p>
        </w:tc>
      </w:tr>
      <w:tr>
        <w:trPr>
          <w:cantSplit/>
        </w:trPr>
        <w:tc>
          <w:tcPr>
            <w:tcW w:type="dxa" w:w="151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Aïcha Mbala</w:t>
            </w:r>
          </w:p>
        </w:tc>
        <w:tc>
          <w:tcPr>
            <w:tcW w:type="dxa" w:w="352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Adult journalist. Dark blue jacket and tied back hair on arrival.</w:t>
            </w:r>
          </w:p>
        </w:tc>
        <w:tc>
          <w:tcPr>
            <w:tcW w:type="dxa" w:w="504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Deep brown skin and black hair tied back are proposed casting choices. Practical field clothes and an attentive gaze. Show patience, respect for Katya’s decisions and room for the medical team.</w:t>
            </w:r>
          </w:p>
        </w:tc>
      </w:tr>
    </w:tbl>
    <w:p>
      <w:pPr>
        <w:spacing w:after="40"/>
      </w:pPr>
    </w:p>
    <w:p>
      <w:r>
        <w:t>Vira is not the girls’ biological grandmother, and Katya does not become Anastasiya’s mother. Oksana remains the mother in the story. Avoid a replacement mother tableau or any ghostly appearance of Oksana after her death. Papa, Maksym and Bohdan are absent from all selected images; their recorded voices do not become visible figures.</w:t>
      </w:r>
    </w:p>
    <w:p>
      <w:pPr>
        <w:pStyle w:val="Heading1"/>
        <w:pageBreakBefore/>
      </w:pPr>
      <w:r>
        <w:t>Supporting characters and reference sheets</w:t>
      </w:r>
    </w:p>
    <w:tbl>
      <w:tblPr>
        <w:tblW w:type="auto" w:w="0"/>
        <w:tblLayout w:type="fixed"/>
        <w:tblLook w:firstColumn="1" w:firstRow="1" w:lastColumn="0" w:lastRow="0" w:noHBand="0" w:noVBand="1" w:val="04A0"/>
      </w:tblPr>
      <w:tblGrid>
        <w:gridCol w:w="1728"/>
        <w:gridCol w:w="2952"/>
        <w:gridCol w:w="5400"/>
      </w:tblGrid>
      <w:tr>
        <w:trPr>
          <w:tblHeader/>
          <w:cantSplit/>
        </w:trPr>
        <w:tc>
          <w:tcPr>
            <w:tcW w:type="dxa" w:w="172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E8EDF1"/>
          </w:tcPr>
          <w:p>
            <w:pPr>
              <w:spacing w:after="40" w:before="40"/>
            </w:pPr>
            <w:r>
              <w:rPr>
                <w:b/>
                <w:sz w:val="20"/>
              </w:rPr>
              <w:t>Character</w:t>
            </w:r>
          </w:p>
        </w:tc>
        <w:tc>
          <w:tcPr>
            <w:tcW w:type="dxa" w:w="295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E8EDF1"/>
          </w:tcPr>
          <w:p>
            <w:pPr>
              <w:spacing w:after="40" w:before="40"/>
            </w:pPr>
            <w:r>
              <w:rPr>
                <w:b/>
                <w:sz w:val="20"/>
              </w:rPr>
              <w:t>Visual casting proposal</w:t>
            </w:r>
          </w:p>
        </w:tc>
        <w:tc>
          <w:tcPr>
            <w:tcW w:type="dxa" w:w="540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E8EDF1"/>
          </w:tcPr>
          <w:p>
            <w:pPr>
              <w:spacing w:after="40" w:before="40"/>
            </w:pPr>
            <w:r>
              <w:rPr>
                <w:b/>
                <w:sz w:val="20"/>
              </w:rPr>
              <w:t>Role and image notes</w:t>
            </w:r>
          </w:p>
        </w:tc>
      </w:tr>
      <w:tr>
        <w:trPr>
          <w:cantSplit/>
        </w:trPr>
        <w:tc>
          <w:tcPr>
            <w:tcW w:type="dxa" w:w="172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Pavlo</w:t>
            </w:r>
          </w:p>
        </w:tc>
        <w:tc>
          <w:tcPr>
            <w:tcW w:type="dxa" w:w="295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Small boy with sandy hair and quick eyes.</w:t>
            </w:r>
          </w:p>
        </w:tc>
        <w:tc>
          <w:tcPr>
            <w:tcW w:type="dxa" w:w="540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Nine and almost ten. Playful in AE-I07, AE-I09 and AE-I11; frozen with fear in AE-I12. Keep one identity across those emotions.</w:t>
            </w:r>
          </w:p>
        </w:tc>
      </w:tr>
      <w:tr>
        <w:trPr>
          <w:cantSplit/>
        </w:trPr>
        <w:tc>
          <w:tcPr>
            <w:tcW w:type="dxa" w:w="172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Solomiya</w:t>
            </w:r>
          </w:p>
        </w:tc>
        <w:tc>
          <w:tcPr>
            <w:tcW w:type="dxa" w:w="295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Primary school age girl with a straight dark bob.</w:t>
            </w:r>
          </w:p>
        </w:tc>
        <w:tc>
          <w:tcPr>
            <w:tcW w:type="dxa" w:w="540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The bear book and bear drawing connect AE-I02, AE-I07, AE-I09 and AE-I11. Her exact age is not given.</w:t>
            </w:r>
          </w:p>
        </w:tc>
      </w:tr>
      <w:tr>
        <w:trPr>
          <w:cantSplit/>
        </w:trPr>
        <w:tc>
          <w:tcPr>
            <w:tcW w:type="dxa" w:w="172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Daryna</w:t>
            </w:r>
          </w:p>
        </w:tc>
        <w:tc>
          <w:tcPr>
            <w:tcW w:type="dxa" w:w="295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Young girl with straight dark hair.</w:t>
            </w:r>
          </w:p>
        </w:tc>
        <w:tc>
          <w:tcPr>
            <w:tcW w:type="dxa" w:w="540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Oversized green coat, long sleeves covering the hands. Her brother Mykhailo remains absent in AE-I10 and AE-I11.</w:t>
            </w:r>
          </w:p>
        </w:tc>
      </w:tr>
      <w:tr>
        <w:trPr>
          <w:cantSplit/>
        </w:trPr>
        <w:tc>
          <w:tcPr>
            <w:tcW w:type="dxa" w:w="172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Nina</w:t>
            </w:r>
          </w:p>
        </w:tc>
        <w:tc>
          <w:tcPr>
            <w:tcW w:type="dxa" w:w="295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Dark blond bob, brown cardigan and practical stance.</w:t>
            </w:r>
          </w:p>
        </w:tc>
        <w:tc>
          <w:tcPr>
            <w:tcW w:type="dxa" w:w="540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Adult companion who shares food and watches the baby. Supports Anastasiya in the festival scene.</w:t>
            </w:r>
          </w:p>
        </w:tc>
      </w:tr>
      <w:tr>
        <w:trPr>
          <w:cantSplit/>
        </w:trPr>
        <w:tc>
          <w:tcPr>
            <w:tcW w:type="dxa" w:w="172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Olena Petrivna</w:t>
            </w:r>
          </w:p>
        </w:tc>
        <w:tc>
          <w:tcPr>
            <w:tcW w:type="dxa" w:w="295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Short dark hair, charcoal cardigan and direct gaze.</w:t>
            </w:r>
          </w:p>
        </w:tc>
        <w:tc>
          <w:tcPr>
            <w:tcW w:type="dxa" w:w="540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Adult teacher. Let her gestures give children space to answer and work. Avoid the appearance of a ceremonial lecturer.</w:t>
            </w:r>
          </w:p>
        </w:tc>
      </w:tr>
      <w:tr>
        <w:trPr>
          <w:cantSplit/>
        </w:trPr>
        <w:tc>
          <w:tcPr>
            <w:tcW w:type="dxa" w:w="172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Larysa</w:t>
            </w:r>
          </w:p>
        </w:tc>
        <w:tc>
          <w:tcPr>
            <w:tcW w:type="dxa" w:w="295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Dark hair secured back and simple clinical work clothes.</w:t>
            </w:r>
          </w:p>
        </w:tc>
        <w:tc>
          <w:tcPr>
            <w:tcW w:type="dxa" w:w="540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Adult nurse at the clinic. Controls the stethoscope placement in AE-I06.</w:t>
            </w:r>
          </w:p>
        </w:tc>
      </w:tr>
      <w:tr>
        <w:trPr>
          <w:cantSplit/>
        </w:trPr>
        <w:tc>
          <w:tcPr>
            <w:tcW w:type="dxa" w:w="172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Svitlana</w:t>
            </w:r>
          </w:p>
        </w:tc>
        <w:tc>
          <w:tcPr>
            <w:tcW w:type="dxa" w:w="295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Dark blond hair tied back and a gray jacket.</w:t>
            </w:r>
          </w:p>
        </w:tc>
        <w:tc>
          <w:tcPr>
            <w:tcW w:type="dxa" w:w="540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Younger adult interpreter. Headphones may hang at her neck on arrival, not cover her ears during translation.</w:t>
            </w:r>
          </w:p>
        </w:tc>
      </w:tr>
      <w:tr>
        <w:trPr>
          <w:cantSplit/>
        </w:trPr>
        <w:tc>
          <w:tcPr>
            <w:tcW w:type="dxa" w:w="172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Mykola</w:t>
            </w:r>
          </w:p>
        </w:tc>
        <w:tc>
          <w:tcPr>
            <w:tcW w:type="dxa" w:w="295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Brown work sweater and ordinary adult proportions.</w:t>
            </w:r>
          </w:p>
        </w:tc>
        <w:tc>
          <w:tcPr>
            <w:tcW w:type="dxa" w:w="540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Shelter companion in the background of the laughter and festival scenes.</w:t>
            </w:r>
          </w:p>
        </w:tc>
      </w:tr>
      <w:tr>
        <w:trPr>
          <w:cantSplit/>
        </w:trPr>
        <w:tc>
          <w:tcPr>
            <w:tcW w:type="dxa" w:w="172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Occasional figures</w:t>
            </w:r>
          </w:p>
        </w:tc>
        <w:tc>
          <w:tcPr>
            <w:tcW w:type="dxa" w:w="295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Distinct but understated faces and practical clothing.</w:t>
            </w:r>
          </w:p>
        </w:tc>
        <w:tc>
          <w:tcPr>
            <w:tcW w:type="dxa" w:w="540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Alina, Denys, their parents, Artem, the camera operator and medics should match the prompt cast list. Do not invent extra relatives.</w:t>
            </w:r>
          </w:p>
        </w:tc>
      </w:tr>
    </w:tbl>
    <w:p>
      <w:pPr>
        <w:spacing w:after="40"/>
      </w:pPr>
    </w:p>
    <w:p>
      <w:pPr>
        <w:pStyle w:val="Heading2"/>
      </w:pPr>
      <w:r>
        <w:t>Core reference sheet AE REF01</w:t>
      </w:r>
    </w:p>
    <w:p>
      <w:r>
        <w:t>The technical sheet contains eight studies in a four by two grid. Top row: Katya at fourteen, Ihor at sixteen, Oksana late in pregnancy and Vira. Bottom row: Aïcha, newborn Anastasiya, Anastasiya at four months and Anastasiya at nine months. Each baby study has age appropriate support and scale.</w:t>
      </w:r>
    </w:p>
    <w:p>
      <w:r>
        <w:t>Use a plain warm ivory background, neutral lighting and uncluttered silhouettes. Add any labels in layout after generation. Keep full adult and adolescent figures clear of the frame edge. Do not enlarge infants to the height of adults.</w:t>
      </w:r>
    </w:p>
    <w:p>
      <w:r>
        <w:t>For recurring secondary characters, retain the first approved appearance as an additional reference. Before generating another scene, attach the relevant approved faces and object images. Repeating descriptions or a seed alone does not guarantee the same identity.</w:t>
      </w:r>
    </w:p>
    <w:p>
      <w:pPr>
        <w:pStyle w:val="Heading1"/>
        <w:pageBreakBefore/>
      </w:pPr>
      <w:r>
        <w:t>Objects and the age of Anastasiya</w:t>
      </w:r>
    </w:p>
    <w:tbl>
      <w:tblPr>
        <w:tblW w:type="auto" w:w="0"/>
        <w:tblLayout w:type="fixed"/>
        <w:tblLook w:firstColumn="1" w:firstRow="1" w:lastColumn="0" w:lastRow="0" w:noHBand="0" w:noVBand="1" w:val="04A0"/>
      </w:tblPr>
      <w:tblGrid>
        <w:gridCol w:w="1728"/>
        <w:gridCol w:w="3168"/>
        <w:gridCol w:w="5184"/>
      </w:tblGrid>
      <w:tr>
        <w:trPr>
          <w:tblHeader/>
          <w:cantSplit/>
        </w:trPr>
        <w:tc>
          <w:tcPr>
            <w:tcW w:type="dxa" w:w="172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E8EDF1"/>
          </w:tcPr>
          <w:p>
            <w:pPr>
              <w:spacing w:after="40" w:before="40"/>
            </w:pPr>
            <w:r>
              <w:rPr>
                <w:b/>
                <w:sz w:val="20"/>
              </w:rPr>
              <w:t>Object</w:t>
            </w:r>
          </w:p>
        </w:tc>
        <w:tc>
          <w:tcPr>
            <w:tcW w:type="dxa" w:w="316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E8EDF1"/>
          </w:tcPr>
          <w:p>
            <w:pPr>
              <w:spacing w:after="40" w:before="40"/>
            </w:pPr>
            <w:r>
              <w:rPr>
                <w:b/>
                <w:sz w:val="20"/>
              </w:rPr>
              <w:t>Required state</w:t>
            </w:r>
          </w:p>
        </w:tc>
        <w:tc>
          <w:tcPr>
            <w:tcW w:type="dxa" w:w="5184"/>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E8EDF1"/>
          </w:tcPr>
          <w:p>
            <w:pPr>
              <w:spacing w:after="40" w:before="40"/>
            </w:pPr>
            <w:r>
              <w:rPr>
                <w:b/>
                <w:sz w:val="20"/>
              </w:rPr>
              <w:t>Continuity across the selection</w:t>
            </w:r>
          </w:p>
        </w:tc>
      </w:tr>
      <w:tr>
        <w:trPr>
          <w:cantSplit/>
        </w:trPr>
        <w:tc>
          <w:tcPr>
            <w:tcW w:type="dxa" w:w="172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Red notebook</w:t>
            </w:r>
          </w:p>
        </w:tc>
        <w:tc>
          <w:tcPr>
            <w:tcW w:type="dxa" w:w="316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New school notebook at the opening. Later thickened by inserted pages and repairs.</w:t>
            </w:r>
          </w:p>
        </w:tc>
        <w:tc>
          <w:tcPr>
            <w:tcW w:type="dxa" w:w="5184"/>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Inside the schoolbag in AE-I01; visible from the later scenes. Charcoal marks in AE-I05. Tape and inserted sheets by AE-I07. Gray dust and blackened corner after the collapse, including AE-I13, AE-I14 and AE-C04.</w:t>
            </w:r>
          </w:p>
        </w:tc>
      </w:tr>
      <w:tr>
        <w:trPr>
          <w:cantSplit/>
        </w:trPr>
        <w:tc>
          <w:tcPr>
            <w:tcW w:type="dxa" w:w="172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Green notebook</w:t>
            </w:r>
          </w:p>
        </w:tc>
        <w:tc>
          <w:tcPr>
            <w:tcW w:type="dxa" w:w="316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Thin notebook with a checkered cover, given after the red one is handed over.</w:t>
            </w:r>
          </w:p>
        </w:tc>
        <w:tc>
          <w:tcPr>
            <w:tcW w:type="dxa" w:w="5184"/>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Visible in AE-I15. Do not add it to the handover image AE-I14. The returned red notebook is kept at home in the epilogue.</w:t>
            </w:r>
          </w:p>
        </w:tc>
      </w:tr>
      <w:tr>
        <w:trPr>
          <w:cantSplit/>
        </w:trPr>
        <w:tc>
          <w:tcPr>
            <w:tcW w:type="dxa" w:w="172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Embroidered shawl</w:t>
            </w:r>
          </w:p>
        </w:tc>
        <w:tc>
          <w:tcPr>
            <w:tcW w:type="dxa" w:w="316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Inherited shawl with leaves and small stars.</w:t>
            </w:r>
          </w:p>
        </w:tc>
        <w:tc>
          <w:tcPr>
            <w:tcW w:type="dxa" w:w="5184"/>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The same design connects birth, carrying, evacuation and later care. Keep the baby’s face uncovered and the textile visibly supporting the body.</w:t>
            </w:r>
          </w:p>
        </w:tc>
      </w:tr>
      <w:tr>
        <w:trPr>
          <w:cantSplit/>
        </w:trPr>
        <w:tc>
          <w:tcPr>
            <w:tcW w:type="dxa" w:w="172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Wooden bird</w:t>
            </w:r>
          </w:p>
        </w:tc>
        <w:tc>
          <w:tcPr>
            <w:tcW w:type="dxa" w:w="316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A small handmade toy with the left wing shorter than the right.</w:t>
            </w:r>
          </w:p>
        </w:tc>
        <w:tc>
          <w:tcPr>
            <w:tcW w:type="dxa" w:w="5184"/>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Introduced before the laughter scene. Carved wood, never a live bird. Its uneven shape remains visible in the cover still life.</w:t>
            </w:r>
          </w:p>
        </w:tc>
      </w:tr>
      <w:tr>
        <w:trPr>
          <w:cantSplit/>
        </w:trPr>
        <w:tc>
          <w:tcPr>
            <w:tcW w:type="dxa" w:w="172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Phone and recorder</w:t>
            </w:r>
          </w:p>
        </w:tc>
        <w:tc>
          <w:tcPr>
            <w:tcW w:type="dxa" w:w="316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Ordinary phone; compact school audio recorder with a small screen and red indicator.</w:t>
            </w:r>
          </w:p>
        </w:tc>
        <w:tc>
          <w:tcPr>
            <w:tcW w:type="dxa" w:w="5184"/>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Use the phone at the gate and during AE-I07. The recorder is repaired in Chapter Fourteen, appears in AE-I08 and records the laughter and festival.</w:t>
            </w:r>
          </w:p>
        </w:tc>
      </w:tr>
      <w:tr>
        <w:trPr>
          <w:cantSplit/>
        </w:trPr>
        <w:tc>
          <w:tcPr>
            <w:tcW w:type="dxa" w:w="172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Bell pot and spoon</w:t>
            </w:r>
          </w:p>
        </w:tc>
        <w:tc>
          <w:tcPr>
            <w:tcW w:type="dxa" w:w="316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Repaired bicycle bell; small cooking pot; wooden spoon.</w:t>
            </w:r>
          </w:p>
        </w:tc>
        <w:tc>
          <w:tcPr>
            <w:tcW w:type="dxa" w:w="5184"/>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Ihor’s bicycle bell returns at the final gate. Pot and spoon are everyday festival objects, never a toy drum kit.</w:t>
            </w:r>
          </w:p>
        </w:tc>
      </w:tr>
      <w:tr>
        <w:trPr>
          <w:cantSplit/>
        </w:trPr>
        <w:tc>
          <w:tcPr>
            <w:tcW w:type="dxa" w:w="172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Receipt and pouch</w:t>
            </w:r>
          </w:p>
        </w:tc>
        <w:tc>
          <w:tcPr>
            <w:tcW w:type="dxa" w:w="316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Signed receipt in two languages and a waterproof pouch.</w:t>
            </w:r>
          </w:p>
        </w:tc>
        <w:tc>
          <w:tcPr>
            <w:tcW w:type="dxa" w:w="5184"/>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For AE-I14, keep the receipt unreadable and the pouch waiting nearby; the notebook has not yet been placed inside.</w:t>
            </w:r>
          </w:p>
        </w:tc>
      </w:tr>
    </w:tbl>
    <w:p>
      <w:pPr>
        <w:spacing w:after="40"/>
      </w:pPr>
    </w:p>
    <w:tbl>
      <w:tblPr>
        <w:tblW w:type="auto" w:w="0"/>
        <w:tblLayout w:type="fixed"/>
        <w:tblLook w:firstColumn="1" w:firstRow="1" w:lastColumn="0" w:lastRow="0" w:noHBand="0" w:noVBand="1" w:val="04A0"/>
      </w:tblPr>
      <w:tblGrid>
        <w:gridCol w:w="2016"/>
        <w:gridCol w:w="2520"/>
        <w:gridCol w:w="5544"/>
      </w:tblGrid>
      <w:tr>
        <w:trPr>
          <w:tblHeader/>
          <w:cantSplit/>
        </w:trPr>
        <w:tc>
          <w:tcPr>
            <w:tcW w:type="dxa" w:w="201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E8EDF1"/>
          </w:tcPr>
          <w:p>
            <w:pPr>
              <w:spacing w:after="40" w:before="40"/>
            </w:pPr>
            <w:r>
              <w:rPr>
                <w:b/>
                <w:sz w:val="20"/>
              </w:rPr>
              <w:t>Images</w:t>
            </w:r>
          </w:p>
        </w:tc>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E8EDF1"/>
          </w:tcPr>
          <w:p>
            <w:pPr>
              <w:spacing w:after="40" w:before="40"/>
            </w:pPr>
            <w:r>
              <w:rPr>
                <w:b/>
                <w:sz w:val="20"/>
              </w:rPr>
              <w:t>Baby’s age</w:t>
            </w:r>
          </w:p>
        </w:tc>
        <w:tc>
          <w:tcPr>
            <w:tcW w:type="dxa" w:w="5544"/>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E8EDF1"/>
          </w:tcPr>
          <w:p>
            <w:pPr>
              <w:spacing w:after="40" w:before="40"/>
            </w:pPr>
            <w:r>
              <w:rPr>
                <w:b/>
                <w:sz w:val="20"/>
              </w:rPr>
              <w:t>Motor posture to show</w:t>
            </w:r>
          </w:p>
        </w:tc>
      </w:tr>
      <w:tr>
        <w:trPr>
          <w:cantSplit/>
        </w:trPr>
        <w:tc>
          <w:tcPr>
            <w:tcW w:type="dxa" w:w="201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AE-I03</w:t>
            </w:r>
          </w:p>
        </w:tc>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Newborn</w:t>
            </w:r>
          </w:p>
        </w:tc>
        <w:tc>
          <w:tcPr>
            <w:tcW w:type="dxa" w:w="5544"/>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Head and neck supported; fully wrapped.</w:t>
            </w:r>
          </w:p>
        </w:tc>
      </w:tr>
      <w:tr>
        <w:trPr>
          <w:cantSplit/>
        </w:trPr>
        <w:tc>
          <w:tcPr>
            <w:tcW w:type="dxa" w:w="201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AE-I04</w:t>
            </w:r>
          </w:p>
        </w:tc>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About eighteen days</w:t>
            </w:r>
          </w:p>
        </w:tc>
        <w:tc>
          <w:tcPr>
            <w:tcW w:type="dxa" w:w="5544"/>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Held high against an adult’s chest.</w:t>
            </w:r>
          </w:p>
        </w:tc>
      </w:tr>
      <w:tr>
        <w:trPr>
          <w:cantSplit/>
        </w:trPr>
        <w:tc>
          <w:tcPr>
            <w:tcW w:type="dxa" w:w="201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AE-I05 and AE-I06</w:t>
            </w:r>
          </w:p>
        </w:tc>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About two to two and a half months</w:t>
            </w:r>
          </w:p>
        </w:tc>
        <w:tc>
          <w:tcPr>
            <w:tcW w:type="dxa" w:w="5544"/>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Cradled or lying on a supported clinical surface.</w:t>
            </w:r>
          </w:p>
        </w:tc>
      </w:tr>
      <w:tr>
        <w:trPr>
          <w:cantSplit/>
        </w:trPr>
        <w:tc>
          <w:tcPr>
            <w:tcW w:type="dxa" w:w="201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AE-I09 and AE-C01</w:t>
            </w:r>
          </w:p>
        </w:tc>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About four months</w:t>
            </w:r>
          </w:p>
        </w:tc>
        <w:tc>
          <w:tcPr>
            <w:tcW w:type="dxa" w:w="5544"/>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Reclining or held; no independent sitting.</w:t>
            </w:r>
          </w:p>
        </w:tc>
      </w:tr>
      <w:tr>
        <w:trPr>
          <w:cantSplit/>
        </w:trPr>
        <w:tc>
          <w:tcPr>
            <w:tcW w:type="dxa" w:w="201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AE-I11 to AE-I13</w:t>
            </w:r>
          </w:p>
        </w:tc>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Six months</w:t>
            </w:r>
          </w:p>
        </w:tc>
        <w:tc>
          <w:tcPr>
            <w:tcW w:type="dxa" w:w="5544"/>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Supported sitting at the festival or securely carried.</w:t>
            </w:r>
          </w:p>
        </w:tc>
      </w:tr>
      <w:tr>
        <w:trPr>
          <w:cantSplit/>
        </w:trPr>
        <w:tc>
          <w:tcPr>
            <w:tcW w:type="dxa" w:w="201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AE-I15</w:t>
            </w:r>
          </w:p>
        </w:tc>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Nine months</w:t>
            </w:r>
          </w:p>
        </w:tc>
        <w:tc>
          <w:tcPr>
            <w:tcW w:type="dxa" w:w="5544"/>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Alert and laughing, supported by Vira at the gate.</w:t>
            </w:r>
          </w:p>
        </w:tc>
      </w:tr>
    </w:tbl>
    <w:p>
      <w:pPr>
        <w:spacing w:after="40"/>
      </w:pPr>
    </w:p>
    <w:p>
      <w:r>
        <w:t>The remaining interior images keep Anastasiya outside the chosen frame. Her first laugh is not the same event as her earlier smile, and the clinic improvement does not imply an instantaneous cure.</w:t>
      </w:r>
    </w:p>
    <w:p>
      <w:pPr>
        <w:pStyle w:val="Heading1"/>
        <w:pageBreakBefore/>
      </w:pPr>
      <w:r>
        <w:t>Image direction for interiors 1 to 7</w:t>
      </w:r>
    </w:p>
    <w:p>
      <w:r>
        <w:t>Use these checks alongside the existing self contained prompts. The listed line is a retrieval aid for the supplied English Markdown. The full paragraph and exact insertion instruction remain in the production CSV. Proposed alternative text describes the image for the digital edition; it is not a required printed caption.</w:t>
      </w:r>
    </w:p>
    <w:tbl>
      <w:tblPr>
        <w:tblW w:type="auto" w:w="0"/>
        <w:tblLayout w:type="fixed"/>
        <w:tblLook w:firstColumn="1" w:firstRow="1" w:lastColumn="0" w:lastRow="0" w:noHBand="0" w:noVBand="1" w:val="04A0"/>
      </w:tblPr>
      <w:tblGrid>
        <w:gridCol w:w="1728"/>
        <w:gridCol w:w="3960"/>
        <w:gridCol w:w="4392"/>
      </w:tblGrid>
      <w:tr>
        <w:trPr>
          <w:tblHeader/>
          <w:cantSplit/>
        </w:trPr>
        <w:tc>
          <w:tcPr>
            <w:tcW w:type="dxa" w:w="172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E8EDF1"/>
          </w:tcPr>
          <w:p>
            <w:pPr>
              <w:spacing w:after="40" w:before="40"/>
            </w:pPr>
            <w:r>
              <w:rPr>
                <w:b/>
                <w:sz w:val="20"/>
              </w:rPr>
              <w:t>Asset and source</w:t>
            </w:r>
          </w:p>
        </w:tc>
        <w:tc>
          <w:tcPr>
            <w:tcW w:type="dxa" w:w="396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E8EDF1"/>
          </w:tcPr>
          <w:p>
            <w:pPr>
              <w:spacing w:after="40" w:before="40"/>
            </w:pPr>
            <w:r>
              <w:rPr>
                <w:b/>
                <w:sz w:val="20"/>
              </w:rPr>
              <w:t>Image check</w:t>
            </w:r>
          </w:p>
        </w:tc>
        <w:tc>
          <w:tcPr>
            <w:tcW w:type="dxa" w:w="439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E8EDF1"/>
          </w:tcPr>
          <w:p>
            <w:pPr>
              <w:spacing w:after="40" w:before="40"/>
            </w:pPr>
            <w:r>
              <w:rPr>
                <w:b/>
                <w:sz w:val="20"/>
              </w:rPr>
              <w:t>Proposed alternative text</w:t>
            </w:r>
          </w:p>
        </w:tc>
      </w:tr>
      <w:tr>
        <w:trPr>
          <w:cantSplit/>
        </w:trPr>
        <w:tc>
          <w:tcPr>
            <w:tcW w:type="dxa" w:w="172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AE-I01</w:t>
              <w:br/>
              <w:t>Ch. 1 · line 156</w:t>
            </w:r>
          </w:p>
        </w:tc>
        <w:tc>
          <w:tcPr>
            <w:tcW w:type="dxa" w:w="396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Closed blue fence. Katya holds her phone; the red notebook stays in her bag.</w:t>
            </w:r>
          </w:p>
        </w:tc>
        <w:tc>
          <w:tcPr>
            <w:tcW w:type="dxa" w:w="439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Katya records the quiet outside a closed school gate as classmates and their parents wait.</w:t>
            </w:r>
          </w:p>
        </w:tc>
      </w:tr>
      <w:tr>
        <w:trPr>
          <w:cantSplit/>
        </w:trPr>
        <w:tc>
          <w:tcPr>
            <w:tcW w:type="dxa" w:w="172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AE-I02</w:t>
              <w:br/>
              <w:t>Ch. 2 · line 236</w:t>
            </w:r>
          </w:p>
        </w:tc>
        <w:tc>
          <w:tcPr>
            <w:tcW w:type="dxa" w:w="396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Two fruit crates, blue sheet, pregnant Oksana. The baby has not been born.</w:t>
            </w:r>
          </w:p>
        </w:tc>
        <w:tc>
          <w:tcPr>
            <w:tcW w:type="dxa" w:w="439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Solomiya hugs a bear book while Oksana lends books on the apartment landing and Katya watches.</w:t>
            </w:r>
          </w:p>
        </w:tc>
      </w:tr>
      <w:tr>
        <w:trPr>
          <w:cantSplit/>
        </w:trPr>
        <w:tc>
          <w:tcPr>
            <w:tcW w:type="dxa" w:w="172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AE-I03</w:t>
              <w:br/>
              <w:t>Ch. 5 · line 778</w:t>
            </w:r>
          </w:p>
        </w:tc>
        <w:tc>
          <w:tcPr>
            <w:tcW w:type="dxa" w:w="396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Oksana alive. Two fingers on the newborn’s cheek. Vira nearby; no birth procedure.</w:t>
            </w:r>
          </w:p>
        </w:tc>
        <w:tc>
          <w:tcPr>
            <w:tcW w:type="dxa" w:w="439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Oksana touches her newborn daughter’s cheek as Katya holds the baby and Vira stands beside them.</w:t>
            </w:r>
          </w:p>
        </w:tc>
      </w:tr>
      <w:tr>
        <w:trPr>
          <w:cantSplit/>
        </w:trPr>
        <w:tc>
          <w:tcPr>
            <w:tcW w:type="dxa" w:w="172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AE-I04</w:t>
              <w:br/>
              <w:t>Ch. 8 · line 1330</w:t>
            </w:r>
          </w:p>
        </w:tc>
        <w:tc>
          <w:tcPr>
            <w:tcW w:type="dxa" w:w="396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Transfer complete. Vira carries the baby; Katya’s hands are empty. Ihor carries bags.</w:t>
            </w:r>
          </w:p>
        </w:tc>
        <w:tc>
          <w:tcPr>
            <w:tcW w:type="dxa" w:w="439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Vira carries Anastasiya along the snowy evacuation road while Katya rests her arms and Ihor carries bags.</w:t>
            </w:r>
          </w:p>
        </w:tc>
      </w:tr>
      <w:tr>
        <w:trPr>
          <w:cantSplit/>
        </w:trPr>
        <w:tc>
          <w:tcPr>
            <w:tcW w:type="dxa" w:w="172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AE-I05</w:t>
              <w:br/>
              <w:t>Ch. 10 · line 1654</w:t>
            </w:r>
          </w:p>
        </w:tc>
        <w:tc>
          <w:tcPr>
            <w:tcW w:type="dxa" w:w="396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Baby asleep, not smiling. Small hand on Katya’s chin; modest shared dessert.</w:t>
            </w:r>
          </w:p>
        </w:tc>
        <w:tc>
          <w:tcPr>
            <w:tcW w:type="dxa" w:w="439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Anastasiya sleeps against Katya with a hand on her chin as companions share a small dessert.</w:t>
            </w:r>
          </w:p>
        </w:tc>
      </w:tr>
      <w:tr>
        <w:trPr>
          <w:cantSplit/>
        </w:trPr>
        <w:tc>
          <w:tcPr>
            <w:tcW w:type="dxa" w:w="172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AE-I06</w:t>
              <w:br/>
              <w:t>Ch. 12 · line 1916</w:t>
            </w:r>
          </w:p>
        </w:tc>
        <w:tc>
          <w:tcPr>
            <w:tcW w:type="dxa" w:w="396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Larysa guides the stethoscope. Katya listens while professional care continues.</w:t>
            </w:r>
          </w:p>
        </w:tc>
        <w:tc>
          <w:tcPr>
            <w:tcW w:type="dxa" w:w="439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Nurse Larysa lets Katya listen to Anastasiya’s chest with a stethoscope while Vira watches.</w:t>
            </w:r>
          </w:p>
        </w:tc>
      </w:tr>
      <w:tr>
        <w:trPr>
          <w:cantSplit/>
        </w:trPr>
        <w:tc>
          <w:tcPr>
            <w:tcW w:type="dxa" w:w="172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AE-I07</w:t>
              <w:br/>
              <w:t>Ch. 13 · line 2164</w:t>
            </w:r>
          </w:p>
        </w:tc>
        <w:tc>
          <w:tcPr>
            <w:tcW w:type="dxa" w:w="396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Phone available; recorder not repaired yet. Children choose what is kept or returned.</w:t>
            </w:r>
          </w:p>
        </w:tc>
        <w:tc>
          <w:tcPr>
            <w:tcW w:type="dxa" w:w="439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Katya listens to children describing sounds and asks which pages and voices she may keep.</w:t>
            </w:r>
          </w:p>
        </w:tc>
      </w:tr>
    </w:tbl>
    <w:p>
      <w:pPr>
        <w:spacing w:after="40"/>
      </w:pPr>
    </w:p>
    <w:p>
      <w:r>
        <w:t>The early sequence gives Oksana a professional and personal life before the birth scene. The winter scenes then show a sequence of help: another person carries Anastasiya, companions allow Katya to rest, and professional care steadies the baby’s breathing. Keep that progression visible rather than giving every scene the same despairing expression.</w:t>
      </w:r>
    </w:p>
    <w:p>
      <w:r>
        <w:t>AE-I01, AE-I03, AE-I04 and AE-I06 use portrait full page framing. AE-I02, AE-I05 and AE-I07 use horizontal half page framing. Preserve each image as a single independent asset for print and the reflowable ebook.</w:t>
      </w:r>
    </w:p>
    <w:p>
      <w:pPr>
        <w:pStyle w:val="Heading1"/>
        <w:pageBreakBefore/>
      </w:pPr>
      <w:r>
        <w:t>Image direction for interiors 8 to 15</w:t>
      </w:r>
    </w:p>
    <w:tbl>
      <w:tblPr>
        <w:tblW w:type="auto" w:w="0"/>
        <w:tblLayout w:type="fixed"/>
        <w:tblLook w:firstColumn="1" w:firstRow="1" w:lastColumn="0" w:lastRow="0" w:noHBand="0" w:noVBand="1" w:val="04A0"/>
      </w:tblPr>
      <w:tblGrid>
        <w:gridCol w:w="1728"/>
        <w:gridCol w:w="3960"/>
        <w:gridCol w:w="4392"/>
      </w:tblGrid>
      <w:tr>
        <w:trPr>
          <w:tblHeader/>
          <w:cantSplit/>
        </w:trPr>
        <w:tc>
          <w:tcPr>
            <w:tcW w:type="dxa" w:w="172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E8EDF1"/>
          </w:tcPr>
          <w:p>
            <w:pPr>
              <w:spacing w:after="40" w:before="40"/>
            </w:pPr>
            <w:r>
              <w:rPr>
                <w:b/>
                <w:sz w:val="20"/>
              </w:rPr>
              <w:t>Asset and source</w:t>
            </w:r>
          </w:p>
        </w:tc>
        <w:tc>
          <w:tcPr>
            <w:tcW w:type="dxa" w:w="396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E8EDF1"/>
          </w:tcPr>
          <w:p>
            <w:pPr>
              <w:spacing w:after="40" w:before="40"/>
            </w:pPr>
            <w:r>
              <w:rPr>
                <w:b/>
                <w:sz w:val="20"/>
              </w:rPr>
              <w:t>Image check</w:t>
            </w:r>
          </w:p>
        </w:tc>
        <w:tc>
          <w:tcPr>
            <w:tcW w:type="dxa" w:w="439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E8EDF1"/>
          </w:tcPr>
          <w:p>
            <w:pPr>
              <w:spacing w:after="40" w:before="40"/>
            </w:pPr>
            <w:r>
              <w:rPr>
                <w:b/>
                <w:sz w:val="20"/>
              </w:rPr>
              <w:t>Proposed alternative text</w:t>
            </w:r>
          </w:p>
        </w:tc>
      </w:tr>
      <w:tr>
        <w:trPr>
          <w:cantSplit/>
        </w:trPr>
        <w:tc>
          <w:tcPr>
            <w:tcW w:type="dxa" w:w="172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AE-I08</w:t>
              <w:br/>
              <w:t>Ch. 14 · line 2420</w:t>
            </w:r>
          </w:p>
        </w:tc>
        <w:tc>
          <w:tcPr>
            <w:tcW w:type="dxa" w:w="396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Two teenagers; shoulder contact only. Recorder between them, baby outside frame.</w:t>
            </w:r>
          </w:p>
        </w:tc>
        <w:tc>
          <w:tcPr>
            <w:tcW w:type="dxa" w:w="439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Katya and Ihor sit beside each other under the barn’s missing roof with the repaired recorder between them.</w:t>
            </w:r>
          </w:p>
        </w:tc>
      </w:tr>
      <w:tr>
        <w:trPr>
          <w:cantSplit/>
        </w:trPr>
        <w:tc>
          <w:tcPr>
            <w:tcW w:type="dxa" w:w="172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AE-I09</w:t>
              <w:br/>
              <w:t>Ch. 15 · line 2508</w:t>
            </w:r>
          </w:p>
        </w:tc>
        <w:tc>
          <w:tcPr>
            <w:tcW w:type="dxa" w:w="396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Second laugh. Toy has fallen clear of the baby; infant reclines with support.</w:t>
            </w:r>
          </w:p>
        </w:tc>
        <w:tc>
          <w:tcPr>
            <w:tcW w:type="dxa" w:w="439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Anastasiya laughs as the uneven wooden bird falls from Ihor’s head and Katya records the sound.</w:t>
            </w:r>
          </w:p>
        </w:tc>
      </w:tr>
      <w:tr>
        <w:trPr>
          <w:cantSplit/>
        </w:trPr>
        <w:tc>
          <w:tcPr>
            <w:tcW w:type="dxa" w:w="172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AE-I10</w:t>
              <w:br/>
              <w:t>Ch. 18 · line 3078</w:t>
            </w:r>
          </w:p>
        </w:tc>
        <w:tc>
          <w:tcPr>
            <w:tcW w:type="dxa" w:w="396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Daryna’s oversized green coat. Brother absent; register heading not written yet.</w:t>
            </w:r>
          </w:p>
        </w:tc>
        <w:tc>
          <w:tcPr>
            <w:tcW w:type="dxa" w:w="439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Daryna tells Katya details about her missing brother as Katya adds them to the red notebook.</w:t>
            </w:r>
          </w:p>
        </w:tc>
      </w:tr>
      <w:tr>
        <w:trPr>
          <w:cantSplit/>
        </w:trPr>
        <w:tc>
          <w:tcPr>
            <w:tcW w:type="dxa" w:w="172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AE-I11</w:t>
              <w:br/>
              <w:t>Ch. 20 · line 3668</w:t>
            </w:r>
          </w:p>
        </w:tc>
        <w:tc>
          <w:tcPr>
            <w:tcW w:type="dxa" w:w="396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Baby supported with Nina. Pot and wooden spoon. No convoy or journalists yet.</w:t>
            </w:r>
          </w:p>
        </w:tc>
        <w:tc>
          <w:tcPr>
            <w:tcW w:type="dxa" w:w="439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Anastasiya strikes a pot with a wooden spoon as her companions watch in the school yard.</w:t>
            </w:r>
          </w:p>
        </w:tc>
      </w:tr>
      <w:tr>
        <w:trPr>
          <w:cantSplit/>
        </w:trPr>
        <w:tc>
          <w:tcPr>
            <w:tcW w:type="dxa" w:w="172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AE-I12</w:t>
              <w:br/>
              <w:t>Ch. 21 · line 3832</w:t>
            </w:r>
          </w:p>
        </w:tc>
        <w:tc>
          <w:tcPr>
            <w:tcW w:type="dxa" w:w="396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Pavlo is frozen, not trapped. Katya takes his hand; notebook stays under a board.</w:t>
            </w:r>
          </w:p>
        </w:tc>
        <w:tc>
          <w:tcPr>
            <w:tcW w:type="dxa" w:w="439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Katya takes Pavlo’s hand in the damaged cellar while carrying Anastasiya and leaving the notebook behind.</w:t>
            </w:r>
          </w:p>
        </w:tc>
      </w:tr>
      <w:tr>
        <w:trPr>
          <w:cantSplit/>
        </w:trPr>
        <w:tc>
          <w:tcPr>
            <w:tcW w:type="dxa" w:w="172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AE-I13</w:t>
              <w:br/>
              <w:t>Ch. 22 · line 4068</w:t>
            </w:r>
          </w:p>
        </w:tc>
        <w:tc>
          <w:tcPr>
            <w:tcW w:type="dxa" w:w="396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Camera lowered and off. Medics attend Vira alive on a stretcher.</w:t>
            </w:r>
          </w:p>
        </w:tc>
        <w:tc>
          <w:tcPr>
            <w:tcW w:type="dxa" w:w="439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Aïcha switches off the lowered camera as Katya stands with Anastasiya and medics attend Vira.</w:t>
            </w:r>
          </w:p>
        </w:tc>
      </w:tr>
      <w:tr>
        <w:trPr>
          <w:cantSplit/>
        </w:trPr>
        <w:tc>
          <w:tcPr>
            <w:tcW w:type="dxa" w:w="172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AE-I14</w:t>
              <w:br/>
              <w:t>Ch. 24 · line 4560</w:t>
            </w:r>
          </w:p>
        </w:tc>
        <w:tc>
          <w:tcPr>
            <w:tcW w:type="dxa" w:w="396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Both hold the closed damaged notebook. No pulling, green notebook or active camera.</w:t>
            </w:r>
          </w:p>
        </w:tc>
        <w:tc>
          <w:tcPr>
            <w:tcW w:type="dxa" w:w="439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Katya and Aïcha both hold the red notebook for a moment before Katya releases it for copying.</w:t>
            </w:r>
          </w:p>
        </w:tc>
      </w:tr>
      <w:tr>
        <w:trPr>
          <w:cantSplit/>
        </w:trPr>
        <w:tc>
          <w:tcPr>
            <w:tcW w:type="dxa" w:w="172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AE-I15</w:t>
              <w:br/>
              <w:t>Epilogue · line 4720</w:t>
            </w:r>
          </w:p>
        </w:tc>
        <w:tc>
          <w:tcPr>
            <w:tcW w:type="dxa" w:w="396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Open temporary school gate. Katya fifteen; green notebook; Vira’s single cane.</w:t>
            </w:r>
          </w:p>
        </w:tc>
        <w:tc>
          <w:tcPr>
            <w:tcW w:type="dxa" w:w="439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Katya enters the temporary school with her green notebook as Ihor rings a bicycle bell and Anastasiya laughs.</w:t>
            </w:r>
          </w:p>
        </w:tc>
      </w:tr>
    </w:tbl>
    <w:p>
      <w:pPr>
        <w:spacing w:after="40"/>
      </w:pPr>
    </w:p>
    <w:p>
      <w:r>
        <w:t>AE-I08, AE-I10, AE-I12, AE-I14 and AE-I15 are portrait full page images. AE-I09, AE-I11 and AE-I13 are horizontal half page images. None is a mandatory double page spread. Keep the narrative instant distinct from the events immediately before and after it.</w:t>
      </w:r>
    </w:p>
    <w:p>
      <w:r>
        <w:t>The final gate image answers the first through position, space and movement. Use a similar eye level view, Katya left of center and the gate to the right. Let the open gate and green notebook carry the change. Do not add a reunion with the missing family members, a restored original school or an announcement that the war is over.</w:t>
      </w:r>
    </w:p>
    <w:p>
      <w:pPr>
        <w:pStyle w:val="Heading1"/>
        <w:pageBreakBefore/>
      </w:pPr>
      <w:r>
        <w:t>Front cover back cover and spine</w:t>
      </w:r>
    </w:p>
    <w:p>
      <w:r>
        <w:t>AE-C01 uses a symbolic synthesis of Katya, Anastasiya at about four months, the embroidered shawl and the closed red notebook. This is an editorial cover image, not an additional episode. Place Katya low in the composition, with a recognizable adolescent face and a quiet wall and gate behind her. Her free hand holds the notebook while the other arm supports the baby.</w:t>
      </w:r>
    </w:p>
    <w:p>
      <w:r>
        <w:t>Reserve the upper thirty five percent of the front cover for typography and a modest lower band for the approved author name. Avoid explosion imagery, collaged disasters, phantom relatives and a victory pose. The strongest visual accent is the notebook, supported by the direction of Katya’s gaze.</w:t>
      </w:r>
    </w:p>
    <w:p>
      <w:r>
        <w:t>AE-C04 is a quiet still life in the lower left quarter: the damaged red notebook, uneven wooden bird, school recorder and an edge of the embroidered shawl. The upper sixty percent remains pale and low contrast for the blurb. Keep the lower right quarter free for publisher information and the barcode block.</w:t>
      </w:r>
    </w:p>
    <w:tbl>
      <w:tblPr>
        <w:tblW w:type="auto" w:w="0"/>
        <w:tblLayout w:type="fixed"/>
        <w:tblLook w:firstColumn="1" w:firstRow="1" w:lastColumn="0" w:lastRow="0" w:noHBand="0" w:noVBand="1" w:val="04A0"/>
      </w:tblPr>
      <w:tblGrid>
        <w:gridCol w:w="1872"/>
        <w:gridCol w:w="8208"/>
      </w:tblGrid>
      <w:tr>
        <w:trPr>
          <w:tblHeader/>
          <w:cantSplit/>
        </w:trPr>
        <w:tc>
          <w:tcPr>
            <w:tcW w:type="dxa" w:w="187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E8EDF1"/>
          </w:tcPr>
          <w:p>
            <w:pPr>
              <w:spacing w:after="40" w:before="40"/>
            </w:pPr>
            <w:r>
              <w:rPr>
                <w:b/>
                <w:sz w:val="20"/>
              </w:rPr>
              <w:t>Element</w:t>
            </w:r>
          </w:p>
        </w:tc>
        <w:tc>
          <w:tcPr>
            <w:tcW w:type="dxa" w:w="820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E8EDF1"/>
          </w:tcPr>
          <w:p>
            <w:pPr>
              <w:spacing w:after="40" w:before="40"/>
            </w:pPr>
            <w:r>
              <w:rPr>
                <w:b/>
                <w:sz w:val="20"/>
              </w:rPr>
              <w:t>English cover treatment</w:t>
            </w:r>
          </w:p>
        </w:tc>
      </w:tr>
      <w:tr>
        <w:trPr>
          <w:cantSplit/>
        </w:trPr>
        <w:tc>
          <w:tcPr>
            <w:tcW w:type="dxa" w:w="187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Series</w:t>
            </w:r>
          </w:p>
        </w:tc>
        <w:tc>
          <w:tcPr>
            <w:tcW w:type="dxa" w:w="820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MY CORNER OF THE WORLD in small type in the reserved upper area.</w:t>
            </w:r>
          </w:p>
        </w:tc>
      </w:tr>
      <w:tr>
        <w:trPr>
          <w:cantSplit/>
        </w:trPr>
        <w:tc>
          <w:tcPr>
            <w:tcW w:type="dxa" w:w="187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Title</w:t>
            </w:r>
          </w:p>
        </w:tc>
        <w:tc>
          <w:tcPr>
            <w:tcW w:type="dxa" w:w="820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Anastasiya’s Echo as the dominant element, on no more than two lines.</w:t>
            </w:r>
          </w:p>
        </w:tc>
      </w:tr>
      <w:tr>
        <w:trPr>
          <w:cantSplit/>
        </w:trPr>
        <w:tc>
          <w:tcPr>
            <w:tcW w:type="dxa" w:w="187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Descriptor</w:t>
            </w:r>
          </w:p>
        </w:tc>
        <w:tc>
          <w:tcPr>
            <w:tcW w:type="dxa" w:w="820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Katya’s Notebook · Ukraine beneath the title, noticeably smaller.</w:t>
            </w:r>
          </w:p>
        </w:tc>
      </w:tr>
      <w:tr>
        <w:trPr>
          <w:cantSplit/>
        </w:trPr>
        <w:tc>
          <w:tcPr>
            <w:tcW w:type="dxa" w:w="187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Author</w:t>
            </w:r>
          </w:p>
        </w:tc>
        <w:tc>
          <w:tcPr>
            <w:tcW w:type="dxa" w:w="820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Use only the approved author or pen name in the reserved lower area.</w:t>
            </w:r>
          </w:p>
        </w:tc>
      </w:tr>
      <w:tr>
        <w:trPr>
          <w:cantSplit/>
        </w:trPr>
        <w:tc>
          <w:tcPr>
            <w:tcW w:type="dxa" w:w="187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Back cover</w:t>
            </w:r>
          </w:p>
        </w:tc>
        <w:tc>
          <w:tcPr>
            <w:tcW w:type="dxa" w:w="820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Blurb in the quiet upper area; publisher details and ISBN separate from the objects.</w:t>
            </w:r>
          </w:p>
        </w:tc>
      </w:tr>
      <w:tr>
        <w:trPr>
          <w:cantSplit/>
        </w:trPr>
        <w:tc>
          <w:tcPr>
            <w:tcW w:type="dxa" w:w="1872"/>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Spine</w:t>
            </w:r>
          </w:p>
        </w:tc>
        <w:tc>
          <w:tcPr>
            <w:tcW w:type="dxa" w:w="8208"/>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Extend the slate blue and ivory texture. Add title and author only if the usable width permits. No new scene or invented symbol.</w:t>
            </w:r>
          </w:p>
        </w:tc>
      </w:tr>
    </w:tbl>
    <w:p>
      <w:pPr>
        <w:spacing w:after="40"/>
      </w:pPr>
    </w:p>
    <w:p>
      <w:r>
        <w:t>Proposed typography: a sturdy literary serif such as Georgia for the title, with a restrained sans serif such as Calibri for the series, descriptor and supporting information. Treat this as a working direction; use the publisher’s selected typefaces consistently across the series. Avoid distressed lettering, script that mimics a handwritten testimony and decorative Cyrillic imitation for English text.</w:t>
      </w:r>
    </w:p>
    <w:p>
      <w:r>
        <w:t>Assemble the full cover left to right as back cover, spine, front cover. The back cover’s right edge and the front cover’s left edge meet the spine. Extend neutral texture across those joins without stretching faces or objects. The printer’s page count, paper and binding determine the spine width.</w:t>
      </w:r>
    </w:p>
    <w:p>
      <w:r>
        <w:t>Suggested cover alternative text: AE-C01, Katya holds her baby sister under an embroidered shawl and carries a red notebook; AE-C04, the red notebook, a wooden bird, a recorder and a folded shawl rest on a worn surface below a clear text area.</w:t>
      </w:r>
    </w:p>
    <w:p>
      <w:pPr>
        <w:pStyle w:val="Heading1"/>
        <w:pageBreakBefore/>
      </w:pPr>
      <w:r>
        <w:t>Placement and production specifications</w:t>
      </w:r>
    </w:p>
    <w:p>
      <w:r>
        <w:t>Proposed book trim is 6 × 9 inches, portrait, matching the existing production direction. The consultation document uses Letter size. Use the publisher’s final trim and printer template before preparing the cover spread or exported print pages.</w:t>
      </w:r>
    </w:p>
    <w:tbl>
      <w:tblPr>
        <w:tblW w:type="auto" w:w="0"/>
        <w:tblLayout w:type="fixed"/>
        <w:tblLook w:firstColumn="1" w:firstRow="1" w:lastColumn="0" w:lastRow="0" w:noHBand="0" w:noVBand="1" w:val="04A0"/>
      </w:tblPr>
      <w:tblGrid>
        <w:gridCol w:w="2520"/>
        <w:gridCol w:w="1944"/>
        <w:gridCol w:w="5616"/>
      </w:tblGrid>
      <w:tr>
        <w:trPr>
          <w:tblHeader/>
          <w:cantSplit/>
        </w:trPr>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E8EDF1"/>
          </w:tcPr>
          <w:p>
            <w:pPr>
              <w:spacing w:after="40" w:before="40"/>
            </w:pPr>
            <w:r>
              <w:rPr>
                <w:b/>
                <w:sz w:val="20"/>
              </w:rPr>
              <w:t>Use</w:t>
            </w:r>
          </w:p>
        </w:tc>
        <w:tc>
          <w:tcPr>
            <w:tcW w:type="dxa" w:w="1944"/>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E8EDF1"/>
          </w:tcPr>
          <w:p>
            <w:pPr>
              <w:spacing w:after="40" w:before="40"/>
            </w:pPr>
            <w:r>
              <w:rPr>
                <w:b/>
                <w:sz w:val="20"/>
              </w:rPr>
              <w:t>Composition ratio</w:t>
            </w:r>
          </w:p>
        </w:tc>
        <w:tc>
          <w:tcPr>
            <w:tcW w:type="dxa" w:w="561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E8EDF1"/>
          </w:tcPr>
          <w:p>
            <w:pPr>
              <w:spacing w:after="40" w:before="40"/>
            </w:pPr>
            <w:r>
              <w:rPr>
                <w:b/>
                <w:sz w:val="20"/>
              </w:rPr>
              <w:t>Minimum pixels at proposed placement</w:t>
            </w:r>
          </w:p>
        </w:tc>
      </w:tr>
      <w:tr>
        <w:trPr>
          <w:cantSplit/>
        </w:trPr>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Portrait full page and cover panel</w:t>
            </w:r>
          </w:p>
        </w:tc>
        <w:tc>
          <w:tcPr>
            <w:tcW w:type="dxa" w:w="1944"/>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2:3</w:t>
            </w:r>
          </w:p>
        </w:tc>
        <w:tc>
          <w:tcPr>
            <w:tcW w:type="dxa" w:w="561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1800 × 2700 px for 6 × 9 inches at 300 ppi. Keep a larger master where available.</w:t>
            </w:r>
          </w:p>
        </w:tc>
      </w:tr>
      <w:tr>
        <w:trPr>
          <w:cantSplit/>
        </w:trPr>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Horizontal half page</w:t>
            </w:r>
          </w:p>
        </w:tc>
        <w:tc>
          <w:tcPr>
            <w:tcW w:type="dxa" w:w="1944"/>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4:3</w:t>
            </w:r>
          </w:p>
        </w:tc>
        <w:tc>
          <w:tcPr>
            <w:tcW w:type="dxa" w:w="561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1800 × 1350 px for 6 × 4.5 inches at 300 ppi. Reduce placement height if text space requires it.</w:t>
            </w:r>
          </w:p>
        </w:tc>
      </w:tr>
      <w:tr>
        <w:trPr>
          <w:cantSplit/>
        </w:trPr>
        <w:tc>
          <w:tcPr>
            <w:tcW w:type="dxa" w:w="2520"/>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Core reference sheet</w:t>
            </w:r>
          </w:p>
        </w:tc>
        <w:tc>
          <w:tcPr>
            <w:tcW w:type="dxa" w:w="1944"/>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4:3 landscape</w:t>
            </w:r>
          </w:p>
        </w:tc>
        <w:tc>
          <w:tcPr>
            <w:tcW w:type="dxa" w:w="561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Large enough to compare all eight studies; retain the individual face references if needed.</w:t>
            </w:r>
          </w:p>
        </w:tc>
      </w:tr>
    </w:tbl>
    <w:p>
      <w:pPr>
        <w:spacing w:after="40"/>
      </w:pPr>
    </w:p>
    <w:p>
      <w:r>
        <w:t>Allow a working bleed of 0.125 inch, approximately 3.2 mm, when the layout runs to the page edge. At 6 × 9 inches, a panel with bleed on all four sides is 6.25 × 9.25 inches, or 1875 × 2775 pixels at 300 ppi. Replace that example with the printer’s actual panel and cover template, including its spine joins.</w:t>
      </w:r>
    </w:p>
    <w:p>
      <w:r>
        <w:t>The existing prompts keep essential faces, hands and story objects at least eight percent inside the composition boundary. Treat that as a working composition reserve rather than an exact printer safety specification. Confirm the crop and gutter separately in the final layout. None of Anastasiya’s assigned images requires a central fold.</w:t>
      </w:r>
    </w:p>
    <w:p>
      <w:r>
        <w:t>Framed images follow their exact source anchor; full page artwork may occupy the next page. Do not place a scene before the reader reaches its revealing action. Book page numbers remain unset until composition is complete. In a reflowable ebook, keep each landscape image intact and associate it with the relevant text passage.</w:t>
      </w:r>
    </w:p>
    <w:p>
      <w:r>
        <w:t>Produce artwork without embedded wording. Keep master files in high quality RGB PNG or TIFF. Add title, author, signs and any necessary manuscript wording in editable layout layers. Review actual pixel dimensions: a resolution label or enlargement cannot create detail that the original image lacks.</w:t>
      </w:r>
    </w:p>
    <w:p>
      <w:r>
        <w:t>File naming stays AE-I01_v01.png through AE-I15_v01.png, AE-C01_v01.png, AE-C04_v01.png and AE-REF01_v01.png. Keep the ID fixed and increment only the version suffix. Asset IDs belong in filenames, metadata and the production register, not visibly inside the illustration.</w:t>
      </w:r>
    </w:p>
    <w:p>
      <w:r>
        <w:t>Use optimized ebook copies separately from print masters. Apply the printer’s required color conversion and inspect a physical proof for shadow detail, paper texture and text legibility. Cover typography and the barcode are added by the designer after the art is approved.</w:t>
      </w:r>
    </w:p>
    <w:p>
      <w:pPr>
        <w:pStyle w:val="Heading1"/>
        <w:pageBreakBefore/>
      </w:pPr>
      <w:r>
        <w:t>Approval checks and production register</w:t>
      </w:r>
    </w:p>
    <w:p>
      <w:r>
        <w:t>Approve the core reference first, then the scenes, then the paired covers. For each new generation, attach the relevant approved faces and object state. Review the image once at full size for anatomy and continuity, and once at its intended print size for clarity.</w:t>
      </w:r>
    </w:p>
    <w:tbl>
      <w:tblPr>
        <w:tblW w:type="auto" w:w="0"/>
        <w:tblLayout w:type="fixed"/>
        <w:tblLook w:firstColumn="1" w:firstRow="1" w:lastColumn="0" w:lastRow="0" w:noHBand="0" w:noVBand="1" w:val="04A0"/>
      </w:tblPr>
      <w:tblGrid>
        <w:gridCol w:w="2016"/>
        <w:gridCol w:w="8064"/>
      </w:tblGrid>
      <w:tr>
        <w:trPr>
          <w:tblHeader/>
          <w:cantSplit/>
        </w:trPr>
        <w:tc>
          <w:tcPr>
            <w:tcW w:type="dxa" w:w="201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E8EDF1"/>
          </w:tcPr>
          <w:p>
            <w:pPr>
              <w:spacing w:after="40" w:before="40"/>
            </w:pPr>
            <w:r>
              <w:rPr>
                <w:b/>
                <w:sz w:val="20"/>
              </w:rPr>
              <w:t>Check</w:t>
            </w:r>
          </w:p>
        </w:tc>
        <w:tc>
          <w:tcPr>
            <w:tcW w:type="dxa" w:w="8064"/>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E8EDF1"/>
          </w:tcPr>
          <w:p>
            <w:pPr>
              <w:spacing w:after="40" w:before="40"/>
            </w:pPr>
            <w:r>
              <w:rPr>
                <w:b/>
                <w:sz w:val="20"/>
              </w:rPr>
              <w:t>Pass condition</w:t>
            </w:r>
          </w:p>
        </w:tc>
      </w:tr>
      <w:tr>
        <w:trPr>
          <w:cantSplit/>
        </w:trPr>
        <w:tc>
          <w:tcPr>
            <w:tcW w:type="dxa" w:w="201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Scene and cast</w:t>
            </w:r>
          </w:p>
        </w:tc>
        <w:tc>
          <w:tcPr>
            <w:tcW w:type="dxa" w:w="8064"/>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Exactly the assigned instant and visible people. No absent relatives, extra baby, unexplained crowd or event from a neighboring chapter.</w:t>
            </w:r>
          </w:p>
        </w:tc>
      </w:tr>
      <w:tr>
        <w:trPr>
          <w:cantSplit/>
        </w:trPr>
        <w:tc>
          <w:tcPr>
            <w:tcW w:type="dxa" w:w="201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Age and identity</w:t>
            </w:r>
          </w:p>
        </w:tc>
        <w:tc>
          <w:tcPr>
            <w:tcW w:type="dxa" w:w="8064"/>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Katya looks fourteen or fifteen as assigned. Ihor remains adolescent. Anastasiya’s age and head support match the scene. Recurring faces remain recognizable.</w:t>
            </w:r>
          </w:p>
        </w:tc>
      </w:tr>
      <w:tr>
        <w:trPr>
          <w:cantSplit/>
        </w:trPr>
        <w:tc>
          <w:tcPr>
            <w:tcW w:type="dxa" w:w="201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Relationships</w:t>
            </w:r>
          </w:p>
        </w:tc>
        <w:tc>
          <w:tcPr>
            <w:tcW w:type="dxa" w:w="8064"/>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Katya remains the sister. Vira is Ihor’s grandmother and the girls’ close older neighbor. Oksana is alive only in the selected predeath scenes.</w:t>
            </w:r>
          </w:p>
        </w:tc>
      </w:tr>
      <w:tr>
        <w:trPr>
          <w:cantSplit/>
        </w:trPr>
        <w:tc>
          <w:tcPr>
            <w:tcW w:type="dxa" w:w="201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Objects</w:t>
            </w:r>
          </w:p>
        </w:tc>
        <w:tc>
          <w:tcPr>
            <w:tcW w:type="dxa" w:w="8064"/>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Correct notebook color and damage, shawl embroidery, wooden bird asymmetry, phone or recorder, and cane only in the epilogue.</w:t>
            </w:r>
          </w:p>
        </w:tc>
      </w:tr>
      <w:tr>
        <w:trPr>
          <w:cantSplit/>
        </w:trPr>
        <w:tc>
          <w:tcPr>
            <w:tcW w:type="dxa" w:w="201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Body language</w:t>
            </w:r>
          </w:p>
        </w:tc>
        <w:tc>
          <w:tcPr>
            <w:tcW w:type="dxa" w:w="8064"/>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The key action is readable without a caption. Hands and joints are plausible; infant support is visible and the face is not covered.</w:t>
            </w:r>
          </w:p>
        </w:tc>
      </w:tr>
      <w:tr>
        <w:trPr>
          <w:cantSplit/>
        </w:trPr>
        <w:tc>
          <w:tcPr>
            <w:tcW w:type="dxa" w:w="201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Professional roles</w:t>
            </w:r>
          </w:p>
        </w:tc>
        <w:tc>
          <w:tcPr>
            <w:tcW w:type="dxa" w:w="8064"/>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Care stays with the clinical team. In the arrival scene the camera is off; in the handover scene Aïcha waits for Katya to release the notebook.</w:t>
            </w:r>
          </w:p>
        </w:tc>
      </w:tr>
      <w:tr>
        <w:trPr>
          <w:cantSplit/>
        </w:trPr>
        <w:tc>
          <w:tcPr>
            <w:tcW w:type="dxa" w:w="201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Print and cover</w:t>
            </w:r>
          </w:p>
        </w:tc>
        <w:tc>
          <w:tcPr>
            <w:tcW w:type="dxa" w:w="8064"/>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spacing w:after="40" w:before="40"/>
            </w:pPr>
            <w:r>
              <w:rPr>
                <w:sz w:val="20"/>
              </w:rPr>
              <w:t>Crop reserves survive layout. No important object is lost at an edge. Front title and back blurb reserves remain quiet and genuinely usable.</w:t>
            </w:r>
          </w:p>
        </w:tc>
      </w:tr>
      <w:tr>
        <w:trPr>
          <w:cantSplit/>
        </w:trPr>
        <w:tc>
          <w:tcPr>
            <w:tcW w:type="dxa" w:w="2016"/>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Text and metadata</w:t>
            </w:r>
          </w:p>
        </w:tc>
        <w:tc>
          <w:tcPr>
            <w:tcW w:type="dxa" w:w="8064"/>
            <w:vAlign w:val="center"/>
            <w:tcMar>
              <w:top w:w="95" w:type="dxa"/>
              <w:left w:w="95" w:type="dxa"/>
              <w:bottom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7F8FA"/>
          </w:tcPr>
          <w:p>
            <w:pPr>
              <w:spacing w:after="40" w:before="40"/>
            </w:pPr>
            <w:r>
              <w:rPr>
                <w:sz w:val="20"/>
              </w:rPr>
              <w:t>No invented lettering or readable private notebook page. IDs and versions match the register and filenames. Alternative text matches the approved image.</w:t>
            </w:r>
          </w:p>
        </w:tc>
      </w:tr>
    </w:tbl>
    <w:p>
      <w:pPr>
        <w:spacing w:after="40"/>
      </w:pPr>
    </w:p>
    <w:p>
      <w:r>
        <w:t>The complete asset list remains fifteen interior illustrations, two cover images and one technical reference sheet. The spine uses an extension of the cover texture and adds no scene. The scene checks in this guide supplement the existing illustration dossier and the prompts file; any approved change to a scene must also be recorded against its original ID.</w:t>
      </w:r>
    </w:p>
    <w:p>
      <w:pPr>
        <w:pStyle w:val="Heading2"/>
      </w:pPr>
      <w:r>
        <w:t>Production references</w:t>
      </w:r>
    </w:p>
    <w:p>
      <w:r>
        <w:t>Narrative and placement: Anastasiyas_Echo_EN_corrige.md from the supplied corrected dossier. Source SHA256: 042a7cc98dadfaee502d85e267f5d10c8f15ee8280387e2472b437b0fe37f47c.</w:t>
      </w:r>
    </w:p>
    <w:p>
      <w:r>
        <w:t>Design reference: the supplied Ananya_Illustration_Prompts_and_Art_Direction_EN (1).docx. Its editorial structure, matte gouache and pencil approach, casting distinctions, continuity tables and cover planning inform the format of this guide. Its Jaipur setting, character details and kite specific objects do not transfer to Anastasiya.</w:t>
      </w:r>
    </w:p>
    <w:p>
      <w:r>
        <w:t>Companion files: Anastasiya_Illustration_Prompts_Only_EN.docx, its TXT equivalent, Anastasiya_Illustration_Index_ID.csv and Anastasiya_Illustration_Recap_ID.docx. These retain the existing AE identifiers and exact manuscript anchors. All artwork remains to be produced.</w:t>
      </w:r>
    </w:p>
    <w:sectPr w:rsidR="00FC693F" w:rsidRPr="0006063C" w:rsidSect="00034616">
      <w:footerReference w:type="default" r:id="rId9"/>
      <w:pgSz w:w="12240" w:h="15840"/>
      <w:pgMar w:top="936" w:right="1080" w:bottom="936"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Anastasiya Art Direction English</dc:title>
  <dc:subject/>
  <dc:creator>Editorial and Illustration Production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