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Sokha art direction</w:t>
        <w:br/>
        <w:t>and scene plan</w:t>
      </w:r>
    </w:p>
    <w:p>
      <w:r>
        <w:t>Sokha’s Diary • The Road to the Bell</w:t>
      </w:r>
    </w:p>
    <w:p>
      <w:r>
        <w:t>The illustration sequence follows Sokha as he learns to listen to Maly and share decisions with her. Fifteen interior images carry the story from a stolen notebook corner to a page written in two voices. Two cover artworks extend the same visual language.</w:t>
      </w:r>
    </w:p>
    <w:p>
      <w:pPr>
        <w:pStyle w:val="Heading2"/>
      </w:pPr>
      <w:r>
        <w:t>Scope and files</w:t>
      </w:r>
    </w:p>
    <w:tbl>
      <w:tblPr>
        <w:tblW w:type="auto" w:w="0"/>
        <w:jc w:val="center"/>
        <w:tblLayout w:type="fixed"/>
        <w:tblLook w:firstColumn="1" w:firstRow="1" w:lastColumn="0" w:lastRow="0" w:noHBand="0" w:noVBand="1" w:val="04A0"/>
      </w:tblPr>
      <w:tblGrid>
        <w:gridCol w:w="2088"/>
        <w:gridCol w:w="8280"/>
      </w:tblGrid>
      <w:tr>
        <w:trPr>
          <w:cantSplit/>
          <w:tblHeader/>
        </w:trPr>
        <w:tc>
          <w:tcPr>
            <w:tcW w:type="dxa" w:w="2088"/>
            <w:vAlign w:val="center"/>
            <w:shd w:fill="34495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1"/>
              </w:rPr>
              <w:t>Deliverable</w:t>
            </w:r>
          </w:p>
        </w:tc>
        <w:tc>
          <w:tcPr>
            <w:tcW w:type="dxa" w:w="8280"/>
            <w:vAlign w:val="center"/>
            <w:shd w:fill="34495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1"/>
              </w:rPr>
              <w:t>Contents</w:t>
            </w:r>
          </w:p>
        </w:tc>
      </w:tr>
      <w:tr>
        <w:trPr>
          <w:cantSplit/>
        </w:trPr>
        <w:tc>
          <w:tcPr>
            <w:tcW w:type="dxa" w:w="20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Publication artwork</w:t>
            </w:r>
          </w:p>
        </w:tc>
        <w:tc>
          <w:tcPr>
            <w:tcW w:type="dxa" w:w="828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15 interiors, SK-I01 to SK-I15; front cover SK-C01; back cover SK-C04. Total 17 images.</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Prompts only</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17 self-contained English prompts. Each starts with Characters, Setting and Objects.</w:t>
            </w:r>
          </w:p>
        </w:tc>
      </w:tr>
      <w:tr>
        <w:trPr>
          <w:cantSplit/>
        </w:trPr>
        <w:tc>
          <w:tcPr>
            <w:tcW w:type="dxa" w:w="20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Character references</w:t>
            </w:r>
          </w:p>
        </w:tc>
        <w:tc>
          <w:tcPr>
            <w:tcW w:type="dxa" w:w="828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4 separate English sheet prompts, SK-REF01 to SK-REF04. Production aids, outside the 17 publication images.</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Illustration register</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IDs, source anchors, source lines, chronology, formats, crutch continuity, filenames and editable production status.</w:t>
            </w:r>
          </w:p>
        </w:tc>
      </w:tr>
    </w:tbl>
    <w:p>
      <w:pPr>
        <w:spacing w:after="0"/>
      </w:pPr>
    </w:p>
    <w:p>
      <w:pPr>
        <w:pStyle w:val="Heading2"/>
      </w:pPr>
      <w:r>
        <w:t>Editorial approach</w:t>
      </w:r>
    </w:p>
    <w:p>
      <w:r>
        <w:t>Give agency a visible form: Maly ties her ribbon, asks for a place, speaks in the meeting, evaluates an aid, requests a break and rings the bell. Sokha remains the diary’s narrator, with his humor, impatience and mistakes visible. Community changes should appear practical and provisional.</w:t>
      </w:r>
    </w:p>
    <w:p>
      <w:r>
        <w:t>The selected moments vary in scale and feeling: play, crowded rooms, a quiet night, public discussion, rain and a small celebration. Avoid illustrating every mention of danger. The noise by the ditch stays off-page, and no explosive device needs to be shown.</w:t>
      </w:r>
    </w:p>
    <w:p>
      <w:pPr>
        <w:pStyle w:val="Heading2"/>
      </w:pPr>
      <w:r>
        <w:t>Source and navigation</w:t>
      </w:r>
    </w:p>
    <w:p>
      <w:r>
        <w:t>Source: Sokhas_Diary_The_Road_to_the_Bell_EN(1).md. The 15 quoted anchors are exact phrases from this supplied manuscript. Line numbers refer to that Markdown version; after revisions, use the chapter and quote to relocate the insertion point. Final book page numbers depend on typesetting.</w:t>
      </w:r>
    </w:p>
    <w:p>
      <w:r>
        <w:t>All art direction and prompts are in English. Appearance details beyond the manuscript are proposed casting choices for a consistent illustrated edition. The original narrative and dialogue are not rewritten.</w:t>
      </w:r>
    </w:p>
    <w:p>
      <w:r>
        <w:br w:type="page"/>
      </w:r>
    </w:p>
    <w:p>
      <w:pPr>
        <w:pStyle w:val="Heading1"/>
      </w:pPr>
      <w:r>
        <w:t>Visual language and page rhythm</w:t>
      </w:r>
    </w:p>
    <w:p>
      <w:r>
        <w:t>Use matte gouache with fine colored-pencil contours on warm ivory paper. Keep believable bodies and precise hand-to-object contact. Backgrounds can soften, but faces, the crutch, feet, the ribbon and the bicycle-bell lever must stay readable. Aim for a literary illustrated novel rather than a glossy animation still.</w:t>
      </w:r>
    </w:p>
    <w:tbl>
      <w:tblPr>
        <w:tblW w:type="auto" w:w="0"/>
        <w:jc w:val="center"/>
        <w:tblLayout w:type="fixed"/>
        <w:tblLook w:firstColumn="1" w:firstRow="1" w:lastColumn="0" w:lastRow="0" w:noHBand="0" w:noVBand="1" w:val="04A0"/>
      </w:tblPr>
      <w:tblGrid>
        <w:gridCol w:w="1872"/>
        <w:gridCol w:w="1656"/>
        <w:gridCol w:w="6840"/>
      </w:tblGrid>
      <w:tr>
        <w:trPr>
          <w:cantSplit/>
          <w:tblHeader/>
        </w:trPr>
        <w:tc>
          <w:tcPr>
            <w:tcW w:type="dxa" w:w="1872"/>
            <w:vAlign w:val="center"/>
            <w:shd w:fill="34495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1"/>
              </w:rPr>
              <w:t>Color</w:t>
            </w:r>
          </w:p>
        </w:tc>
        <w:tc>
          <w:tcPr>
            <w:tcW w:type="dxa" w:w="1656"/>
            <w:vAlign w:val="center"/>
            <w:shd w:fill="34495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1"/>
              </w:rPr>
              <w:t>Suggested value</w:t>
            </w:r>
          </w:p>
        </w:tc>
        <w:tc>
          <w:tcPr>
            <w:tcW w:type="dxa" w:w="6840"/>
            <w:vAlign w:val="center"/>
            <w:shd w:fill="34495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1"/>
              </w:rPr>
              <w:t>Use</w:t>
            </w:r>
          </w:p>
        </w:tc>
      </w:tr>
      <w:tr>
        <w:trPr>
          <w:cantSplit/>
        </w:trPr>
        <w:tc>
          <w:tcPr>
            <w:tcW w:type="dxa" w:w="187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Warm ivory</w:t>
            </w:r>
          </w:p>
        </w:tc>
        <w:tc>
          <w:tcPr>
            <w:tcW w:type="dxa" w:w="1656"/>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#F3EBDD</w:t>
            </w:r>
          </w:p>
        </w:tc>
        <w:tc>
          <w:tcPr>
            <w:tcW w:type="dxa" w:w="684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Paper, breathing space and cover text areas</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Earth ochre</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#B78C52</w:t>
            </w:r>
          </w:p>
        </w:tc>
        <w:tc>
          <w:tcPr>
            <w:tcW w:type="dxa" w:w="68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Paths, wood and dry heat</w:t>
            </w:r>
          </w:p>
        </w:tc>
      </w:tr>
      <w:tr>
        <w:trPr>
          <w:cantSplit/>
        </w:trPr>
        <w:tc>
          <w:tcPr>
            <w:tcW w:type="dxa" w:w="187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Rice green</w:t>
            </w:r>
          </w:p>
        </w:tc>
        <w:tc>
          <w:tcPr>
            <w:tcW w:type="dxa" w:w="1656"/>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#66765A</w:t>
            </w:r>
          </w:p>
        </w:tc>
        <w:tc>
          <w:tcPr>
            <w:tcW w:type="dxa" w:w="684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Trees and distance</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Charcoal</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#343E42</w:t>
            </w:r>
          </w:p>
        </w:tc>
        <w:tc>
          <w:tcPr>
            <w:tcW w:type="dxa" w:w="68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Linework and visual structure</w:t>
            </w:r>
          </w:p>
        </w:tc>
      </w:tr>
      <w:tr>
        <w:trPr>
          <w:cantSplit/>
        </w:trPr>
        <w:tc>
          <w:tcPr>
            <w:tcW w:type="dxa" w:w="187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Ribbon pink</w:t>
            </w:r>
          </w:p>
        </w:tc>
        <w:tc>
          <w:tcPr>
            <w:tcW w:type="dxa" w:w="1656"/>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#C87A91</w:t>
            </w:r>
          </w:p>
        </w:tc>
        <w:tc>
          <w:tcPr>
            <w:tcW w:type="dxa" w:w="684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Small recurring Maly accent</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Ink blue</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#426B99</w:t>
            </w:r>
          </w:p>
        </w:tc>
        <w:tc>
          <w:tcPr>
            <w:tcW w:type="dxa" w:w="68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Pen, shared plans and the flawed blue cover</w:t>
            </w:r>
          </w:p>
        </w:tc>
      </w:tr>
      <w:tr>
        <w:trPr>
          <w:cantSplit/>
        </w:trPr>
        <w:tc>
          <w:tcPr>
            <w:tcW w:type="dxa" w:w="187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Warm yellow</w:t>
            </w:r>
          </w:p>
        </w:tc>
        <w:tc>
          <w:tcPr>
            <w:tcW w:type="dxa" w:w="1656"/>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#D9B351</w:t>
            </w:r>
          </w:p>
        </w:tc>
        <w:tc>
          <w:tcPr>
            <w:tcW w:type="dxa" w:w="684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Maly’s opening-day shirt, Chapter 16</w:t>
            </w:r>
          </w:p>
        </w:tc>
      </w:tr>
    </w:tbl>
    <w:p>
      <w:pPr>
        <w:spacing w:after="0"/>
      </w:pPr>
    </w:p>
    <w:p>
      <w:pPr>
        <w:pStyle w:val="Heading2"/>
      </w:pPr>
      <w:r>
        <w:t>Composition</w:t>
      </w:r>
    </w:p>
    <w:p>
      <w:r>
        <w:t>Stay near the children’s eye level. Use 4:3 half-page scenes for daily life and group interactions; use 2:3 full-page plates for the fork, the secret change, its consequence, the clinic, the rain handover and the bell. Keep the epilogue image small enough to leave the final words room to breathe. Avoid splitting Maly or her aid across a gutter.</w:t>
      </w:r>
    </w:p>
    <w:p>
      <w:r>
        <w:t>The 15 interiors contain nine 4:3 images and six 2:3 images. No double-page spread is required. A proposed 6 × 9 inch trim gives a workable portrait basis; the publisher’s final trim and bleed specifications take precedence. Position plates immediately after their anchored passage or on the next suitable page, never before a reveal.</w:t>
      </w:r>
    </w:p>
    <w:p>
      <w:pPr>
        <w:pStyle w:val="Heading2"/>
      </w:pPr>
      <w:r>
        <w:t>Place and tone</w:t>
      </w:r>
    </w:p>
    <w:p>
      <w:r>
        <w:t>Use the story’s specific places: shaded stilt-house space, two water jars, ordinary dirt roads, a well, a wat meeting tree, borrowed classrooms and a modest health center. The village is fictional. Do not add famous monuments, historical costumes or decorative symbols merely to signal Cambodia. Everyday objects, heat, rain and use of space should establish place.</w:t>
      </w:r>
    </w:p>
    <w:p>
      <w:r>
        <w:t>Retain humor and ordinary work. Avoid pity poses, dramatic rescue tableaux, glowing cure imagery and a triumphal procession. The new room is a one-month arrangement with classes three days a week, and the future Battambang trip remains unresolved.</w:t>
      </w:r>
    </w:p>
    <w:p>
      <w:r>
        <w:br w:type="page"/>
      </w:r>
    </w:p>
    <w:p>
      <w:pPr>
        <w:pStyle w:val="Heading1"/>
      </w:pPr>
      <w:r>
        <w:t>Maly anatomy and object continuity</w:t>
      </w:r>
    </w:p>
    <w:p>
      <w:r>
        <w:t>Maly is nine and lost her RIGHT leg at four. Her LEFT leg is intact. The manuscript does not identify the amputation level; keep the residual limb covered and the right trouser leg folded and secured without fixing that level. No illustration shows a prosthesis or a second intact leg.</w:t>
      </w:r>
    </w:p>
    <w:p>
      <w:r>
        <w:t>For this illustration brief, the single crutch is always on Maly’s anatomical RIGHT, the same side as her amputated leg, whether in use or parked. This follows the requested visual convention. Show the right hand on the grip when used; when seated, show it securely resting at her right. Do not turn this convention into a clinical instruction diagram.</w:t>
      </w:r>
    </w:p>
    <w:tbl>
      <w:tblPr>
        <w:tblW w:type="auto" w:w="0"/>
        <w:jc w:val="center"/>
        <w:tblLayout w:type="fixed"/>
        <w:tblLook w:firstColumn="1" w:firstRow="1" w:lastColumn="0" w:lastRow="0" w:noHBand="0" w:noVBand="1" w:val="04A0"/>
      </w:tblPr>
      <w:tblGrid>
        <w:gridCol w:w="3600"/>
        <w:gridCol w:w="3384"/>
        <w:gridCol w:w="3384"/>
      </w:tblGrid>
      <w:tr>
        <w:trPr>
          <w:cantSplit/>
          <w:tblHeader/>
        </w:trPr>
        <w:tc>
          <w:tcPr>
            <w:tcW w:type="dxa" w:w="3600"/>
            <w:vAlign w:val="center"/>
            <w:shd w:fill="34495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1"/>
              </w:rPr>
              <w:t>View</w:t>
            </w:r>
          </w:p>
        </w:tc>
        <w:tc>
          <w:tcPr>
            <w:tcW w:type="dxa" w:w="3384"/>
            <w:vAlign w:val="center"/>
            <w:shd w:fill="34495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1"/>
              </w:rPr>
              <w:t>Maly’s right side</w:t>
            </w:r>
          </w:p>
        </w:tc>
        <w:tc>
          <w:tcPr>
            <w:tcW w:type="dxa" w:w="3384"/>
            <w:vAlign w:val="center"/>
            <w:shd w:fill="34495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1"/>
              </w:rPr>
              <w:t>Maly’s intact left leg</w:t>
            </w:r>
          </w:p>
        </w:tc>
      </w:tr>
      <w:tr>
        <w:trPr>
          <w:cantSplit/>
        </w:trPr>
        <w:tc>
          <w:tcPr>
            <w:tcW w:type="dxa" w:w="360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Front or near-front</w:t>
            </w:r>
          </w:p>
        </w:tc>
        <w:tc>
          <w:tcPr>
            <w:tcW w:type="dxa" w:w="338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Left side of the image</w:t>
            </w:r>
          </w:p>
        </w:tc>
        <w:tc>
          <w:tcPr>
            <w:tcW w:type="dxa" w:w="338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Right side of the image</w:t>
            </w:r>
          </w:p>
        </w:tc>
      </w:tr>
      <w:tr>
        <w:trPr>
          <w:cantSplit/>
        </w:trPr>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Overhead sleeping pose, head at top, face up</w:t>
            </w:r>
          </w:p>
        </w:tc>
        <w:tc>
          <w:tcPr>
            <w:tcW w:type="dxa" w:w="33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Left side of the image</w:t>
            </w:r>
          </w:p>
        </w:tc>
        <w:tc>
          <w:tcPr>
            <w:tcW w:type="dxa" w:w="33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Right side of the image</w:t>
            </w:r>
          </w:p>
        </w:tc>
      </w:tr>
      <w:tr>
        <w:trPr>
          <w:cantSplit/>
        </w:trPr>
        <w:tc>
          <w:tcPr>
            <w:tcW w:type="dxa" w:w="360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Rear view if later commissioned</w:t>
            </w:r>
          </w:p>
        </w:tc>
        <w:tc>
          <w:tcPr>
            <w:tcW w:type="dxa" w:w="338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Right side of the image</w:t>
            </w:r>
          </w:p>
        </w:tc>
        <w:tc>
          <w:tcPr>
            <w:tcW w:type="dxa" w:w="3384"/>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Left side of the image</w:t>
            </w:r>
          </w:p>
        </w:tc>
      </w:tr>
    </w:tbl>
    <w:p>
      <w:pPr>
        <w:spacing w:after="0"/>
      </w:pPr>
    </w:p>
    <w:p>
      <w:r>
        <w:t>The selected prompts use frontal views or the explicitly oriented overhead view. Never solve a layout problem by horizontally flipping artwork. Reposition the environment or regenerate the composition while preserving Maly’s anatomy.</w:t>
      </w:r>
    </w:p>
    <w:tbl>
      <w:tblPr>
        <w:tblW w:type="auto" w:w="0"/>
        <w:jc w:val="center"/>
        <w:tblLayout w:type="fixed"/>
        <w:tblLook w:firstColumn="1" w:firstRow="1" w:lastColumn="0" w:lastRow="0" w:noHBand="0" w:noVBand="1" w:val="04A0"/>
      </w:tblPr>
      <w:tblGrid>
        <w:gridCol w:w="3888"/>
        <w:gridCol w:w="6480"/>
      </w:tblGrid>
      <w:tr>
        <w:trPr>
          <w:cantSplit/>
          <w:tblHeader/>
        </w:trPr>
        <w:tc>
          <w:tcPr>
            <w:tcW w:type="dxa" w:w="3888"/>
            <w:vAlign w:val="center"/>
            <w:shd w:fill="34495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1"/>
              </w:rPr>
              <w:t>Story stage</w:t>
            </w:r>
          </w:p>
        </w:tc>
        <w:tc>
          <w:tcPr>
            <w:tcW w:type="dxa" w:w="6480"/>
            <w:vAlign w:val="center"/>
            <w:shd w:fill="34495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1"/>
              </w:rPr>
              <w:t>Crutch and ribbon state</w:t>
            </w:r>
          </w:p>
        </w:tc>
      </w:tr>
      <w:tr>
        <w:trPr>
          <w:cantSplit/>
        </w:trPr>
        <w:tc>
          <w:tcPr>
            <w:tcW w:type="dxa" w:w="38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Prologue to Chapter 8</w:t>
            </w:r>
          </w:p>
        </w:tc>
        <w:tc>
          <w:tcPr>
            <w:tcW w:type="dxa" w:w="648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Worn wooden underarm crutch; frayed pink ribbon tied.</w:t>
            </w:r>
          </w:p>
        </w:tc>
      </w:tr>
      <w:tr>
        <w:trPr>
          <w:cantSplit/>
        </w:trPr>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Chapter 9 to early Chapter 10</w:t>
            </w:r>
          </w:p>
        </w:tc>
        <w:tc>
          <w:tcPr>
            <w:tcW w:type="dxa" w:w="64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Same wood and ribbon; Sokha adds the blue cover. It slips and is removed.</w:t>
            </w:r>
          </w:p>
        </w:tc>
      </w:tr>
      <w:tr>
        <w:trPr>
          <w:cantSplit/>
        </w:trPr>
        <w:tc>
          <w:tcPr>
            <w:tcW w:type="dxa" w:w="38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Chapter 11 and the Chapter 12 map meeting</w:t>
            </w:r>
          </w:p>
        </w:tc>
        <w:tc>
          <w:tcPr>
            <w:tcW w:type="dxa" w:w="648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Bare wood. Pink ribbon in Maly’s pocket, not tied. No blue cover.</w:t>
            </w:r>
          </w:p>
        </w:tc>
      </w:tr>
      <w:tr>
        <w:trPr>
          <w:cantSplit/>
        </w:trPr>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Later Chapter 12</w:t>
            </w:r>
          </w:p>
        </w:tc>
        <w:tc>
          <w:tcPr>
            <w:tcW w:type="dxa" w:w="64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Maly reties the pink ribbon to the wooden crutch.</w:t>
            </w:r>
          </w:p>
        </w:tc>
      </w:tr>
      <w:tr>
        <w:trPr>
          <w:cantSplit/>
        </w:trPr>
        <w:tc>
          <w:tcPr>
            <w:tcW w:type="dxa" w:w="388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Chapter 13 trial inside the clinic</w:t>
            </w:r>
          </w:p>
        </w:tc>
        <w:tc>
          <w:tcPr>
            <w:tcW w:type="dxa" w:w="648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New adjustable metal underarm crutch. Ribbon detached on the table.</w:t>
            </w:r>
          </w:p>
        </w:tc>
      </w:tr>
      <w:tr>
        <w:trPr>
          <w:cantSplit/>
        </w:trPr>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After Chapter 13 trial through the epilogue</w:t>
            </w:r>
          </w:p>
        </w:tc>
        <w:tc>
          <w:tcPr>
            <w:tcW w:type="dxa" w:w="64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Metal crutch with pink ribbon retied. No homemade blue cover.</w:t>
            </w:r>
          </w:p>
        </w:tc>
      </w:tr>
    </w:tbl>
    <w:p>
      <w:pPr>
        <w:spacing w:after="0"/>
      </w:pPr>
    </w:p>
    <w:p>
      <w:r>
        <w:t>At the bell, Maly’s RIGHT hand keeps the crutch on her right and her free LEFT hand presses the lever. In the near-frontal image, the crutch is viewer-left and the reachable bell is viewer-right. Inspect hands and the ground tip before approving the image.</w:t>
      </w:r>
    </w:p>
    <w:p>
      <w:r>
        <w:br w:type="page"/>
      </w:r>
    </w:p>
    <w:p>
      <w:pPr>
        <w:pStyle w:val="Heading1"/>
      </w:pPr>
      <w:r>
        <w:t>Casting and recurring props</w:t>
      </w:r>
    </w:p>
    <w:p>
      <w:r>
        <w:t>The following face shapes, everyday clothing and adult hair details are proposed design choices. Keep them stable once reference sheets are established. The canonical details include Sokha’s age of twelve, Maly’s age of nine and right-leg amputation, Mae’s krama, Sreyneang’s pale blue shirt, and Maly’s new yellow shirt and blue hair strip on opening day.</w:t>
      </w:r>
    </w:p>
    <w:tbl>
      <w:tblPr>
        <w:tblW w:type="auto" w:w="0"/>
        <w:jc w:val="center"/>
        <w:tblLayout w:type="fixed"/>
        <w:tblLook w:firstColumn="1" w:firstRow="1" w:lastColumn="0" w:lastRow="0" w:noHBand="0" w:noVBand="1" w:val="04A0"/>
      </w:tblPr>
      <w:tblGrid>
        <w:gridCol w:w="2160"/>
        <w:gridCol w:w="8208"/>
      </w:tblGrid>
      <w:tr>
        <w:trPr>
          <w:cantSplit/>
          <w:tblHeader/>
        </w:trPr>
        <w:tc>
          <w:tcPr>
            <w:tcW w:type="dxa" w:w="2160"/>
            <w:vAlign w:val="center"/>
            <w:shd w:fill="34495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1"/>
              </w:rPr>
              <w:t>Character</w:t>
            </w:r>
          </w:p>
        </w:tc>
        <w:tc>
          <w:tcPr>
            <w:tcW w:type="dxa" w:w="8208"/>
            <w:vAlign w:val="center"/>
            <w:shd w:fill="34495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1"/>
              </w:rPr>
              <w:t>Proposed recognition features</w:t>
            </w:r>
          </w:p>
        </w:tc>
      </w:tr>
      <w:tr>
        <w:trPr>
          <w:cantSplit/>
        </w:trPr>
        <w:tc>
          <w:tcPr>
            <w:tcW w:type="dxa" w:w="216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Sokha</w:t>
            </w:r>
          </w:p>
        </w:tc>
        <w:tc>
          <w:tcPr>
            <w:tcW w:type="dxa" w:w="820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Narrow oval face, short untidy black hair, rust T-shirt, charcoal shorts, worn canvas school bag.</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Maly</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Softly rounded face, dark eyes, low black ponytail, teal blouse, navy trousers, covered right residual limb, one left sandal.</w:t>
            </w:r>
          </w:p>
        </w:tc>
      </w:tr>
      <w:tr>
        <w:trPr>
          <w:cantSplit/>
        </w:trPr>
        <w:tc>
          <w:tcPr>
            <w:tcW w:type="dxa" w:w="216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Mae</w:t>
            </w:r>
          </w:p>
        </w:tc>
        <w:tc>
          <w:tcPr>
            <w:tcW w:type="dxa" w:w="820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Lean face, low black bun, indigo blouse, brown wrap skirt, faded checked krama.</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Vannak</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Broad face, close-cropped hair, moss-green T-shirt and tan shorts.</w:t>
            </w:r>
          </w:p>
        </w:tc>
      </w:tr>
      <w:tr>
        <w:trPr>
          <w:cantSplit/>
        </w:trPr>
        <w:tc>
          <w:tcPr>
            <w:tcW w:type="dxa" w:w="216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Rithy</w:t>
            </w:r>
          </w:p>
        </w:tc>
        <w:tc>
          <w:tcPr>
            <w:tcW w:type="dxa" w:w="820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Pointed chin, neat side part, off-white T-shirt and brown shorts.</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Neak Kru Lina</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Oval face, tied-back hair, cream blouse and dark green trousers.</w:t>
            </w:r>
          </w:p>
        </w:tc>
      </w:tr>
      <w:tr>
        <w:trPr>
          <w:cantSplit/>
        </w:trPr>
        <w:tc>
          <w:tcPr>
            <w:tcW w:type="dxa" w:w="216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Uncle Sarath</w:t>
            </w:r>
          </w:p>
        </w:tc>
        <w:tc>
          <w:tcPr>
            <w:tcW w:type="dxa" w:w="820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Square face, slightly graying short hair, gray work shirt, dark trousers and krama.</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Mr. Kosal</w:t>
            </w:r>
          </w:p>
        </w:tc>
        <w:tc>
          <w:tcPr>
            <w:tcW w:type="dxa" w:w="82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Plain beige collared shirt, short black hair, no uniform or military equipment.</w:t>
            </w:r>
          </w:p>
        </w:tc>
      </w:tr>
      <w:tr>
        <w:trPr>
          <w:cantSplit/>
        </w:trPr>
        <w:tc>
          <w:tcPr>
            <w:tcW w:type="dxa" w:w="2160"/>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Ms. Sreyneang</w:t>
            </w:r>
          </w:p>
        </w:tc>
        <w:tc>
          <w:tcPr>
            <w:tcW w:type="dxa" w:w="8208"/>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Pale blue shirt, tied-back hair, clipboard, attentive posture.</w:t>
            </w:r>
          </w:p>
        </w:tc>
      </w:tr>
    </w:tbl>
    <w:p>
      <w:pPr>
        <w:spacing w:after="0"/>
      </w:pPr>
    </w:p>
    <w:p>
      <w:pPr>
        <w:pStyle w:val="Heading2"/>
      </w:pPr>
      <w:r>
        <w:t>Object rules</w:t>
      </w:r>
    </w:p>
    <w:p>
      <w:r>
        <w:t>The blue pen enters the story in Chapter 5. The scratched bicycle bell is small and portable until Sarath clamps it to the new room’s doorpost in Chapter 14. It is absent from the old room’s final rainy class. Its first successful opening-day ring occurs in Chapter 16.</w:t>
      </w:r>
    </w:p>
    <w:p>
      <w:r>
        <w:t>Sokha’s notebook carries the chicken-bitten corner. Maly’s notebook is private until she offers it or chooses to read from it. The Book of Steps is a shared planning object. Keep these identities distinct. A picture of a route does not establish that the route is safe; no artwork shows children checking unknown ground.</w:t>
      </w:r>
    </w:p>
    <w:p>
      <w:r>
        <w:t>Sopheak, the children’s father, is deceased. If a later composition includes the family altar, he appears only in the smiling photograph wearing a checked shirt. He must never join a present-day scene as a living character.</w:t>
      </w:r>
    </w:p>
    <w:p>
      <w:r>
        <w:br w:type="page"/>
      </w:r>
    </w:p>
    <w:p>
      <w:pPr>
        <w:pStyle w:val="Heading1"/>
      </w:pPr>
      <w:r>
        <w:t>Interior scene plan 1 to 3</w:t>
      </w:r>
    </w:p>
    <w:p>
      <w:pPr>
        <w:pStyle w:val="Heading2"/>
      </w:pPr>
      <w:r>
        <w:t>SK-I01 The ribbon and the stolen corner</w:t>
      </w:r>
    </w:p>
    <w:p>
      <w:r>
        <w:t>Prologue • New Year’s Eve, April 2025 • 4:3 half page</w:t>
      </w:r>
    </w:p>
    <w:p>
      <w:r>
        <w:rPr>
          <w:i/>
        </w:rPr>
        <w:t>“She held the end of the ribbon in her teeth, pulled, and retied the knot all by herself.”</w:t>
      </w:r>
    </w:p>
    <w:p>
      <w:r>
        <w:rPr>
          <w:b/>
        </w:rPr>
        <w:t xml:space="preserve">Purpose: </w:t>
      </w:r>
      <w:r>
        <w:t>Opens with sibling humor and establishes Maly’s right to do things herself. The bitten notebook and pink ribbon become recurring visual anchors.</w:t>
      </w:r>
    </w:p>
    <w:p>
      <w:r>
        <w:rPr>
          <w:b/>
        </w:rPr>
        <w:t xml:space="preserve">Placement: </w:t>
      </w:r>
      <w:r>
        <w:t>After the paragraph ending “old shoelace.” Source line 83.</w:t>
      </w:r>
    </w:p>
    <w:p>
      <w:r>
        <w:rPr>
          <w:b/>
        </w:rPr>
        <w:t xml:space="preserve">Continuity: </w:t>
      </w:r>
      <w:r>
        <w:t>Wooden; stored RIGHT; pink ribbon tied. No blue pen yet. No metal crutch. Maly ties the ribbon herself.</w:t>
      </w:r>
    </w:p>
    <w:p>
      <w:pPr>
        <w:pStyle w:val="Heading2"/>
      </w:pPr>
      <w:r>
        <w:t>SK-I02 The ball beyond the playing ground</w:t>
      </w:r>
    </w:p>
    <w:p>
      <w:r>
        <w:t>Chapter 2 The Ball in the Grass • 2025-04-15 • 4:3 half page</w:t>
      </w:r>
    </w:p>
    <w:p>
      <w:r>
        <w:rPr>
          <w:i/>
        </w:rPr>
        <w:t>“Everyone froze.”</w:t>
      </w:r>
    </w:p>
    <w:p>
      <w:r>
        <w:rPr>
          <w:b/>
        </w:rPr>
        <w:t xml:space="preserve">Purpose: </w:t>
      </w:r>
      <w:r>
        <w:t>Makes the first safety choice legible through distance and halted movement, without visualizing an explosive device.</w:t>
      </w:r>
    </w:p>
    <w:p>
      <w:r>
        <w:rPr>
          <w:b/>
        </w:rPr>
        <w:t xml:space="preserve">Placement: </w:t>
      </w:r>
      <w:r>
        <w:t>Immediately after “Everyone froze.” Source line 377.</w:t>
      </w:r>
    </w:p>
    <w:p>
      <w:r>
        <w:rPr>
          <w:b/>
        </w:rPr>
        <w:t xml:space="preserve">Continuity: </w:t>
      </w:r>
      <w:r>
        <w:t>Maly outside frame; no crutch. Every child stays on the known playing ground. No visible ordnance or invented barrier.</w:t>
      </w:r>
    </w:p>
    <w:p>
      <w:pPr>
        <w:pStyle w:val="Heading2"/>
      </w:pPr>
      <w:r>
        <w:t>SK-I03 A place inside</w:t>
      </w:r>
    </w:p>
    <w:p>
      <w:r>
        <w:t>Chapter 3 The Bicycle Bell • 2025-04-16 • 4:3 half page</w:t>
      </w:r>
    </w:p>
    <w:p>
      <w:r>
        <w:rPr>
          <w:i/>
        </w:rPr>
        <w:t>“Maly sat down inside.”</w:t>
      </w:r>
    </w:p>
    <w:p>
      <w:r>
        <w:rPr>
          <w:b/>
        </w:rPr>
        <w:t xml:space="preserve">Purpose: </w:t>
      </w:r>
      <w:r>
        <w:t>Turns inclusion into a small visible change of space. Maly proposes the solution and belongs to the group.</w:t>
      </w:r>
    </w:p>
    <w:p>
      <w:r>
        <w:rPr>
          <w:b/>
        </w:rPr>
        <w:t xml:space="preserve">Placement: </w:t>
      </w:r>
      <w:r>
        <w:t>After the paragraph beginning “The only thing she asked me to help with…” Source line 569.</w:t>
      </w:r>
    </w:p>
    <w:p>
      <w:r>
        <w:rPr>
          <w:b/>
        </w:rPr>
        <w:t xml:space="preserve">Continuity: </w:t>
      </w:r>
      <w:r>
        <w:t>Wooden; stored RIGHT; pink ribbon tied. Borrowed old room, not Sarath’s room. No bell fixed to the doorpost yet.</w:t>
      </w:r>
    </w:p>
    <w:p>
      <w:r>
        <w:br w:type="page"/>
      </w:r>
    </w:p>
    <w:p>
      <w:pPr>
        <w:pStyle w:val="Heading1"/>
      </w:pPr>
      <w:r>
        <w:t>Interior scene plan 4 to 6</w:t>
      </w:r>
    </w:p>
    <w:p>
      <w:pPr>
        <w:pStyle w:val="Heading2"/>
      </w:pPr>
      <w:r>
        <w:t>SK-I04 The room holds its breath</w:t>
      </w:r>
    </w:p>
    <w:p>
      <w:r>
        <w:t>Chapter 6 The Noise by the Ditch • 2025-04-21 • 4:3 half page</w:t>
      </w:r>
    </w:p>
    <w:p>
      <w:r>
        <w:rPr>
          <w:i/>
        </w:rPr>
        <w:t>“Her voice stayed calm, but she was gripping the little bell so hard her knuckles had turned white.”</w:t>
      </w:r>
    </w:p>
    <w:p>
      <w:r>
        <w:rPr>
          <w:b/>
        </w:rPr>
        <w:t xml:space="preserve">Purpose: </w:t>
      </w:r>
      <w:r>
        <w:t>Lets sound and reactions carry the danger. The image protects the story’s restraint and centers adult care.</w:t>
      </w:r>
    </w:p>
    <w:p>
      <w:r>
        <w:rPr>
          <w:b/>
        </w:rPr>
        <w:t xml:space="preserve">Placement: </w:t>
      </w:r>
      <w:r>
        <w:t>After the paragraph containing the selected sentence. Source line 1113.</w:t>
      </w:r>
    </w:p>
    <w:p>
      <w:r>
        <w:rPr>
          <w:b/>
        </w:rPr>
        <w:t xml:space="preserve">Continuity: </w:t>
      </w:r>
      <w:r>
        <w:t>Maly absent; no crutch. Maly stays absent. Small portable bicycle bell, never a temple bell. No visible explosion.</w:t>
      </w:r>
    </w:p>
    <w:p>
      <w:pPr>
        <w:pStyle w:val="Heading2"/>
      </w:pPr>
      <w:r>
        <w:t>SK-I05 The fork in the road</w:t>
      </w:r>
    </w:p>
    <w:p>
      <w:r>
        <w:t>Chapter 8 The Shortcut • 2025-04-25 • 2:3 full page</w:t>
      </w:r>
    </w:p>
    <w:p>
      <w:r>
        <w:rPr>
          <w:i/>
        </w:rPr>
        <w:t>“We stood at the fork while class went on without us.”</w:t>
      </w:r>
    </w:p>
    <w:p>
      <w:r>
        <w:rPr>
          <w:b/>
        </w:rPr>
        <w:t xml:space="preserve">Purpose: </w:t>
      </w:r>
      <w:r>
        <w:t>Shows the cost of the detour and Maly’s fatigue while preserving the distinction between wanting access and crossing a closed route.</w:t>
      </w:r>
    </w:p>
    <w:p>
      <w:r>
        <w:rPr>
          <w:b/>
        </w:rPr>
        <w:t xml:space="preserve">Placement: </w:t>
      </w:r>
      <w:r>
        <w:t>Immediately after the selected sentence. Source line 1397.</w:t>
      </w:r>
    </w:p>
    <w:p>
      <w:r>
        <w:rPr>
          <w:b/>
        </w:rPr>
        <w:t xml:space="preserve">Continuity: </w:t>
      </w:r>
      <w:r>
        <w:t>Wooden; used RIGHT; pink ribbon tied. Left branch approved, right branch closed. No crossing. Sokha carries bags, not Maly.</w:t>
      </w:r>
    </w:p>
    <w:p>
      <w:pPr>
        <w:pStyle w:val="Heading2"/>
      </w:pPr>
      <w:r>
        <w:t>SK-I06 The change made without asking</w:t>
      </w:r>
    </w:p>
    <w:p>
      <w:r>
        <w:t>Chapter 9 The Blue Plan • 2025-04-26 • 2:3 full page</w:t>
      </w:r>
    </w:p>
    <w:p>
      <w:r>
        <w:rPr>
          <w:i/>
        </w:rPr>
        <w:t>“I put the cover on the crutch, then lay back down with my heart going too fast.”</w:t>
      </w:r>
    </w:p>
    <w:p>
      <w:r>
        <w:rPr>
          <w:b/>
        </w:rPr>
        <w:t xml:space="preserve">Purpose: </w:t>
      </w:r>
      <w:r>
        <w:t>Marks the ethical turning point: Sokha confuses helping with deciding. The object, not a spectacle of disability, carries the mistake.</w:t>
      </w:r>
    </w:p>
    <w:p>
      <w:r>
        <w:rPr>
          <w:b/>
        </w:rPr>
        <w:t xml:space="preserve">Placement: </w:t>
      </w:r>
      <w:r>
        <w:t>After the selected sentence at the end of the chapter. Source line 1667.</w:t>
      </w:r>
    </w:p>
    <w:p>
      <w:r>
        <w:rPr>
          <w:b/>
        </w:rPr>
        <w:t xml:space="preserve">Continuity: </w:t>
      </w:r>
      <w:r>
        <w:t>Wooden; stored RIGHT of sleeping Maly; pink ribbon plus blue cover. Night scene. Maly asleep. Blue cover first appears here and is not an approved clinical adaptation.</w:t>
      </w:r>
    </w:p>
    <w:p>
      <w:r>
        <w:br w:type="page"/>
      </w:r>
    </w:p>
    <w:p>
      <w:pPr>
        <w:pStyle w:val="Heading1"/>
      </w:pPr>
      <w:r>
        <w:t>Interior scene plan 7 to 9</w:t>
      </w:r>
    </w:p>
    <w:p>
      <w:pPr>
        <w:pStyle w:val="Heading2"/>
      </w:pPr>
      <w:r>
        <w:t>SK-I07 The crooked blue cover</w:t>
      </w:r>
    </w:p>
    <w:p>
      <w:r>
        <w:t>Chapter 10 The Slipping Seam • 2025-04-27 • 2:3 full page</w:t>
      </w:r>
    </w:p>
    <w:p>
      <w:r>
        <w:rPr>
          <w:i/>
        </w:rPr>
        <w:t>“She pulled herself up on her own, leaning against the post. The crutch lay on the ground with the blue fabric all crooked.”</w:t>
      </w:r>
    </w:p>
    <w:p>
      <w:r>
        <w:rPr>
          <w:b/>
        </w:rPr>
        <w:t xml:space="preserve">Purpose: </w:t>
      </w:r>
      <w:r>
        <w:t>Makes the consequence of the unasked change clear while preserving Maly’s control over her body and over Sokha’s response.</w:t>
      </w:r>
    </w:p>
    <w:p>
      <w:r>
        <w:rPr>
          <w:b/>
        </w:rPr>
        <w:t xml:space="preserve">Placement: </w:t>
      </w:r>
      <w:r>
        <w:t>Immediately after the selected paragraph. Source line 1729.</w:t>
      </w:r>
    </w:p>
    <w:p>
      <w:r>
        <w:rPr>
          <w:b/>
        </w:rPr>
        <w:t xml:space="preserve">Continuity: </w:t>
      </w:r>
      <w:r>
        <w:t>Wooden; down, not in use, RIGHT; pink ribbon still tied; blue cover crooked. Maly already stable at the post. Ribbon not yet untied. Mae not yet in frame.</w:t>
      </w:r>
    </w:p>
    <w:p>
      <w:pPr>
        <w:pStyle w:val="Heading2"/>
      </w:pPr>
      <w:r>
        <w:t>SK-I08 Maly speaks at the meeting</w:t>
      </w:r>
    </w:p>
    <w:p>
      <w:r>
        <w:t>Chapter 11 The Meeting Under the Tree • 2025-04-28 • 4:3 half page</w:t>
      </w:r>
    </w:p>
    <w:p>
      <w:r>
        <w:rPr>
          <w:i/>
        </w:rPr>
        <w:t>“Maly opened her notebook.”</w:t>
      </w:r>
    </w:p>
    <w:p>
      <w:r>
        <w:rPr>
          <w:b/>
        </w:rPr>
        <w:t xml:space="preserve">Purpose: </w:t>
      </w:r>
      <w:r>
        <w:t>Gives the central claim a public image: adults must ask children how they walk and what they need.</w:t>
      </w:r>
    </w:p>
    <w:p>
      <w:r>
        <w:rPr>
          <w:b/>
        </w:rPr>
        <w:t xml:space="preserve">Placement: </w:t>
      </w:r>
      <w:r>
        <w:t>After Maly’s request ending “ask the kids how they walk.” Source line 1995.</w:t>
      </w:r>
    </w:p>
    <w:p>
      <w:r>
        <w:rPr>
          <w:b/>
        </w:rPr>
        <w:t xml:space="preserve">Continuity: </w:t>
      </w:r>
      <w:r>
        <w:t>Wooden; stored RIGHT; no ribbon visible; no blue cover. Maly inside the circle. Bare wooden crutch. No podium, applause or savior pose.</w:t>
      </w:r>
    </w:p>
    <w:p>
      <w:pPr>
        <w:pStyle w:val="Heading2"/>
      </w:pPr>
      <w:r>
        <w:t>SK-I09 Making the Book of Steps</w:t>
      </w:r>
    </w:p>
    <w:p>
      <w:r>
        <w:t>Chapter 12 The Book of Steps • 2025-04-30 • 4:3 half page</w:t>
      </w:r>
    </w:p>
    <w:p>
      <w:r>
        <w:rPr>
          <w:i/>
        </w:rPr>
        <w:t>“She wrote on the cover: Book of Steps.”</w:t>
      </w:r>
    </w:p>
    <w:p>
      <w:r>
        <w:rPr>
          <w:b/>
        </w:rPr>
        <w:t xml:space="preserve">Purpose: </w:t>
      </w:r>
      <w:r>
        <w:t>Transforms individual frustration into a shared working tool. The map remains a record of agreed routes and rest needs, not proof of safety.</w:t>
      </w:r>
    </w:p>
    <w:p>
      <w:r>
        <w:rPr>
          <w:b/>
        </w:rPr>
        <w:t xml:space="preserve">Placement: </w:t>
      </w:r>
      <w:r>
        <w:t>After the selected line; insert the exact book title during typesetting if legible. Source line 2099.</w:t>
      </w:r>
    </w:p>
    <w:p>
      <w:r>
        <w:rPr>
          <w:b/>
        </w:rPr>
        <w:t xml:space="preserve">Continuity: </w:t>
      </w:r>
      <w:r>
        <w:t>Wooden; stored RIGHT; ribbon not yet retied. No pink ribbon yet at this meeting. No blue cover. Map labels added by the designer, not generated.</w:t>
      </w:r>
    </w:p>
    <w:p>
      <w:r>
        <w:br w:type="page"/>
      </w:r>
    </w:p>
    <w:p>
      <w:pPr>
        <w:pStyle w:val="Heading1"/>
      </w:pPr>
      <w:r>
        <w:t>Interior scene plan 10 to 12</w:t>
      </w:r>
    </w:p>
    <w:p>
      <w:pPr>
        <w:pStyle w:val="Heading2"/>
      </w:pPr>
      <w:r>
        <w:t>SK-I10 The choice belongs to Maly</w:t>
      </w:r>
    </w:p>
    <w:p>
      <w:r>
        <w:t>Chapter 13 Measuring • 2025-05-03 • 2:3 full page</w:t>
      </w:r>
    </w:p>
    <w:p>
      <w:r>
        <w:rPr>
          <w:i/>
        </w:rPr>
        <w:t>““What do you think?” Ms. Sreyneang asked Maly.”</w:t>
      </w:r>
    </w:p>
    <w:p>
      <w:r>
        <w:rPr>
          <w:b/>
        </w:rPr>
        <w:t xml:space="preserve">Purpose: </w:t>
      </w:r>
      <w:r>
        <w:t>Shows professional assessment as a conversation and a trial chosen by Maly. This is the visible transition from wood to metal.</w:t>
      </w:r>
    </w:p>
    <w:p>
      <w:r>
        <w:rPr>
          <w:b/>
        </w:rPr>
        <w:t xml:space="preserve">Placement: </w:t>
      </w:r>
      <w:r>
        <w:t>Immediately after the selected question, before the outdoor trial. Source line 2343.</w:t>
      </w:r>
    </w:p>
    <w:p>
      <w:r>
        <w:rPr>
          <w:b/>
        </w:rPr>
        <w:t xml:space="preserve">Continuity: </w:t>
      </w:r>
      <w:r>
        <w:t>Metal; used RIGHT; ribbon detached on table. Exactly one visible crutch. No ribbon on metal yet. No prosthesis or promised cure.</w:t>
      </w:r>
    </w:p>
    <w:p>
      <w:pPr>
        <w:pStyle w:val="Heading2"/>
      </w:pPr>
      <w:r>
        <w:t>SK-I11 A room arranged with the children</w:t>
      </w:r>
    </w:p>
    <w:p>
      <w:r>
        <w:t>Chapter 14 Sarath’s House • 2025-05-05 • 4:3 half page</w:t>
      </w:r>
    </w:p>
    <w:p>
      <w:r>
        <w:rPr>
          <w:i/>
        </w:rPr>
        <w:t>“Sarath fastened the little bell with a strong clamp. He tugged on it, made sure it didn’t move, and stepped back.”</w:t>
      </w:r>
    </w:p>
    <w:p>
      <w:r>
        <w:rPr>
          <w:b/>
        </w:rPr>
        <w:t xml:space="preserve">Purpose: </w:t>
      </w:r>
      <w:r>
        <w:t>Makes access visible through clear circulation, reachable materials and participation in arranging the classroom.</w:t>
      </w:r>
    </w:p>
    <w:p>
      <w:r>
        <w:rPr>
          <w:b/>
        </w:rPr>
        <w:t xml:space="preserve">Placement: </w:t>
      </w:r>
      <w:r>
        <w:t>After the selected paragraph, before the exchange about ringing the bell. Source line 2579.</w:t>
      </w:r>
    </w:p>
    <w:p>
      <w:r>
        <w:rPr>
          <w:b/>
        </w:rPr>
        <w:t xml:space="preserve">Continuity: </w:t>
      </w:r>
      <w:r>
        <w:t>Metal; used RIGHT; pink ribbon retied. Three windows and partition. Bell clamped, not rung. Teal shirt, no blue hair strip yet.</w:t>
      </w:r>
    </w:p>
    <w:p>
      <w:pPr>
        <w:pStyle w:val="Heading2"/>
      </w:pPr>
      <w:r>
        <w:t>SK-I12 The notebook handed over closed</w:t>
      </w:r>
    </w:p>
    <w:p>
      <w:r>
        <w:t>Chapter 15 Rain Before the Bell • 2025-05-07 • 2:3 full page</w:t>
      </w:r>
    </w:p>
    <w:p>
      <w:r>
        <w:rPr>
          <w:i/>
        </w:rPr>
        <w:t>“She handed it to me, closed.”</w:t>
      </w:r>
    </w:p>
    <w:p>
      <w:r>
        <w:rPr>
          <w:b/>
        </w:rPr>
        <w:t xml:space="preserve">Purpose: </w:t>
      </w:r>
      <w:r>
        <w:t>Shows repaired trust through permission and a closed object. The rain tests the plan without undoing the siblings’ progress.</w:t>
      </w:r>
    </w:p>
    <w:p>
      <w:r>
        <w:rPr>
          <w:b/>
        </w:rPr>
        <w:t xml:space="preserve">Placement: </w:t>
      </w:r>
      <w:r>
        <w:t>After “I know.” and before Sokha seals the bag. Source line 2661.</w:t>
      </w:r>
    </w:p>
    <w:p>
      <w:r>
        <w:rPr>
          <w:b/>
        </w:rPr>
        <w:t xml:space="preserve">Continuity: </w:t>
      </w:r>
      <w:r>
        <w:t>Metal; used RIGHT; pink ribbon tied. Maly passes book with LEFT hand. Old room. No bicycle bell in this location.</w:t>
      </w:r>
    </w:p>
    <w:p>
      <w:r>
        <w:br w:type="page"/>
      </w:r>
    </w:p>
    <w:p>
      <w:pPr>
        <w:pStyle w:val="Heading1"/>
      </w:pPr>
      <w:r>
        <w:t>Interior scene plan 13 to 15</w:t>
      </w:r>
    </w:p>
    <w:p>
      <w:pPr>
        <w:pStyle w:val="Heading2"/>
      </w:pPr>
      <w:r>
        <w:t>SK-I13 A break where one is needed</w:t>
      </w:r>
    </w:p>
    <w:p>
      <w:r>
        <w:t>Chapter 16 The Road to the Bell • 2025-05-09 • 4:3 half page</w:t>
      </w:r>
    </w:p>
    <w:p>
      <w:r>
        <w:rPr>
          <w:i/>
        </w:rPr>
        <w:t>“Vannak turned the bucket upside down. Maly sat on it.”</w:t>
      </w:r>
    </w:p>
    <w:p>
      <w:r>
        <w:rPr>
          <w:b/>
        </w:rPr>
        <w:t xml:space="preserve">Purpose: </w:t>
      </w:r>
      <w:r>
        <w:t>Prevents the ending from becoming an effortless march. The group changes the plan when Maly says she needs a break.</w:t>
      </w:r>
    </w:p>
    <w:p>
      <w:r>
        <w:rPr>
          <w:b/>
        </w:rPr>
        <w:t xml:space="preserve">Placement: </w:t>
      </w:r>
      <w:r>
        <w:t>After the paragraph describing Mae’s permitted shoulder rub. Source line 2967.</w:t>
      </w:r>
    </w:p>
    <w:p>
      <w:r>
        <w:rPr>
          <w:b/>
        </w:rPr>
        <w:t xml:space="preserve">Continuity: </w:t>
      </w:r>
      <w:r>
        <w:t>Metal; stored RIGHT while seated; pink ribbon tied. Yellow shirt and blue hair strip begin here. Sarath absent at this stop. No forced carrying.</w:t>
      </w:r>
    </w:p>
    <w:p>
      <w:pPr>
        <w:pStyle w:val="Heading2"/>
      </w:pPr>
      <w:r>
        <w:t>SK-I14 The bell finds everyone</w:t>
      </w:r>
    </w:p>
    <w:p>
      <w:r>
        <w:t>Chapter 16 The Road to the Bell • 2025-05-09 • 2:3 full page</w:t>
      </w:r>
    </w:p>
    <w:p>
      <w:r>
        <w:rPr>
          <w:i/>
        </w:rPr>
        <w:t>“The sound filled the room, jumped out the windows, and ran down the stairs.”</w:t>
      </w:r>
    </w:p>
    <w:p>
      <w:r>
        <w:rPr>
          <w:b/>
        </w:rPr>
        <w:t xml:space="preserve">Purpose: </w:t>
      </w:r>
      <w:r>
        <w:t>Delivers the title’s visual payoff through a small reachable bell. Joy belongs to the whole room, with effort still visible.</w:t>
      </w:r>
    </w:p>
    <w:p>
      <w:r>
        <w:rPr>
          <w:b/>
        </w:rPr>
        <w:t xml:space="preserve">Placement: </w:t>
      </w:r>
      <w:r>
        <w:t>Immediately after the selected paragraph; keep the preceding “Brrring!” in the typeset text. Source line 3117.</w:t>
      </w:r>
    </w:p>
    <w:p>
      <w:r>
        <w:rPr>
          <w:b/>
        </w:rPr>
        <w:t xml:space="preserve">Continuity: </w:t>
      </w:r>
      <w:r>
        <w:t>Metal; used RIGHT; LEFT hand rings bell; pink ribbon tied. Near-frontal: crutch viewer LEFT, bell viewer RIGHT. Exactly one intact leg and one crutch.</w:t>
      </w:r>
    </w:p>
    <w:p>
      <w:pPr>
        <w:pStyle w:val="Heading2"/>
      </w:pPr>
      <w:r>
        <w:t>SK-I15 A page in two voices</w:t>
      </w:r>
    </w:p>
    <w:p>
      <w:r>
        <w:t>Epilogue A Page in Two Voices • 2025-05-11 • 4:3 half page</w:t>
      </w:r>
    </w:p>
    <w:p>
      <w:r>
        <w:rPr>
          <w:i/>
        </w:rPr>
        <w:t>“Maly draws two little lines around it.”</w:t>
      </w:r>
    </w:p>
    <w:p>
      <w:r>
        <w:rPr>
          <w:b/>
        </w:rPr>
        <w:t xml:space="preserve">Purpose: </w:t>
      </w:r>
      <w:r>
        <w:t>Echoes the opening objects while showing what changed: Sokha offers space and Maly chooses what to write.</w:t>
      </w:r>
    </w:p>
    <w:p>
      <w:r>
        <w:rPr>
          <w:b/>
        </w:rPr>
        <w:t xml:space="preserve">Placement: </w:t>
      </w:r>
      <w:r>
        <w:t>Near the end of the epilogue, after the selected sentence. Source line 3277.</w:t>
      </w:r>
    </w:p>
    <w:p>
      <w:r>
        <w:rPr>
          <w:b/>
        </w:rPr>
        <w:t xml:space="preserve">Continuity: </w:t>
      </w:r>
      <w:r>
        <w:t>Metal; stored RIGHT; pink ribbon attached. Metal crutch in epilogue. Maly writes by choice. Two siblings, two voices; no miraculous recovery.</w:t>
      </w:r>
    </w:p>
    <w:p>
      <w:r>
        <w:br w:type="page"/>
      </w:r>
    </w:p>
    <w:p>
      <w:pPr>
        <w:pStyle w:val="Heading1"/>
      </w:pPr>
      <w:r>
        <w:t>Cover direction</w:t>
      </w:r>
    </w:p>
    <w:p>
      <w:pPr>
        <w:pStyle w:val="Heading2"/>
      </w:pPr>
      <w:r>
        <w:t>SK C01 Front cover</w:t>
      </w:r>
    </w:p>
    <w:p>
      <w:r>
        <w:t>Show Sokha and Maly together on the known road, sharing an ordinary glance. Use the Chapter 16 metal crutch, pink ribbon, yellow shirt and blue hair strip. This is a symbolic cover composition rather than an additional interior event. Keep the title area in the upper 30% quiet and preserve the whole crutch and left foot inside the trim.</w:t>
      </w:r>
    </w:p>
    <w:p>
      <w:r>
        <w:t>Typeset the hierarchy separately: MY CORNER OF THE WORLD as a small series line; Sokha’s Diary as the strongest line; The Road to the Bell as the subtitle. Add the author’s actual name only when supplied. A warm literary serif for the main title and a plain readable companion face will suit the painted image. Avoid distressed pseudo-handwriting for essential cover text.</w:t>
      </w:r>
    </w:p>
    <w:p>
      <w:pPr>
        <w:pStyle w:val="Heading2"/>
      </w:pPr>
      <w:r>
        <w:t>SK C04 Back cover</w:t>
      </w:r>
    </w:p>
    <w:p>
      <w:r>
        <w:t>Use a quiet still life of two closed notebooks and a blue pen beneath the house. Keep the upper and central 65% open for the blurb and the lower-right 20% pale for the barcode. The back must remain visibly related to the front through paper texture and palette while allowing comfortable reading.</w:t>
      </w:r>
    </w:p>
    <w:p>
      <w:pPr>
        <w:pStyle w:val="Heading2"/>
      </w:pPr>
      <w:r>
        <w:t>Spine and inside covers</w:t>
      </w:r>
    </w:p>
    <w:p>
      <w:r>
        <w:t>Build the spine from the same ivory or muted green texture in layout; no additional generated image is needed. Set its width from the printer’s confirmed page count and paper specification. Do not invent a measurement. Keep title and author inside the printer’s spine safe area.</w:t>
      </w:r>
    </w:p>
    <w:p>
      <w:r>
        <w:t>The two commissioned cover artworks are the front and back. Inside covers can use plain ivory or a very quiet continuation of the background texture. They are not additional scenes. The full wrap must be assembled on the printer’s actual template after trim, binding and paper are fixed.</w:t>
      </w:r>
    </w:p>
    <w:p>
      <w:pPr>
        <w:pStyle w:val="Heading2"/>
      </w:pPr>
      <w:r>
        <w:t>Cover review</w:t>
      </w:r>
    </w:p>
    <w:p>
      <w:r>
        <w:t>Check the front at thumbnail size: both siblings and the diary premise should remain legible. Then check at print size that typography does not cover the crutch, right hand or left foot. Keep the title, promotional copy, barcode and publisher marks as editable design elements rather than asking the image generator to draw them.</w:t>
      </w:r>
    </w:p>
    <w:p>
      <w:r>
        <w:br w:type="page"/>
      </w:r>
    </w:p>
    <w:p>
      <w:pPr>
        <w:pStyle w:val="Heading1"/>
      </w:pPr>
      <w:r>
        <w:t>Production and handoff</w:t>
      </w:r>
    </w:p>
    <w:p>
      <w:pPr>
        <w:pStyle w:val="Heading2"/>
      </w:pPr>
      <w:r>
        <w:t>Generation order</w:t>
      </w:r>
    </w:p>
    <w:p>
      <w:r>
        <w:t>Establish SK-REF01 and SK-REF02 first so Maly’s face, covered anatomy and both crutch versions agree. Establish the two ensemble references next. Use the approved reference images with each relevant scene prompt if the image tool supports visual references. Keep each reference panel explicitly oriented; a repeated verbal instruction alone cannot guarantee correct laterality.</w:t>
      </w:r>
    </w:p>
    <w:p>
      <w:r>
        <w:t>Produce interiors in narrative order, then the front and back. If an image gets the side wrong, correct that image and verify it again. Do not accept a visually attractive result with swapped anatomy, and do not use a horizontal flip as a repair.</w:t>
      </w:r>
    </w:p>
    <w:p>
      <w:pPr>
        <w:pStyle w:val="Heading2"/>
      </w:pPr>
      <w:r>
        <w:t>Files and dimensions</w:t>
      </w:r>
    </w:p>
    <w:tbl>
      <w:tblPr>
        <w:tblW w:type="auto" w:w="0"/>
        <w:jc w:val="center"/>
        <w:tblLayout w:type="fixed"/>
        <w:tblLook w:firstColumn="1" w:firstRow="1" w:lastColumn="0" w:lastRow="0" w:noHBand="0" w:noVBand="1" w:val="04A0"/>
      </w:tblPr>
      <w:tblGrid>
        <w:gridCol w:w="2232"/>
        <w:gridCol w:w="8136"/>
      </w:tblGrid>
      <w:tr>
        <w:trPr>
          <w:cantSplit/>
          <w:tblHeader/>
        </w:trPr>
        <w:tc>
          <w:tcPr>
            <w:tcW w:type="dxa" w:w="2232"/>
            <w:vAlign w:val="center"/>
            <w:shd w:fill="34495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1"/>
              </w:rPr>
              <w:t>Item</w:t>
            </w:r>
          </w:p>
        </w:tc>
        <w:tc>
          <w:tcPr>
            <w:tcW w:type="dxa" w:w="8136"/>
            <w:vAlign w:val="center"/>
            <w:shd w:fill="34495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21"/>
              </w:rPr>
              <w:t>Working convention</w:t>
            </w:r>
          </w:p>
        </w:tc>
      </w:tr>
      <w:tr>
        <w:trPr>
          <w:cantSplit/>
        </w:trPr>
        <w:tc>
          <w:tcPr>
            <w:tcW w:type="dxa" w:w="223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Naming</w:t>
            </w:r>
          </w:p>
        </w:tc>
        <w:tc>
          <w:tcPr>
            <w:tcW w:type="dxa" w:w="8136"/>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Use the exact ID: SK-I01_v01.png, then v02 for a new version. The register contains every proposed asset filename.</w:t>
            </w:r>
          </w:p>
        </w:tc>
      </w:tr>
      <w:tr>
        <w:trPr>
          <w:cantSplit/>
        </w:trP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Portrait master</w:t>
            </w:r>
          </w:p>
        </w:tc>
        <w:tc>
          <w:tcPr>
            <w:tcW w:type="dxa" w:w="81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2:3, preferably 2400 × 3600 pixels or larger if the tool supports it.</w:t>
            </w:r>
          </w:p>
        </w:tc>
      </w:tr>
      <w:tr>
        <w:trPr>
          <w:cantSplit/>
        </w:trPr>
        <w:tc>
          <w:tcPr>
            <w:tcW w:type="dxa" w:w="223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Landscape master</w:t>
            </w:r>
          </w:p>
        </w:tc>
        <w:tc>
          <w:tcPr>
            <w:tcW w:type="dxa" w:w="8136"/>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4:3, preferably 3200 × 2400 pixels or larger if the tool supports it.</w:t>
            </w:r>
          </w:p>
        </w:tc>
      </w:tr>
      <w:tr>
        <w:trPr>
          <w:cantSplit/>
        </w:trP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Reference sheets</w:t>
            </w:r>
          </w:p>
        </w:tc>
        <w:tc>
          <w:tcPr>
            <w:tcW w:type="dxa" w:w="81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4:3; keep separate from print artwork and the 17-image count.</w:t>
            </w:r>
          </w:p>
        </w:tc>
      </w:tr>
      <w:tr>
        <w:trPr>
          <w:cantSplit/>
        </w:trPr>
        <w:tc>
          <w:tcPr>
            <w:tcW w:type="dxa" w:w="2232"/>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Print preparation</w:t>
            </w:r>
          </w:p>
        </w:tc>
        <w:tc>
          <w:tcPr>
            <w:tcW w:type="dxa" w:w="8136"/>
            <w:vAlign w:val="center"/>
            <w:shd w:fill="F1F4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Check effective resolution at final placement. Target 300 ppi. Use the printer’s bleed and color-profile requirements.</w:t>
            </w:r>
          </w:p>
        </w:tc>
      </w:tr>
      <w:tr>
        <w:trPr>
          <w:cantSplit/>
        </w:trP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Layout</w:t>
            </w:r>
          </w:p>
        </w:tc>
        <w:tc>
          <w:tcPr>
            <w:tcW w:type="dxa" w:w="81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auto"/>
            </w:pPr>
            <w:r>
              <w:rPr>
                <w:sz w:val="21"/>
              </w:rPr>
              <w:t>Keep illustration and lettering separate. Do not stretch to change aspect ratio or place key anatomy in a gutter.</w:t>
            </w:r>
          </w:p>
        </w:tc>
      </w:tr>
    </w:tbl>
    <w:p>
      <w:pPr>
        <w:spacing w:after="0"/>
      </w:pPr>
    </w:p>
    <w:p>
      <w:pPr>
        <w:pStyle w:val="Heading2"/>
      </w:pPr>
      <w:r>
        <w:t>Checks before an image is marked approved</w:t>
      </w:r>
    </w:p>
    <w:p>
      <w:r>
        <w:t>Confirm ID, chapter and selected instant. All listed characters and props belong to that instant.</w:t>
      </w:r>
    </w:p>
    <w:p>
      <w:r>
        <w:t>Check Maly’s anatomical RIGHT leg is the amputated one; only the LEFT leg is intact. The covered residual limb has no invented clinical detail.</w:t>
      </w:r>
    </w:p>
    <w:p>
      <w:r>
        <w:t>Check the single crutch is on the same RIGHT side, with a clear used or stored state. Inspect hand contact, ground contact, extra feet and duplicated crutches.</w:t>
      </w:r>
    </w:p>
    <w:p>
      <w:r>
        <w:t>Check wood versus metal, ribbon state, blue-cover timing, shirt color and the bell’s location.</w:t>
      </w:r>
    </w:p>
    <w:p>
      <w:r>
        <w:t>Check consent and agency: no unsolicited lifting, no child crossing a closed route, no miraculous recovery.</w:t>
      </w:r>
    </w:p>
    <w:p>
      <w:r>
        <w:t>Check trim safety, legibility, crop and reference consistency; add any needed book text in the layout file.</w:t>
      </w:r>
    </w:p>
    <w:p>
      <w:r>
        <w:t>The register starts with status Not started because this package supplies art direction and prompts; the artwork itself has not been generated. Update the status and filename as each asset moves through production.</w:t>
      </w:r>
    </w:p>
    <w:sectPr w:rsidR="00FC693F" w:rsidRPr="0006063C" w:rsidSect="00034616">
      <w:footerReference w:type="default" r:id="rId9"/>
      <w:pgSz w:w="12240" w:h="15840"/>
      <w:pgMar w:top="864" w:right="936" w:bottom="864"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Sokha illustration plan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6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Sokha art direction and scene plan</dc:title>
  <dc:subject>Sokha’s Diary The Road to the Bell</dc:subject>
  <dc:creator/>
  <cp:keywords>Sokha, Maly, illustration, prompts, right leg, right crutch</cp:keywords>
  <dc:description>generated by python-docx</dc:description>
  <cp:lastModifiedBy/>
  <cp:revision>1</cp:revision>
  <dcterms:created xsi:type="dcterms:W3CDTF">2013-12-23T23:15:00Z</dcterms:created>
  <dcterms:modified xsi:type="dcterms:W3CDTF">2013-12-23T23:15:00Z</dcterms:modified>
  <cp:category/>
</cp:coreProperties>
</file>