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FICHA TÉCNICA: INFRAESTRUCTURA TECNOLÓGICA PROPUESTA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del sistema: Teddy Shop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Versión: 1.0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 de elaboración: Marzo 2024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Clasificación: Sistema de Apoyo – Aplicación web – Arquitectura MVC – Despliegue en la nube (PaaS)</w:t>
      </w:r>
    </w:p>
    <w:p w:rsidR="00000000" w:rsidDel="00000000" w:rsidP="00000000" w:rsidRDefault="00000000" w:rsidRPr="00000000" w14:paraId="0000000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1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55"/>
        <w:gridCol w:w="5764"/>
        <w:tblGridChange w:id="0">
          <w:tblGrid>
            <w:gridCol w:w="2755"/>
            <w:gridCol w:w="5764"/>
          </w:tblGrid>
        </w:tblGridChange>
      </w:tblGrid>
      <w:tr>
        <w:trPr>
          <w:cantSplit w:val="0"/>
          <w:trHeight w:val="4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i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vertAlign w:val="baseline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Sistema de información de inventario y catálogo de peluches orientado a un entorno web.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i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vertAlign w:val="baseline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IDENTIFICACIÓN</w:t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i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vertAlign w:val="baseline"/>
                <w:rtl w:val="0"/>
              </w:rPr>
              <w:t xml:space="preserve">Actividad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Diseñar un software de acuerdo con los requerimientos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i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vertAlign w:val="baseline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Ficha Técnica “ADSO”</w:t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i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vertAlign w:val="baseline"/>
                <w:rtl w:val="0"/>
              </w:rPr>
              <w:t xml:space="preserve">Fecha de elaboración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Marzo 2024</w:t>
            </w:r>
          </w:p>
        </w:tc>
      </w:tr>
    </w:tbl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FICHA TÉCNICA INVESTIGACIÓN TECNOLÓGICA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</w:rPr>
        <w:drawing>
          <wp:inline distB="0" distT="0" distL="114300" distR="114300">
            <wp:extent cx="5325110" cy="3867785"/>
            <wp:effectExtent b="0" l="0" r="0" t="0"/>
            <wp:docPr id="10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5110" cy="3867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HARDWARE: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Diligencie las columnas en cursiva, de tal manera que proponga los diferentes tipos de equipos de </w:t>
      </w:r>
      <w:r w:rsidDel="00000000" w:rsidR="00000000" w:rsidRPr="00000000">
        <w:rPr>
          <w:sz w:val="24"/>
          <w:szCs w:val="24"/>
          <w:rtl w:val="0"/>
        </w:rPr>
        <w:t xml:space="preserve">cómputo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considera se deben utilizar para solucionar el problema citado.</w:t>
      </w:r>
    </w:p>
    <w:p w:rsidR="00000000" w:rsidDel="00000000" w:rsidP="00000000" w:rsidRDefault="00000000" w:rsidRPr="00000000" w14:paraId="00000018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27"/>
        <w:gridCol w:w="6378"/>
        <w:tblGridChange w:id="0">
          <w:tblGrid>
            <w:gridCol w:w="2127"/>
            <w:gridCol w:w="6378"/>
          </w:tblGrid>
        </w:tblGridChange>
      </w:tblGrid>
      <w:tr>
        <w:trPr>
          <w:cantSplit w:val="0"/>
          <w:trHeight w:val="6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Tipo Equipo: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i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i w:val="1"/>
                <w:sz w:val="24"/>
                <w:szCs w:val="24"/>
                <w:vertAlign w:val="baseline"/>
                <w:rtl w:val="0"/>
              </w:rPr>
              <w:t xml:space="preserve">2 computadores (ThinkPad X230)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Marca: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i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i w:val="1"/>
                <w:sz w:val="24"/>
                <w:szCs w:val="24"/>
                <w:vertAlign w:val="baseline"/>
                <w:rtl w:val="0"/>
              </w:rPr>
              <w:t xml:space="preserve"> Lenovo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Valor: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i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i w:val="1"/>
                <w:sz w:val="24"/>
                <w:szCs w:val="24"/>
                <w:vertAlign w:val="baseline"/>
                <w:rtl w:val="0"/>
              </w:rPr>
              <w:t xml:space="preserve">200.000 (Mensuales).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Procesador: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i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i w:val="1"/>
                <w:sz w:val="24"/>
                <w:szCs w:val="24"/>
                <w:vertAlign w:val="baseline"/>
                <w:rtl w:val="0"/>
              </w:rPr>
              <w:t xml:space="preserve">Procesador Intel(R) Core (TM) i5-3210M (3,10 GHz, 3MB L3, 1600 MHz FSB).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i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Memoria: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i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i w:val="1"/>
                <w:sz w:val="24"/>
                <w:szCs w:val="24"/>
                <w:vertAlign w:val="baseline"/>
                <w:rtl w:val="0"/>
              </w:rPr>
              <w:t xml:space="preserve">Memoria física instalada (RAM)</w:t>
              <w:tab/>
              <w:t xml:space="preserve">16 GB DDR3 1.600 MHz.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i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i w:val="1"/>
                <w:sz w:val="24"/>
                <w:szCs w:val="24"/>
                <w:vertAlign w:val="baseline"/>
                <w:rtl w:val="0"/>
              </w:rPr>
              <w:t xml:space="preserve">Este es un computador con gran potencia para que nuestro cliente maneje su base de datos de manera tranquila. Otras especificaciones de este equipo son: Disco Duro de 500 GB SSD, Tarjeta Gráfica Intel(R) HD400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SOFTWARE: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Proponga el sistema operativo que </w:t>
      </w:r>
      <w:r w:rsidDel="00000000" w:rsidR="00000000" w:rsidRPr="00000000">
        <w:rPr>
          <w:sz w:val="24"/>
          <w:szCs w:val="24"/>
          <w:rtl w:val="0"/>
        </w:rPr>
        <w:t xml:space="preserve">considere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soporta toda la infraestructura tecnológica para poder solucionar el problema.</w:t>
      </w:r>
    </w:p>
    <w:p w:rsidR="00000000" w:rsidDel="00000000" w:rsidP="00000000" w:rsidRDefault="00000000" w:rsidRPr="00000000" w14:paraId="0000002B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5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27"/>
        <w:gridCol w:w="6378"/>
        <w:tblGridChange w:id="0">
          <w:tblGrid>
            <w:gridCol w:w="2127"/>
            <w:gridCol w:w="6378"/>
          </w:tblGrid>
        </w:tblGridChange>
      </w:tblGrid>
      <w:tr>
        <w:trPr>
          <w:cantSplit w:val="0"/>
          <w:trHeight w:val="6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02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Sistema operativo: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>
                <w:i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i w:val="1"/>
                <w:sz w:val="24"/>
                <w:szCs w:val="24"/>
                <w:vertAlign w:val="baseline"/>
                <w:rtl w:val="0"/>
              </w:rPr>
              <w:t xml:space="preserve">Windows 10 pro-64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i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i w:val="1"/>
                <w:sz w:val="24"/>
                <w:szCs w:val="24"/>
                <w:vertAlign w:val="baseline"/>
                <w:rtl w:val="0"/>
              </w:rPr>
              <w:t xml:space="preserve">Tiene mejores herramientas para poder ejecutar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i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i w:val="1"/>
                <w:sz w:val="24"/>
                <w:szCs w:val="24"/>
                <w:vertAlign w:val="baseline"/>
                <w:rtl w:val="0"/>
              </w:rPr>
              <w:t xml:space="preserve">Tiene buena capacidad de manejo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i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i w:val="1"/>
                <w:sz w:val="24"/>
                <w:szCs w:val="24"/>
                <w:vertAlign w:val="baseline"/>
                <w:rtl w:val="0"/>
              </w:rPr>
              <w:t xml:space="preserve">Sistema más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óptimo</w:t>
            </w:r>
            <w:r w:rsidDel="00000000" w:rsidR="00000000" w:rsidRPr="00000000">
              <w:rPr>
                <w:i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GESTOR DE BASES DE DATOS: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Seleccione el gestor de bases de datos (SGDB) que debe utilizar la empresa para solucionar su problema.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264396"/>
        <w:tag w:val="goog_rdk_1"/>
      </w:sdtPr>
      <w:sdtContent>
        <w:tbl>
          <w:tblPr>
            <w:tblStyle w:val="Table4"/>
            <w:tblW w:w="985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30"/>
            <w:gridCol w:w="3990"/>
            <w:gridCol w:w="4035"/>
            <w:tblGridChange w:id="0">
              <w:tblGrid>
                <w:gridCol w:w="1830"/>
                <w:gridCol w:w="3990"/>
                <w:gridCol w:w="4035"/>
              </w:tblGrid>
            </w:tblGridChange>
          </w:tblGrid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ccccc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spacing w:line="276" w:lineRule="auto"/>
                  <w:jc w:val="center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Nombre SGBD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ccccc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spacing w:line="276" w:lineRule="auto"/>
                  <w:jc w:val="center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MongoDB Atlas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ccccc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spacing w:line="276" w:lineRule="auto"/>
                  <w:jc w:val="center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PostgreSQL</w:t>
                </w:r>
              </w:p>
            </w:tc>
          </w:tr>
          <w:tr>
            <w:trPr>
              <w:cantSplit w:val="0"/>
              <w:trHeight w:val="1230" w:hRule="atLeast"/>
              <w:tblHeader w:val="0"/>
            </w:trPr>
            <w:tc>
              <w:tcPr>
                <w:vMerge w:val="restart"/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ccccc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spacing w:line="276" w:lineRule="auto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Descripción</w:t>
                </w:r>
              </w:p>
              <w:p w:rsidR="00000000" w:rsidDel="00000000" w:rsidP="00000000" w:rsidRDefault="00000000" w:rsidRPr="00000000" w14:paraId="0000003A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3B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tcBorders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- Plataforma NoSQL gestionada en la nube que usa documentos (JSON-like) en vez de tablas.</w:t>
                </w:r>
              </w:p>
            </w:tc>
            <w:tc>
              <w:tcPr>
                <w:tcBorders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- SGBD relacional open-source con soporte avanzado de SQL.</w:t>
                </w:r>
              </w:p>
            </w:tc>
          </w:tr>
          <w:tr>
            <w:trPr>
              <w:cantSplit w:val="0"/>
              <w:trHeight w:val="1035" w:hRule="atLeast"/>
              <w:tblHeader w:val="0"/>
            </w:trPr>
            <w:tc>
              <w:tcPr>
                <w:vMerge w:val="continue"/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ccccc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- Proporciona una infraestructura escalable, flexible y completamente administrada.</w:t>
                </w:r>
              </w:p>
            </w:tc>
            <w:tc>
              <w:tcPr>
                <w:tcBorders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- Compatible con múltiples plataformas (Linux, macOS, Windows).</w:t>
                </w:r>
              </w:p>
            </w:tc>
          </w:tr>
          <w:tr>
            <w:trPr>
              <w:cantSplit w:val="0"/>
              <w:trHeight w:val="780" w:hRule="atLeast"/>
              <w:tblHeader w:val="0"/>
            </w:trPr>
            <w:tc>
              <w:tcPr>
                <w:vMerge w:val="continue"/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ccccc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- Maneja la alta disponibilidad y seguridad en la nube.</w:t>
                </w:r>
              </w:p>
            </w:tc>
            <w:tc>
              <w:tcPr>
                <w:tcBorders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- Ofrece integridad referencial y transacciones ACID.</w:t>
                </w:r>
              </w:p>
            </w:tc>
          </w:tr>
          <w:tr>
            <w:trPr>
              <w:cantSplit w:val="0"/>
              <w:trHeight w:val="1320" w:hRule="atLeast"/>
              <w:tblHeader w:val="0"/>
            </w:trPr>
            <w:tc>
              <w:tcPr>
                <w:vMerge w:val="restart"/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ccccc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Ventaja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- Escalabilidad automática y sin intervención manual.</w:t>
                </w:r>
              </w:p>
            </w:tc>
            <w:tc>
              <w:tcPr>
                <w:tcBorders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- Alto rendimiento con grandes volúmenes de datos y aplicaciones críticas.</w:t>
                </w:r>
              </w:p>
            </w:tc>
          </w:tr>
          <w:tr>
            <w:trPr>
              <w:cantSplit w:val="0"/>
              <w:trHeight w:val="1200" w:hRule="atLeast"/>
              <w:tblHeader w:val="0"/>
            </w:trPr>
            <w:tc>
              <w:tcPr>
                <w:vMerge w:val="continue"/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ccccc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- Alta disponibilidad mediante replicación y configuraciones distribuidas.</w:t>
                </w:r>
              </w:p>
            </w:tc>
            <w:tc>
              <w:tcPr>
                <w:tcBorders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- Extensible con funciones definidas por el usuario y tipos de datos complejos.</w:t>
                </w:r>
              </w:p>
            </w:tc>
          </w:tr>
          <w:tr>
            <w:trPr>
              <w:cantSplit w:val="0"/>
              <w:trHeight w:val="1305" w:hRule="atLeast"/>
              <w:tblHeader w:val="0"/>
            </w:trPr>
            <w:tc>
              <w:tcPr>
                <w:vMerge w:val="continue"/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ccccc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- Sin gestión de hardware, mantenimiento y actualizaciones automáticas.</w:t>
                </w:r>
              </w:p>
            </w:tc>
            <w:tc>
              <w:tcPr>
                <w:tcBorders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- Cumple con estándares SQL, pero también soporta consultas JSON y XML.</w:t>
                </w:r>
              </w:p>
            </w:tc>
          </w:tr>
          <w:tr>
            <w:trPr>
              <w:cantSplit w:val="0"/>
              <w:trHeight w:val="1290" w:hRule="atLeast"/>
              <w:tblHeader w:val="0"/>
            </w:trPr>
            <w:tc>
              <w:tcPr>
                <w:vMerge w:val="restart"/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ccccc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spacing w:line="276" w:lineRule="auto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Beneficio</w:t>
                </w:r>
              </w:p>
              <w:p w:rsidR="00000000" w:rsidDel="00000000" w:rsidP="00000000" w:rsidRDefault="00000000" w:rsidRPr="00000000" w14:paraId="0000004E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4F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tcBorders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- Fácil de usar y administrar, sin preocupaciones por infraestructura física.</w:t>
                </w:r>
              </w:p>
            </w:tc>
            <w:tc>
              <w:tcPr>
                <w:tcBorders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- Ideal para aplicaciones que necesitan integridad de datos y consultas complejas.</w:t>
                </w:r>
              </w:p>
            </w:tc>
          </w:tr>
          <w:tr>
            <w:trPr>
              <w:cantSplit w:val="0"/>
              <w:trHeight w:val="1695" w:hRule="atLeast"/>
              <w:tblHeader w:val="0"/>
            </w:trPr>
            <w:tc>
              <w:tcPr>
                <w:vMerge w:val="continue"/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ccccc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- Escalabilidad sin fricciones para grandes volúmenes de datos.</w:t>
                </w:r>
              </w:p>
            </w:tc>
            <w:tc>
              <w:tcPr>
                <w:tcBorders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- Flexible para adaptarse a necesidades específicas, soportando datos no estructurados.</w:t>
                </w:r>
              </w:p>
            </w:tc>
          </w:tr>
          <w:tr>
            <w:trPr>
              <w:cantSplit w:val="0"/>
              <w:trHeight w:val="1320" w:hRule="atLeast"/>
              <w:tblHeader w:val="0"/>
            </w:trPr>
            <w:tc>
              <w:tcPr>
                <w:vMerge w:val="continue"/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ccccc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- Reducción de costos operativos al no requerir administradores o recursos físicos dedicados.</w:t>
                </w:r>
              </w:p>
            </w:tc>
            <w:tc>
              <w:tcPr>
                <w:tcBorders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- Open-source, sin costes por licencias, con una comunidad activa para soporte.</w:t>
                </w:r>
              </w:p>
            </w:tc>
          </w:tr>
          <w:tr>
            <w:trPr>
              <w:cantSplit w:val="0"/>
              <w:trHeight w:val="2381.8359375" w:hRule="atLeast"/>
              <w:tblHeader w:val="0"/>
            </w:trPr>
            <w:tc>
              <w:tcPr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ccccc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770012836"/>
                  <w:tag w:val="goog_rdk_0"/>
                </w:sdtPr>
                <w:sdtContent>
                  <w:tbl>
                    <w:tblPr>
                      <w:tblStyle w:val="Table5"/>
                      <w:tblW w:w="1680.0" w:type="dxa"/>
                      <w:jc w:val="left"/>
                      <w:tblLayout w:type="fixed"/>
                      <w:tblLook w:val="0600"/>
                    </w:tblPr>
                    <w:tblGrid>
                      <w:gridCol w:w="1680"/>
                      <w:tblGridChange w:id="0">
                        <w:tblGrid>
                          <w:gridCol w:w="1680"/>
                        </w:tblGrid>
                      </w:tblGridChange>
                    </w:tblGrid>
                    <w:tr>
                      <w:trPr>
                        <w:cantSplit w:val="0"/>
                        <w:trHeight w:val="515" w:hRule="atLeast"/>
                        <w:tblHeader w:val="0"/>
                      </w:trPr>
                      <w:tc>
                        <w:tcPr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9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sz w:val="24"/>
                              <w:szCs w:val="24"/>
                              <w:rtl w:val="0"/>
                            </w:rPr>
                            <w:t xml:space="preserve">Total Estimado (por mes)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5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Para un cluster pequeño: desde </w:t>
                </w: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$9/mes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(para el plan más básico). Para clusters más grandes y con más recursos: </w:t>
                </w: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hasta $1,500/mes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.</w:t>
                </w:r>
              </w:p>
            </w:tc>
            <w:tc>
              <w:tcPr>
                <w:tcBorders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 es autoadministrado, solo pagas el servidor (puede ser tan bajo como </w:t>
                </w: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$5/mes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para un servidor básico). Si se utiliza en la nube (ej. Amazon RDS), el costo podría ser desde </w:t>
                </w: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$30/mes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para planes básicos.</w:t>
                </w:r>
              </w:p>
            </w:tc>
          </w:tr>
        </w:tbl>
      </w:sdtContent>
    </w:sdt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Actualmente el sistema opera sobre MongoDB Atlas. Se contempla la posibilidad de migrar a PostgreSQL en caso de requerir funciones transaccionales complejas.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está diseñado para ser operado en entornos cloud; los equipos locales son requeridos únicamente para desarrollo y mantenimiento.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Análisis comparativo de infraestructura cloud (backend y despliegue)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25"/>
        <w:gridCol w:w="1350"/>
        <w:gridCol w:w="1260"/>
        <w:gridCol w:w="2220"/>
        <w:gridCol w:w="1680"/>
        <w:gridCol w:w="1785"/>
        <w:tblGridChange w:id="0">
          <w:tblGrid>
            <w:gridCol w:w="1425"/>
            <w:gridCol w:w="1350"/>
            <w:gridCol w:w="1260"/>
            <w:gridCol w:w="2220"/>
            <w:gridCol w:w="1680"/>
            <w:gridCol w:w="178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Proveedor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Tipo de servicio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Plan gratuito disponible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Costo mensual estimado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Escalabilidad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Render.com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 + Web Server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Desde USD 7/mes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Actualmente en uso para Teddy Shop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6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Railway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 + PostgreSQL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Desde USD 5/mes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Alternativa viable si se migra a SQL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6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Vercel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Frontend (React)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USD 0 - 20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Ideal para alojar SPA React de forma gratuita</w:t>
            </w:r>
          </w:p>
        </w:tc>
      </w:tr>
    </w:tbl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Estimación de costos resumida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5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95"/>
        <w:gridCol w:w="2910"/>
        <w:gridCol w:w="2385"/>
        <w:gridCol w:w="1260"/>
        <w:tblGridChange w:id="0">
          <w:tblGrid>
            <w:gridCol w:w="2895"/>
            <w:gridCol w:w="2910"/>
            <w:gridCol w:w="2385"/>
            <w:gridCol w:w="12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Costo 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Moneda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ThinkPad X230 (arrendamiento)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200 000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Sistema 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Windows 10 Pro 64 bits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Incluido en licencias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–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MongoDB Atlas (cluster básico)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Hosting backend + Web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Render.com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Hosting base de datos (alternativa 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Railway (PostgreSQL)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Hosting frontend (React SPA)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Vercel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 – 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Total aproximado (configuración mínima)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Hardware + Atlas + Render + Vercel (gratis)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200 000 COP + 16 USD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MIXTO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Equivalencia aproximada en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4"/>
                <w:szCs w:val="24"/>
              </w:rPr>
            </w:pPr>
            <w:sdt>
              <w:sdtPr>
                <w:id w:val="-1055861045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(1 USD ≈ 4 000 COP)</w:t>
                </w:r>
              </w:sdtContent>
            </w:sdt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200 000 COP + ~64 000 COP =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264 000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COP</w:t>
            </w:r>
          </w:p>
        </w:tc>
      </w:tr>
    </w:tbl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2907"/>
        <w:tab w:val="center" w:leader="none" w:pos="4419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  <w:rtl w:val="0"/>
      </w:rPr>
      <w:tab/>
      <w:t xml:space="preserve">TEDDY SHOP PARADISE</w:t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MX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0"/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snapToGrid w:val="0"/>
      <w:w w:val="100"/>
      <w:kern w:val="28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tw4winMark">
    <w:name w:val="tw4winMark"/>
    <w:next w:val="tw4winMark"/>
    <w:autoRedefine w:val="0"/>
    <w:hidden w:val="0"/>
    <w:qFormat w:val="0"/>
    <w:rPr>
      <w:rFonts w:ascii="Courier New" w:cs="Courier New" w:hAnsi="Courier New"/>
      <w:vanish w:val="1"/>
      <w:color w:val="800080"/>
      <w:w w:val="100"/>
      <w:position w:val="-1"/>
      <w:sz w:val="24"/>
      <w:szCs w:val="24"/>
      <w:effect w:val="none"/>
      <w:vertAlign w:val="subscript"/>
      <w:cs w:val="0"/>
      <w:em w:val="none"/>
      <w:lang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widowControl w:val="0"/>
      <w:pBdr>
        <w:top w:color="c0c0c0" w:space="1" w:sz="6" w:val="single"/>
        <w:left w:color="c0c0c0" w:space="1" w:sz="6" w:val="single"/>
        <w:bottom w:color="c0c0c0" w:space="1" w:sz="6" w:val="single"/>
        <w:right w:color="c0c0c0" w:space="1" w:sz="6" w:val="single"/>
        <w:between w:color="c0c0c0" w:space="1" w:sz="6" w:val="single"/>
      </w:pBdr>
      <w:shd w:color="ffff00" w:fill="ffffff" w:val="pct25"/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rFonts w:ascii="Arial" w:cs="Arial" w:hAnsi="Arial"/>
      <w:snapToGrid w:val="0"/>
      <w:w w:val="100"/>
      <w:kern w:val="28"/>
      <w:position w:val="-1"/>
      <w:effect w:val="none"/>
      <w:vertAlign w:val="baseline"/>
      <w:cs w:val="0"/>
      <w:em w:val="none"/>
      <w:lang w:bidi="ar-SA" w:eastAsia="en-US" w:val="es-MX"/>
    </w:rPr>
  </w:style>
  <w:style w:type="character" w:styleId="tw4winError">
    <w:name w:val="tw4winError"/>
    <w:next w:val="tw4winError"/>
    <w:autoRedefine w:val="0"/>
    <w:hidden w:val="0"/>
    <w:qFormat w:val="0"/>
    <w:rPr>
      <w:rFonts w:ascii="Courier New" w:cs="Courier New" w:hAnsi="Courier New"/>
      <w:color w:val="00ff00"/>
      <w:w w:val="100"/>
      <w:position w:val="-1"/>
      <w:sz w:val="40"/>
      <w:szCs w:val="40"/>
      <w:effect w:val="none"/>
      <w:vertAlign w:val="baseline"/>
      <w:cs w:val="0"/>
      <w:em w:val="none"/>
      <w:lang/>
    </w:rPr>
  </w:style>
  <w:style w:type="character" w:styleId="tw4winTerm">
    <w:name w:val="tw4winTerm"/>
    <w:next w:val="tw4winTerm"/>
    <w:autoRedefine w:val="0"/>
    <w:hidden w:val="0"/>
    <w:qFormat w:val="0"/>
    <w:rPr>
      <w:color w:val="0000ff"/>
      <w:w w:val="100"/>
      <w:position w:val="-1"/>
      <w:effect w:val="none"/>
      <w:vertAlign w:val="baseline"/>
      <w:cs w:val="0"/>
      <w:em w:val="none"/>
      <w:lang/>
    </w:rPr>
  </w:style>
  <w:style w:type="character" w:styleId="tw4winPopup">
    <w:name w:val="tw4winPopup"/>
    <w:next w:val="tw4winPopup"/>
    <w:autoRedefine w:val="0"/>
    <w:hidden w:val="0"/>
    <w:qFormat w:val="0"/>
    <w:rPr>
      <w:rFonts w:ascii="Courier New" w:cs="Courier New" w:hAnsi="Courier New"/>
      <w:noProof w:val="1"/>
      <w:color w:val="008000"/>
      <w:w w:val="100"/>
      <w:position w:val="-1"/>
      <w:effect w:val="none"/>
      <w:vertAlign w:val="baseline"/>
      <w:cs w:val="0"/>
      <w:em w:val="none"/>
      <w:lang w:eastAsia="und" w:val="und"/>
    </w:rPr>
  </w:style>
  <w:style w:type="character" w:styleId="tw4winJump">
    <w:name w:val="tw4winJump"/>
    <w:next w:val="tw4winJump"/>
    <w:autoRedefine w:val="0"/>
    <w:hidden w:val="0"/>
    <w:qFormat w:val="0"/>
    <w:rPr>
      <w:rFonts w:ascii="Courier New" w:cs="Courier New" w:hAnsi="Courier New"/>
      <w:noProof w:val="1"/>
      <w:color w:val="008080"/>
      <w:w w:val="100"/>
      <w:position w:val="-1"/>
      <w:effect w:val="none"/>
      <w:vertAlign w:val="baseline"/>
      <w:cs w:val="0"/>
      <w:em w:val="none"/>
      <w:lang w:eastAsia="und" w:val="und"/>
    </w:rPr>
  </w:style>
  <w:style w:type="character" w:styleId="tw4winExternal">
    <w:name w:val="tw4winExternal"/>
    <w:next w:val="tw4winExternal"/>
    <w:autoRedefine w:val="0"/>
    <w:hidden w:val="0"/>
    <w:qFormat w:val="0"/>
    <w:rPr>
      <w:rFonts w:ascii="Courier New" w:cs="Courier New" w:hAnsi="Courier New"/>
      <w:noProof w:val="1"/>
      <w:color w:val="808080"/>
      <w:w w:val="100"/>
      <w:position w:val="-1"/>
      <w:effect w:val="none"/>
      <w:vertAlign w:val="baseline"/>
      <w:cs w:val="0"/>
      <w:em w:val="none"/>
      <w:lang w:eastAsia="und" w:val="und"/>
    </w:rPr>
  </w:style>
  <w:style w:type="character" w:styleId="tw4winInternal">
    <w:name w:val="tw4winInternal"/>
    <w:next w:val="tw4winInternal"/>
    <w:autoRedefine w:val="0"/>
    <w:hidden w:val="0"/>
    <w:qFormat w:val="0"/>
    <w:rPr>
      <w:rFonts w:ascii="Courier New" w:cs="Courier New" w:hAnsi="Courier New"/>
      <w:noProof w:val="1"/>
      <w:color w:val="ff0000"/>
      <w:w w:val="100"/>
      <w:position w:val="-1"/>
      <w:effect w:val="none"/>
      <w:vertAlign w:val="baseline"/>
      <w:cs w:val="0"/>
      <w:em w:val="none"/>
      <w:lang w:eastAsia="und" w:val="und"/>
    </w:rPr>
  </w:style>
  <w:style w:type="character" w:styleId="DO_NOT_TRANSLATE">
    <w:name w:val="DO_NOT_TRANSLATE"/>
    <w:next w:val="DO_NOT_TRANSLATE"/>
    <w:autoRedefine w:val="0"/>
    <w:hidden w:val="0"/>
    <w:qFormat w:val="0"/>
    <w:rPr>
      <w:rFonts w:ascii="Courier New" w:cs="Courier New" w:hAnsi="Courier New"/>
      <w:noProof w:val="1"/>
      <w:color w:val="800000"/>
      <w:w w:val="100"/>
      <w:position w:val="-1"/>
      <w:effect w:val="none"/>
      <w:vertAlign w:val="baseline"/>
      <w:cs w:val="0"/>
      <w:em w:val="none"/>
      <w:lang w:eastAsia="und" w:val="und"/>
    </w:rPr>
  </w:style>
  <w:style w:type="paragraph" w:styleId="Textodeglobo">
    <w:name w:val="Texto de globo"/>
    <w:basedOn w:val="Normal"/>
    <w:next w:val="Textodeglobo"/>
    <w:autoRedefine w:val="0"/>
    <w:hidden w:val="0"/>
    <w:qFormat w:val="0"/>
    <w:pPr>
      <w:widowControl w:val="0"/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rFonts w:ascii="Tahoma" w:cs="Tahoma" w:hAnsi="Tahoma"/>
      <w:snapToGrid w:val="0"/>
      <w:w w:val="100"/>
      <w:kern w:val="28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Encabezado"/>
    <w:basedOn w:val="Normal"/>
    <w:next w:val="Encabezado"/>
    <w:autoRedefine w:val="0"/>
    <w:hidden w:val="0"/>
    <w:qFormat w:val="0"/>
    <w:pPr>
      <w:widowControl w:val="0"/>
      <w:tabs>
        <w:tab w:val="center" w:leader="none" w:pos="4252"/>
        <w:tab w:val="right" w:leader="none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snapToGrid w:val="0"/>
      <w:w w:val="100"/>
      <w:kern w:val="28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EncabezadoCar">
    <w:name w:val="Encabezado Car"/>
    <w:next w:val="EncabezadoCar"/>
    <w:autoRedefine w:val="0"/>
    <w:hidden w:val="0"/>
    <w:qFormat w:val="0"/>
    <w:rPr>
      <w:snapToGrid w:val="0"/>
      <w:w w:val="100"/>
      <w:kern w:val="28"/>
      <w:position w:val="-1"/>
      <w:effect w:val="none"/>
      <w:vertAlign w:val="baseline"/>
      <w:cs w:val="0"/>
      <w:em w:val="none"/>
      <w:lang w:eastAsia="en-US" w:val="en-US"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widowControl w:val="0"/>
      <w:tabs>
        <w:tab w:val="center" w:leader="none" w:pos="4252"/>
        <w:tab w:val="right" w:leader="none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snapToGrid w:val="0"/>
      <w:w w:val="100"/>
      <w:kern w:val="28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PiedepáginaCar">
    <w:name w:val="Pie de página Car"/>
    <w:next w:val="PiedepáginaCar"/>
    <w:autoRedefine w:val="0"/>
    <w:hidden w:val="0"/>
    <w:qFormat w:val="0"/>
    <w:rPr>
      <w:snapToGrid w:val="0"/>
      <w:w w:val="100"/>
      <w:kern w:val="28"/>
      <w:position w:val="-1"/>
      <w:effect w:val="none"/>
      <w:vertAlign w:val="baseline"/>
      <w:cs w:val="0"/>
      <w:em w:val="none"/>
      <w:lang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PPCpRjkjNLK5pzLgjiYNyPqRQQ==">CgMxLjAaHwoBMBIaChgICVIUChJ0YWJsZS54YjY5bWwxYjhlYngaHwoBMRIaChgICVIUChJ0YWJsZS44NW56cnVuYXk5YXUaFAoBMhIPCg0IB0IJEgdHdW5nc3VoOAByITE1bjZSR29WYlhlQUpfQ0JXVVpFam5HcVc3WUxaSFYzUw==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2024-04-04T18:52:00Z</dcterms:created>
  <dc:creator>César M. Cuéllar - Carolina Muñoz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