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44B" w:rsidRPr="00764CC7" w:rsidRDefault="00F06A3C" w:rsidP="007F4E6D">
      <w:pPr>
        <w:tabs>
          <w:tab w:val="center" w:pos="4536"/>
          <w:tab w:val="right" w:pos="9072"/>
        </w:tabs>
        <w:spacing w:after="0" w:line="240" w:lineRule="auto"/>
        <w:jc w:val="right"/>
        <w:rPr>
          <w:rFonts w:ascii="Calibri" w:eastAsia="Calibri" w:hAnsi="Calibri" w:cs="Times New Roman"/>
          <w:b/>
          <w:i/>
          <w:lang w:val="en-US"/>
        </w:rPr>
      </w:pPr>
      <w:bookmarkStart w:id="0" w:name="_GoBack"/>
      <w:bookmarkEnd w:id="0"/>
      <w:r>
        <w:rPr>
          <w:rFonts w:ascii="Calibri" w:eastAsia="Calibri" w:hAnsi="Calibri" w:cs="Times New Roman"/>
          <w:b/>
          <w:i/>
        </w:rPr>
        <w:t xml:space="preserve">Приложение </w:t>
      </w:r>
      <w:r w:rsidR="00764CC7">
        <w:rPr>
          <w:rFonts w:ascii="Calibri" w:eastAsia="Calibri" w:hAnsi="Calibri" w:cs="Times New Roman"/>
          <w:b/>
          <w:i/>
          <w:lang w:val="en-US"/>
        </w:rPr>
        <w:t>X</w:t>
      </w:r>
    </w:p>
    <w:p w:rsidR="00045584" w:rsidRDefault="00045584" w:rsidP="00C1144B">
      <w:pPr>
        <w:spacing w:after="0" w:line="240" w:lineRule="auto"/>
        <w:rPr>
          <w:rFonts w:eastAsia="Times New Roman" w:cstheme="minorHAnsi"/>
          <w:b/>
          <w:snapToGrid w:val="0"/>
          <w:kern w:val="28"/>
          <w:sz w:val="24"/>
          <w:szCs w:val="24"/>
        </w:rPr>
      </w:pPr>
    </w:p>
    <w:p w:rsidR="00C1144B" w:rsidRPr="008E4D35" w:rsidRDefault="007F4E6D" w:rsidP="00C1144B">
      <w:pPr>
        <w:spacing w:after="0" w:line="240" w:lineRule="auto"/>
        <w:rPr>
          <w:rFonts w:eastAsia="Times New Roman" w:cstheme="minorHAnsi"/>
          <w:b/>
          <w:snapToGrid w:val="0"/>
          <w:kern w:val="28"/>
          <w:sz w:val="24"/>
          <w:szCs w:val="24"/>
        </w:rPr>
      </w:pPr>
      <w:r>
        <w:rPr>
          <w:rFonts w:eastAsia="Times New Roman" w:cstheme="minorHAnsi"/>
          <w:b/>
          <w:snapToGrid w:val="0"/>
          <w:kern w:val="28"/>
          <w:sz w:val="24"/>
          <w:szCs w:val="24"/>
          <w:lang w:val="en-US"/>
        </w:rPr>
        <w:t xml:space="preserve">I. </w:t>
      </w:r>
      <w:r w:rsidR="00C1144B" w:rsidRPr="008E4D35">
        <w:rPr>
          <w:rFonts w:eastAsia="Times New Roman" w:cstheme="minorHAnsi"/>
          <w:b/>
          <w:snapToGrid w:val="0"/>
          <w:kern w:val="28"/>
          <w:sz w:val="24"/>
          <w:szCs w:val="24"/>
        </w:rPr>
        <w:t>ИЗПОЛЗВАНИ СЪКРАЩЕНИЯ</w:t>
      </w:r>
    </w:p>
    <w:p w:rsidR="00C1144B" w:rsidRPr="008E4D35" w:rsidRDefault="00C1144B" w:rsidP="00C1144B">
      <w:pPr>
        <w:spacing w:after="0" w:line="240" w:lineRule="auto"/>
        <w:rPr>
          <w:rFonts w:eastAsia="Times New Roman" w:cstheme="minorHAnsi"/>
          <w:b/>
          <w:snapToGrid w:val="0"/>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200"/>
      </w:tblGrid>
      <w:tr w:rsidR="00F25879" w:rsidRPr="008E4D35" w:rsidTr="00F14642">
        <w:tc>
          <w:tcPr>
            <w:tcW w:w="1124" w:type="pct"/>
            <w:shd w:val="clear" w:color="auto" w:fill="D9D9D9"/>
          </w:tcPr>
          <w:p w:rsidR="00F25879" w:rsidRPr="008E4D35" w:rsidRDefault="00F25879"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БНБ</w:t>
            </w:r>
          </w:p>
        </w:tc>
        <w:tc>
          <w:tcPr>
            <w:tcW w:w="3876" w:type="pct"/>
            <w:shd w:val="clear" w:color="auto" w:fill="F3F3F3"/>
          </w:tcPr>
          <w:p w:rsidR="00F25879" w:rsidRPr="008E4D35" w:rsidRDefault="00F25879"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Българска народна банка</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ГД</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Главна дирекция</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ДДС</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Данък добавена стойност</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ДМА</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Дълготрайни материални активи</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ДНА</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Дълготрайни нематериални активи</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ДНФ</w:t>
            </w:r>
          </w:p>
        </w:tc>
        <w:tc>
          <w:tcPr>
            <w:tcW w:w="3876" w:type="pct"/>
            <w:shd w:val="clear" w:color="auto" w:fill="F3F3F3"/>
          </w:tcPr>
          <w:p w:rsidR="00C1144B" w:rsidRPr="008E4D35" w:rsidRDefault="00C1144B" w:rsidP="00C1144B">
            <w:pPr>
              <w:spacing w:before="120" w:after="0" w:line="120" w:lineRule="auto"/>
              <w:ind w:left="289" w:right="289"/>
              <w:rPr>
                <w:rFonts w:eastAsia="Times New Roman" w:cstheme="minorHAnsi"/>
                <w:b/>
                <w:snapToGrid w:val="0"/>
                <w:sz w:val="24"/>
                <w:szCs w:val="24"/>
              </w:rPr>
            </w:pPr>
            <w:r w:rsidRPr="008E4D35">
              <w:rPr>
                <w:rFonts w:eastAsia="Times New Roman" w:cstheme="minorHAnsi"/>
                <w:b/>
                <w:snapToGrid w:val="0"/>
                <w:sz w:val="24"/>
                <w:szCs w:val="24"/>
              </w:rPr>
              <w:t xml:space="preserve">Дирекция „Национален фонд”, Министерство на </w:t>
            </w:r>
          </w:p>
          <w:p w:rsidR="00C1144B" w:rsidRPr="008E4D35" w:rsidRDefault="00C1144B" w:rsidP="00C1144B">
            <w:pPr>
              <w:spacing w:before="120" w:after="0" w:line="120" w:lineRule="auto"/>
              <w:ind w:left="289" w:right="289"/>
              <w:rPr>
                <w:rFonts w:eastAsia="Times New Roman" w:cstheme="minorHAnsi"/>
                <w:b/>
                <w:snapToGrid w:val="0"/>
                <w:sz w:val="24"/>
                <w:szCs w:val="24"/>
              </w:rPr>
            </w:pPr>
            <w:r w:rsidRPr="008E4D35">
              <w:rPr>
                <w:rFonts w:eastAsia="Times New Roman" w:cstheme="minorHAnsi"/>
                <w:b/>
                <w:snapToGrid w:val="0"/>
                <w:sz w:val="24"/>
                <w:szCs w:val="24"/>
              </w:rPr>
              <w:t xml:space="preserve">финансите </w:t>
            </w:r>
          </w:p>
        </w:tc>
      </w:tr>
      <w:tr w:rsidR="00D55DC2" w:rsidRPr="008E4D35" w:rsidTr="00F14642">
        <w:tc>
          <w:tcPr>
            <w:tcW w:w="1124" w:type="pct"/>
            <w:shd w:val="clear" w:color="auto" w:fill="D9D9D9"/>
          </w:tcPr>
          <w:p w:rsidR="00D55DC2" w:rsidRPr="008E4D35" w:rsidRDefault="00D55DC2"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ДОПК</w:t>
            </w:r>
          </w:p>
        </w:tc>
        <w:tc>
          <w:tcPr>
            <w:tcW w:w="3876" w:type="pct"/>
            <w:shd w:val="clear" w:color="auto" w:fill="F3F3F3"/>
          </w:tcPr>
          <w:p w:rsidR="00D55DC2" w:rsidRPr="008E4D35" w:rsidRDefault="000D040C" w:rsidP="00C1144B">
            <w:pPr>
              <w:spacing w:before="120" w:after="0" w:line="120" w:lineRule="auto"/>
              <w:ind w:left="289" w:right="289"/>
              <w:rPr>
                <w:rFonts w:eastAsia="Times New Roman" w:cstheme="minorHAnsi"/>
                <w:b/>
                <w:snapToGrid w:val="0"/>
                <w:sz w:val="24"/>
                <w:szCs w:val="24"/>
              </w:rPr>
            </w:pPr>
            <w:r>
              <w:rPr>
                <w:rFonts w:eastAsia="Times New Roman" w:cstheme="minorHAnsi"/>
                <w:b/>
                <w:snapToGrid w:val="0"/>
                <w:sz w:val="24"/>
                <w:szCs w:val="24"/>
              </w:rPr>
              <w:t>Данъчно-осигурител</w:t>
            </w:r>
            <w:r>
              <w:rPr>
                <w:rFonts w:eastAsia="Times New Roman" w:cstheme="minorHAnsi"/>
                <w:b/>
                <w:snapToGrid w:val="0"/>
                <w:sz w:val="24"/>
                <w:szCs w:val="24"/>
                <w:lang w:val="en-US"/>
              </w:rPr>
              <w:t>en</w:t>
            </w:r>
            <w:r w:rsidR="00D55DC2" w:rsidRPr="008E4D35">
              <w:rPr>
                <w:rFonts w:eastAsia="Times New Roman" w:cstheme="minorHAnsi"/>
                <w:b/>
                <w:snapToGrid w:val="0"/>
                <w:sz w:val="24"/>
                <w:szCs w:val="24"/>
              </w:rPr>
              <w:t xml:space="preserve"> процесуален кодекс</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ЕК</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Европейска комисия</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ЕО</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Европейска общност</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ЕС</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Европейски съюз</w:t>
            </w:r>
          </w:p>
        </w:tc>
      </w:tr>
      <w:tr w:rsidR="00924D9B" w:rsidRPr="008E4D35" w:rsidTr="00F14642">
        <w:tc>
          <w:tcPr>
            <w:tcW w:w="1124" w:type="pct"/>
            <w:shd w:val="clear" w:color="auto" w:fill="D9D9D9"/>
          </w:tcPr>
          <w:p w:rsidR="00924D9B" w:rsidRPr="008E4D35" w:rsidRDefault="00924D9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ЕСИФ</w:t>
            </w:r>
          </w:p>
        </w:tc>
        <w:tc>
          <w:tcPr>
            <w:tcW w:w="3876" w:type="pct"/>
            <w:shd w:val="clear" w:color="auto" w:fill="F3F3F3"/>
          </w:tcPr>
          <w:p w:rsidR="00924D9B" w:rsidRPr="008E4D35" w:rsidRDefault="00924D9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Европейски структурни и инвестиционни фондове</w:t>
            </w:r>
          </w:p>
        </w:tc>
      </w:tr>
      <w:tr w:rsidR="00B50A28" w:rsidRPr="008E4D35" w:rsidTr="00F14642">
        <w:tc>
          <w:tcPr>
            <w:tcW w:w="1124" w:type="pct"/>
            <w:shd w:val="clear" w:color="auto" w:fill="D9D9D9"/>
          </w:tcPr>
          <w:p w:rsidR="00B50A28" w:rsidRPr="008E4D35" w:rsidRDefault="00B50A28"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ЕСФ</w:t>
            </w:r>
          </w:p>
        </w:tc>
        <w:tc>
          <w:tcPr>
            <w:tcW w:w="3876" w:type="pct"/>
            <w:shd w:val="clear" w:color="auto" w:fill="F3F3F3"/>
          </w:tcPr>
          <w:p w:rsidR="00B50A28" w:rsidRPr="008E4D35" w:rsidRDefault="00B50A28"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Европейски социален фонд</w:t>
            </w:r>
          </w:p>
        </w:tc>
      </w:tr>
      <w:tr w:rsidR="00741F45" w:rsidRPr="008E4D35" w:rsidTr="00F14642">
        <w:tc>
          <w:tcPr>
            <w:tcW w:w="1124" w:type="pct"/>
            <w:shd w:val="clear" w:color="auto" w:fill="D9D9D9"/>
          </w:tcPr>
          <w:p w:rsidR="00741F45" w:rsidRPr="008E4D35" w:rsidRDefault="00741F45"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ЕФРР</w:t>
            </w:r>
          </w:p>
        </w:tc>
        <w:tc>
          <w:tcPr>
            <w:tcW w:w="3876" w:type="pct"/>
            <w:shd w:val="clear" w:color="auto" w:fill="F3F3F3"/>
          </w:tcPr>
          <w:p w:rsidR="00741F45" w:rsidRPr="008E4D35" w:rsidRDefault="00741F45"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Европейски фонд за регионално развитие</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ЗЗД</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Закон за задълженията и договорите</w:t>
            </w:r>
          </w:p>
        </w:tc>
      </w:tr>
      <w:tr w:rsidR="00015702" w:rsidRPr="008E4D35" w:rsidTr="00F14642">
        <w:tc>
          <w:tcPr>
            <w:tcW w:w="1124" w:type="pct"/>
            <w:shd w:val="clear" w:color="auto" w:fill="D9D9D9"/>
          </w:tcPr>
          <w:p w:rsidR="00015702" w:rsidRPr="008E4D35" w:rsidRDefault="00015702"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ЗКПО</w:t>
            </w:r>
          </w:p>
        </w:tc>
        <w:tc>
          <w:tcPr>
            <w:tcW w:w="3876" w:type="pct"/>
            <w:shd w:val="clear" w:color="auto" w:fill="F3F3F3"/>
          </w:tcPr>
          <w:p w:rsidR="00015702" w:rsidRPr="008E4D35" w:rsidRDefault="00015702"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Закон за корпоративното</w:t>
            </w:r>
            <w:r w:rsidR="004E15B4" w:rsidRPr="008E4D35">
              <w:rPr>
                <w:rFonts w:eastAsia="Times New Roman" w:cstheme="minorHAnsi"/>
                <w:b/>
                <w:snapToGrid w:val="0"/>
                <w:sz w:val="24"/>
                <w:szCs w:val="24"/>
              </w:rPr>
              <w:t xml:space="preserve"> подоходно облагане</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ЗМСП</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Закон за малките и средните предприятия</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ЗОП</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Закон за обществените поръчки</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ЗТР</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Закон за търговския регистър</w:t>
            </w:r>
          </w:p>
        </w:tc>
      </w:tr>
      <w:tr w:rsidR="00764CC7" w:rsidRPr="008E4D35" w:rsidTr="00F14642">
        <w:tc>
          <w:tcPr>
            <w:tcW w:w="1124" w:type="pct"/>
            <w:shd w:val="clear" w:color="auto" w:fill="D9D9D9"/>
          </w:tcPr>
          <w:p w:rsidR="00764CC7" w:rsidRPr="00764CC7" w:rsidRDefault="00764CC7" w:rsidP="00C1144B">
            <w:pPr>
              <w:spacing w:before="120" w:after="120" w:line="120" w:lineRule="auto"/>
              <w:ind w:left="288" w:right="288"/>
              <w:rPr>
                <w:rFonts w:eastAsia="Times New Roman" w:cstheme="minorHAnsi"/>
                <w:b/>
                <w:snapToGrid w:val="0"/>
                <w:sz w:val="24"/>
                <w:szCs w:val="24"/>
              </w:rPr>
            </w:pPr>
            <w:r>
              <w:rPr>
                <w:rFonts w:eastAsia="Times New Roman" w:cstheme="minorHAnsi"/>
                <w:b/>
                <w:snapToGrid w:val="0"/>
                <w:sz w:val="24"/>
                <w:szCs w:val="24"/>
              </w:rPr>
              <w:t>ЗУСЕСИФ</w:t>
            </w:r>
          </w:p>
        </w:tc>
        <w:tc>
          <w:tcPr>
            <w:tcW w:w="3876" w:type="pct"/>
            <w:shd w:val="clear" w:color="auto" w:fill="F3F3F3"/>
          </w:tcPr>
          <w:p w:rsidR="00764CC7" w:rsidRPr="008E4D35" w:rsidRDefault="00764CC7" w:rsidP="00C1144B">
            <w:pPr>
              <w:spacing w:before="120" w:after="120" w:line="120" w:lineRule="auto"/>
              <w:ind w:left="288" w:right="288"/>
              <w:rPr>
                <w:rFonts w:eastAsia="Times New Roman" w:cstheme="minorHAnsi"/>
                <w:b/>
                <w:snapToGrid w:val="0"/>
                <w:sz w:val="24"/>
                <w:szCs w:val="24"/>
              </w:rPr>
            </w:pPr>
            <w:r>
              <w:rPr>
                <w:rFonts w:eastAsia="Times New Roman" w:cstheme="minorHAnsi"/>
                <w:b/>
                <w:snapToGrid w:val="0"/>
                <w:sz w:val="24"/>
                <w:szCs w:val="24"/>
              </w:rPr>
              <w:t>Закон за управление на средствата от европейските структурни и инвестиционни фондове</w:t>
            </w:r>
          </w:p>
        </w:tc>
      </w:tr>
      <w:tr w:rsidR="00C83BE5" w:rsidRPr="008E4D35" w:rsidTr="00F14642">
        <w:tc>
          <w:tcPr>
            <w:tcW w:w="1124" w:type="pct"/>
            <w:shd w:val="clear" w:color="auto" w:fill="D9D9D9"/>
          </w:tcPr>
          <w:p w:rsidR="00C83BE5" w:rsidRPr="008E4D35" w:rsidRDefault="00C83BE5"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ИСУН</w:t>
            </w:r>
          </w:p>
        </w:tc>
        <w:tc>
          <w:tcPr>
            <w:tcW w:w="3876" w:type="pct"/>
            <w:shd w:val="clear" w:color="auto" w:fill="F3F3F3"/>
          </w:tcPr>
          <w:p w:rsidR="00C83BE5" w:rsidRPr="008E4D35" w:rsidRDefault="00C83BE5"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Информационна система за управление и наблюдение</w:t>
            </w:r>
          </w:p>
        </w:tc>
      </w:tr>
      <w:tr w:rsidR="009228BD" w:rsidRPr="008E4D35" w:rsidTr="00F14642">
        <w:tc>
          <w:tcPr>
            <w:tcW w:w="1124" w:type="pct"/>
            <w:shd w:val="clear" w:color="auto" w:fill="D9D9D9"/>
          </w:tcPr>
          <w:p w:rsidR="009228BD" w:rsidRPr="008E4D35" w:rsidRDefault="009228BD"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КЕП</w:t>
            </w:r>
          </w:p>
        </w:tc>
        <w:tc>
          <w:tcPr>
            <w:tcW w:w="3876" w:type="pct"/>
            <w:shd w:val="clear" w:color="auto" w:fill="F3F3F3"/>
          </w:tcPr>
          <w:p w:rsidR="009228BD" w:rsidRPr="008E4D35" w:rsidRDefault="009228BD"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Квалифициран електронен подпис</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КН</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Комитет за наблюдение</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КИД 2008</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Класификация на икономическите дейности 2008</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МИ</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Министерство на икономиката</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МС</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Министерски съвет</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МСП</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Малки и средни предприятия</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НСИ</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Национален статистически институт</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ОП</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Оперативна програма</w:t>
            </w:r>
          </w:p>
        </w:tc>
      </w:tr>
      <w:tr w:rsidR="00734B42" w:rsidRPr="008E4D35" w:rsidTr="00F14642">
        <w:tc>
          <w:tcPr>
            <w:tcW w:w="1124" w:type="pct"/>
            <w:shd w:val="clear" w:color="auto" w:fill="D9D9D9"/>
          </w:tcPr>
          <w:p w:rsidR="00734B42" w:rsidRPr="008E4D35" w:rsidRDefault="00734B42"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lastRenderedPageBreak/>
              <w:t>ОПИК</w:t>
            </w:r>
          </w:p>
        </w:tc>
        <w:tc>
          <w:tcPr>
            <w:tcW w:w="3876" w:type="pct"/>
            <w:shd w:val="clear" w:color="auto" w:fill="F3F3F3"/>
          </w:tcPr>
          <w:p w:rsidR="00734B42" w:rsidRPr="008E4D35" w:rsidRDefault="00734B42" w:rsidP="00D31E18">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Оперативна програма „</w:t>
            </w:r>
            <w:r w:rsidR="001375DA" w:rsidRPr="008E4D35">
              <w:rPr>
                <w:rFonts w:eastAsia="Times New Roman" w:cstheme="minorHAnsi"/>
                <w:b/>
                <w:snapToGrid w:val="0"/>
                <w:sz w:val="24"/>
                <w:szCs w:val="24"/>
              </w:rPr>
              <w:t xml:space="preserve">Иновации и </w:t>
            </w:r>
            <w:r w:rsidR="00D31E18">
              <w:rPr>
                <w:rFonts w:eastAsia="Times New Roman" w:cstheme="minorHAnsi"/>
                <w:b/>
                <w:snapToGrid w:val="0"/>
                <w:sz w:val="24"/>
                <w:szCs w:val="24"/>
              </w:rPr>
              <w:t>к</w:t>
            </w:r>
            <w:r w:rsidRPr="008E4D35">
              <w:rPr>
                <w:rFonts w:eastAsia="Times New Roman" w:cstheme="minorHAnsi"/>
                <w:b/>
                <w:snapToGrid w:val="0"/>
                <w:sz w:val="24"/>
                <w:szCs w:val="24"/>
              </w:rPr>
              <w:t>онкурентоспособност“</w:t>
            </w:r>
          </w:p>
        </w:tc>
      </w:tr>
      <w:tr w:rsidR="00C470C9" w:rsidRPr="008E4D35" w:rsidTr="00F14642">
        <w:tc>
          <w:tcPr>
            <w:tcW w:w="1124" w:type="pct"/>
            <w:shd w:val="clear" w:color="auto" w:fill="D9D9D9"/>
          </w:tcPr>
          <w:p w:rsidR="00C470C9" w:rsidRPr="008E4D35" w:rsidRDefault="000B6360" w:rsidP="000B6360">
            <w:pPr>
              <w:spacing w:before="120" w:after="120" w:line="120" w:lineRule="auto"/>
              <w:ind w:right="288"/>
              <w:rPr>
                <w:rFonts w:eastAsia="Times New Roman" w:cstheme="minorHAnsi"/>
                <w:b/>
                <w:snapToGrid w:val="0"/>
                <w:sz w:val="24"/>
                <w:szCs w:val="24"/>
              </w:rPr>
            </w:pPr>
            <w:r w:rsidRPr="008E4D35">
              <w:rPr>
                <w:rFonts w:eastAsia="Times New Roman" w:cstheme="minorHAnsi"/>
                <w:b/>
                <w:snapToGrid w:val="0"/>
                <w:sz w:val="24"/>
                <w:szCs w:val="24"/>
              </w:rPr>
              <w:t xml:space="preserve">    </w:t>
            </w:r>
            <w:r w:rsidR="00487B87" w:rsidRPr="008E4D35">
              <w:rPr>
                <w:rFonts w:eastAsia="Times New Roman" w:cstheme="minorHAnsi"/>
                <w:b/>
                <w:snapToGrid w:val="0"/>
                <w:sz w:val="24"/>
                <w:szCs w:val="24"/>
              </w:rPr>
              <w:t xml:space="preserve"> </w:t>
            </w:r>
            <w:r w:rsidR="00C470C9" w:rsidRPr="008E4D35">
              <w:rPr>
                <w:rFonts w:eastAsia="Times New Roman" w:cstheme="minorHAnsi"/>
                <w:b/>
                <w:snapToGrid w:val="0"/>
                <w:sz w:val="24"/>
                <w:szCs w:val="24"/>
              </w:rPr>
              <w:t>ОПРКБИ</w:t>
            </w:r>
          </w:p>
        </w:tc>
        <w:tc>
          <w:tcPr>
            <w:tcW w:w="3876" w:type="pct"/>
            <w:shd w:val="clear" w:color="auto" w:fill="F3F3F3"/>
          </w:tcPr>
          <w:p w:rsidR="00D012AB" w:rsidRPr="008E4D35" w:rsidRDefault="00590097" w:rsidP="00D012A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 xml:space="preserve">Оперативна програма „Развитие на </w:t>
            </w:r>
          </w:p>
          <w:p w:rsidR="00C470C9" w:rsidRPr="008E4D35" w:rsidRDefault="00D012AB" w:rsidP="00590097">
            <w:pPr>
              <w:spacing w:before="120" w:after="120" w:line="120" w:lineRule="auto"/>
              <w:ind w:left="288" w:right="288"/>
              <w:rPr>
                <w:rFonts w:eastAsia="Times New Roman" w:cstheme="minorHAnsi"/>
                <w:b/>
                <w:snapToGrid w:val="0"/>
                <w:sz w:val="24"/>
                <w:szCs w:val="24"/>
              </w:rPr>
            </w:pPr>
            <w:r>
              <w:rPr>
                <w:rFonts w:eastAsia="Times New Roman" w:cstheme="minorHAnsi"/>
                <w:b/>
                <w:snapToGrid w:val="0"/>
                <w:sz w:val="24"/>
                <w:szCs w:val="24"/>
              </w:rPr>
              <w:t>конкурентоспособността на б</w:t>
            </w:r>
            <w:r w:rsidR="00590097" w:rsidRPr="008E4D35">
              <w:rPr>
                <w:rFonts w:eastAsia="Times New Roman" w:cstheme="minorHAnsi"/>
                <w:b/>
                <w:snapToGrid w:val="0"/>
                <w:sz w:val="24"/>
                <w:szCs w:val="24"/>
              </w:rPr>
              <w:t>ългарската икономика“</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ПМС</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Постановление на Министерски съвет</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СМР</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Строително-монтажни работи</w:t>
            </w:r>
          </w:p>
        </w:tc>
      </w:tr>
      <w:tr w:rsidR="00C1144B" w:rsidRPr="008E4D35" w:rsidTr="00F14642">
        <w:tc>
          <w:tcPr>
            <w:tcW w:w="1124" w:type="pct"/>
            <w:shd w:val="clear" w:color="auto" w:fill="D9D9D9"/>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УО</w:t>
            </w:r>
          </w:p>
        </w:tc>
        <w:tc>
          <w:tcPr>
            <w:tcW w:w="3876" w:type="pct"/>
            <w:shd w:val="clear" w:color="auto" w:fill="F3F3F3"/>
          </w:tcPr>
          <w:p w:rsidR="00C1144B" w:rsidRPr="008E4D35" w:rsidRDefault="00C1144B"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Управляващ орган</w:t>
            </w:r>
          </w:p>
        </w:tc>
      </w:tr>
      <w:tr w:rsidR="00413F4A" w:rsidRPr="008E4D35" w:rsidTr="00F14642">
        <w:tc>
          <w:tcPr>
            <w:tcW w:w="1124" w:type="pct"/>
            <w:shd w:val="clear" w:color="auto" w:fill="D9D9D9"/>
          </w:tcPr>
          <w:p w:rsidR="00413F4A" w:rsidRPr="008E4D35" w:rsidRDefault="00413F4A"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ФК</w:t>
            </w:r>
          </w:p>
        </w:tc>
        <w:tc>
          <w:tcPr>
            <w:tcW w:w="3876" w:type="pct"/>
            <w:shd w:val="clear" w:color="auto" w:fill="F3F3F3"/>
          </w:tcPr>
          <w:p w:rsidR="00413F4A" w:rsidRPr="008E4D35" w:rsidRDefault="00413F4A"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Формуляр за кандидатстване</w:t>
            </w:r>
          </w:p>
        </w:tc>
      </w:tr>
      <w:tr w:rsidR="00BC06E5" w:rsidRPr="008E4D35" w:rsidTr="00F14642">
        <w:tc>
          <w:tcPr>
            <w:tcW w:w="1124" w:type="pct"/>
            <w:shd w:val="clear" w:color="auto" w:fill="D9D9D9"/>
          </w:tcPr>
          <w:p w:rsidR="00BC06E5" w:rsidRPr="008E4D35" w:rsidRDefault="00B219EC"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ЮЗР</w:t>
            </w:r>
          </w:p>
        </w:tc>
        <w:tc>
          <w:tcPr>
            <w:tcW w:w="3876" w:type="pct"/>
            <w:shd w:val="clear" w:color="auto" w:fill="F3F3F3"/>
          </w:tcPr>
          <w:p w:rsidR="00BC06E5" w:rsidRPr="008E4D35" w:rsidRDefault="00624B99" w:rsidP="00C1144B">
            <w:pPr>
              <w:spacing w:before="120" w:after="120" w:line="120" w:lineRule="auto"/>
              <w:ind w:left="288" w:right="288"/>
              <w:rPr>
                <w:rFonts w:eastAsia="Times New Roman" w:cstheme="minorHAnsi"/>
                <w:b/>
                <w:snapToGrid w:val="0"/>
                <w:sz w:val="24"/>
                <w:szCs w:val="24"/>
              </w:rPr>
            </w:pPr>
            <w:r w:rsidRPr="008E4D35">
              <w:rPr>
                <w:rFonts w:eastAsia="Times New Roman" w:cstheme="minorHAnsi"/>
                <w:b/>
                <w:snapToGrid w:val="0"/>
                <w:sz w:val="24"/>
                <w:szCs w:val="24"/>
              </w:rPr>
              <w:t xml:space="preserve">Югозападен район </w:t>
            </w:r>
          </w:p>
        </w:tc>
      </w:tr>
    </w:tbl>
    <w:p w:rsidR="00DA3619" w:rsidRPr="008E4D35" w:rsidRDefault="00DA3619">
      <w:pPr>
        <w:rPr>
          <w:rFonts w:cstheme="minorHAnsi"/>
          <w:sz w:val="24"/>
          <w:szCs w:val="24"/>
        </w:rPr>
      </w:pPr>
    </w:p>
    <w:p w:rsidR="00F56BC0" w:rsidRDefault="007F4E6D" w:rsidP="00F56BC0">
      <w:pPr>
        <w:spacing w:after="0" w:line="240" w:lineRule="auto"/>
        <w:rPr>
          <w:rFonts w:eastAsia="Times New Roman" w:cstheme="minorHAnsi"/>
          <w:b/>
          <w:snapToGrid w:val="0"/>
          <w:kern w:val="28"/>
          <w:sz w:val="24"/>
          <w:szCs w:val="24"/>
        </w:rPr>
      </w:pPr>
      <w:r>
        <w:rPr>
          <w:rFonts w:eastAsia="Times New Roman" w:cstheme="minorHAnsi"/>
          <w:b/>
          <w:snapToGrid w:val="0"/>
          <w:kern w:val="28"/>
          <w:sz w:val="24"/>
          <w:szCs w:val="24"/>
          <w:lang w:val="en-US"/>
        </w:rPr>
        <w:t xml:space="preserve">II. </w:t>
      </w:r>
      <w:r w:rsidR="00DF094A" w:rsidRPr="008E4D35">
        <w:rPr>
          <w:rFonts w:eastAsia="Times New Roman" w:cstheme="minorHAnsi"/>
          <w:b/>
          <w:snapToGrid w:val="0"/>
          <w:kern w:val="28"/>
          <w:sz w:val="24"/>
          <w:szCs w:val="24"/>
        </w:rPr>
        <w:t>ОСНОВНИ ДЕФИНИЦИИ</w:t>
      </w:r>
    </w:p>
    <w:p w:rsidR="00E12165" w:rsidRPr="008E4D35" w:rsidRDefault="00E12165" w:rsidP="00F56BC0">
      <w:pPr>
        <w:spacing w:after="0" w:line="240" w:lineRule="auto"/>
        <w:rPr>
          <w:rFonts w:eastAsia="Times New Roman" w:cstheme="minorHAnsi"/>
          <w:b/>
          <w:snapToGrid w:val="0"/>
          <w:kern w:val="28"/>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628"/>
      </w:tblGrid>
      <w:tr w:rsidR="001172F3" w:rsidRPr="008E4D35" w:rsidTr="0048471A">
        <w:tc>
          <w:tcPr>
            <w:tcW w:w="2660" w:type="dxa"/>
            <w:shd w:val="clear" w:color="auto" w:fill="E6E6E6"/>
          </w:tcPr>
          <w:p w:rsidR="001172F3" w:rsidRPr="008E4D35" w:rsidRDefault="001172F3" w:rsidP="001172F3">
            <w:pPr>
              <w:spacing w:before="100" w:beforeAutospacing="1" w:after="100" w:afterAutospacing="1" w:line="240" w:lineRule="auto"/>
              <w:rPr>
                <w:rFonts w:eastAsia="Times New Roman" w:cstheme="minorHAnsi"/>
                <w:b/>
                <w:snapToGrid w:val="0"/>
                <w:sz w:val="24"/>
                <w:szCs w:val="24"/>
              </w:rPr>
            </w:pPr>
            <w:r w:rsidRPr="00D31E18">
              <w:rPr>
                <w:rFonts w:eastAsia="Times New Roman" w:cstheme="minorHAnsi"/>
                <w:b/>
                <w:snapToGrid w:val="0"/>
                <w:sz w:val="24"/>
                <w:szCs w:val="24"/>
              </w:rPr>
              <w:t>Административен договор за безвъзмездна финансова помощ</w:t>
            </w:r>
          </w:p>
        </w:tc>
        <w:tc>
          <w:tcPr>
            <w:tcW w:w="6628" w:type="dxa"/>
            <w:shd w:val="clear" w:color="auto" w:fill="F3F3F3"/>
          </w:tcPr>
          <w:p w:rsidR="001172F3" w:rsidRPr="008E4D35" w:rsidRDefault="001172F3" w:rsidP="001172F3">
            <w:pPr>
              <w:spacing w:before="100" w:beforeAutospacing="1" w:after="100" w:afterAutospacing="1" w:line="240" w:lineRule="auto"/>
              <w:jc w:val="both"/>
              <w:rPr>
                <w:rFonts w:eastAsia="Times New Roman" w:cstheme="minorHAnsi"/>
                <w:snapToGrid w:val="0"/>
                <w:sz w:val="24"/>
                <w:szCs w:val="24"/>
              </w:rPr>
            </w:pPr>
            <w:r w:rsidRPr="00D31E18">
              <w:rPr>
                <w:rFonts w:eastAsia="Times New Roman" w:cstheme="minorHAnsi"/>
                <w:snapToGrid w:val="0"/>
                <w:sz w:val="24"/>
                <w:szCs w:val="24"/>
              </w:rPr>
              <w:t xml:space="preserve">Административен договор </w:t>
            </w:r>
            <w:r w:rsidRPr="00D31E18">
              <w:rPr>
                <w:rFonts w:eastAsia="Times New Roman" w:cstheme="minorHAnsi"/>
                <w:snapToGrid w:val="0"/>
                <w:sz w:val="24"/>
                <w:szCs w:val="24"/>
                <w:lang w:val="x-none"/>
              </w:rPr>
              <w:t xml:space="preserve">е изрично волеизявление на ръководителя на </w:t>
            </w:r>
            <w:r w:rsidRPr="00D31E18">
              <w:rPr>
                <w:rFonts w:eastAsia="Times New Roman" w:cstheme="minorHAnsi"/>
                <w:snapToGrid w:val="0"/>
                <w:sz w:val="24"/>
                <w:szCs w:val="24"/>
              </w:rPr>
              <w:t>У</w:t>
            </w:r>
            <w:proofErr w:type="spellStart"/>
            <w:r w:rsidRPr="00D31E18">
              <w:rPr>
                <w:rFonts w:eastAsia="Times New Roman" w:cstheme="minorHAnsi"/>
                <w:snapToGrid w:val="0"/>
                <w:sz w:val="24"/>
                <w:szCs w:val="24"/>
                <w:lang w:val="x-none"/>
              </w:rPr>
              <w:t>правляващия</w:t>
            </w:r>
            <w:proofErr w:type="spellEnd"/>
            <w:r w:rsidRPr="00D31E18">
              <w:rPr>
                <w:rFonts w:eastAsia="Times New Roman" w:cstheme="minorHAnsi"/>
                <w:snapToGrid w:val="0"/>
                <w:sz w:val="24"/>
                <w:szCs w:val="24"/>
                <w:lang w:val="x-none"/>
              </w:rPr>
              <w:t xml:space="preserve"> орган за предоставяне на финансова подкрепа със средства от ЕСИФ, по силата на което и със съгласието на бенефициента се създават за бенефициента права и задължения по изпълнението на одобрения проект. Административният договор се оформя в писмено споразумение между ръководителя на </w:t>
            </w:r>
            <w:r w:rsidRPr="00D31E18">
              <w:rPr>
                <w:rFonts w:eastAsia="Times New Roman" w:cstheme="minorHAnsi"/>
                <w:snapToGrid w:val="0"/>
                <w:sz w:val="24"/>
                <w:szCs w:val="24"/>
              </w:rPr>
              <w:t>У</w:t>
            </w:r>
            <w:proofErr w:type="spellStart"/>
            <w:r w:rsidRPr="00D31E18">
              <w:rPr>
                <w:rFonts w:eastAsia="Times New Roman" w:cstheme="minorHAnsi"/>
                <w:snapToGrid w:val="0"/>
                <w:sz w:val="24"/>
                <w:szCs w:val="24"/>
                <w:lang w:val="x-none"/>
              </w:rPr>
              <w:t>правляващия</w:t>
            </w:r>
            <w:proofErr w:type="spellEnd"/>
            <w:r w:rsidRPr="00D31E18">
              <w:rPr>
                <w:rFonts w:eastAsia="Times New Roman" w:cstheme="minorHAnsi"/>
                <w:snapToGrid w:val="0"/>
                <w:sz w:val="24"/>
                <w:szCs w:val="24"/>
                <w:lang w:val="x-none"/>
              </w:rPr>
              <w:t xml:space="preserve"> орган и бенефициента, заместващо издаването на административен акт.</w:t>
            </w:r>
          </w:p>
        </w:tc>
      </w:tr>
      <w:tr w:rsidR="001172F3" w:rsidRPr="008E4D35" w:rsidTr="0048471A">
        <w:tc>
          <w:tcPr>
            <w:tcW w:w="2660" w:type="dxa"/>
            <w:shd w:val="clear" w:color="auto" w:fill="E6E6E6"/>
          </w:tcPr>
          <w:p w:rsidR="001172F3" w:rsidRPr="008E4D35" w:rsidRDefault="001172F3" w:rsidP="001172F3">
            <w:pPr>
              <w:spacing w:before="100" w:beforeAutospacing="1" w:after="100" w:afterAutospacing="1" w:line="240" w:lineRule="auto"/>
              <w:rPr>
                <w:rFonts w:eastAsia="Times New Roman" w:cstheme="minorHAnsi"/>
                <w:b/>
                <w:snapToGrid w:val="0"/>
                <w:sz w:val="24"/>
                <w:szCs w:val="24"/>
              </w:rPr>
            </w:pPr>
            <w:r w:rsidRPr="00B54D6C">
              <w:rPr>
                <w:rFonts w:eastAsia="Times New Roman" w:cstheme="minorHAnsi"/>
                <w:b/>
                <w:snapToGrid w:val="0"/>
                <w:sz w:val="24"/>
                <w:szCs w:val="24"/>
              </w:rPr>
              <w:t>Безвъзмездна финансова помощ</w:t>
            </w:r>
          </w:p>
        </w:tc>
        <w:tc>
          <w:tcPr>
            <w:tcW w:w="6628" w:type="dxa"/>
            <w:shd w:val="clear" w:color="auto" w:fill="F3F3F3"/>
          </w:tcPr>
          <w:p w:rsidR="001172F3" w:rsidRPr="008E4D35" w:rsidRDefault="001172F3" w:rsidP="001172F3">
            <w:pPr>
              <w:spacing w:before="100" w:beforeAutospacing="1" w:after="100" w:afterAutospacing="1" w:line="240" w:lineRule="auto"/>
              <w:jc w:val="both"/>
              <w:rPr>
                <w:rFonts w:eastAsia="Times New Roman" w:cstheme="minorHAnsi"/>
                <w:snapToGrid w:val="0"/>
                <w:sz w:val="24"/>
                <w:szCs w:val="24"/>
              </w:rPr>
            </w:pPr>
            <w:r>
              <w:rPr>
                <w:rFonts w:eastAsia="Times New Roman" w:cstheme="minorHAnsi"/>
                <w:snapToGrid w:val="0"/>
                <w:sz w:val="24"/>
                <w:szCs w:val="24"/>
              </w:rPr>
              <w:t>С</w:t>
            </w:r>
            <w:r w:rsidRPr="008E4D35">
              <w:rPr>
                <w:rFonts w:eastAsia="Times New Roman" w:cstheme="minorHAnsi"/>
                <w:snapToGrid w:val="0"/>
                <w:sz w:val="24"/>
                <w:szCs w:val="24"/>
              </w:rPr>
              <w:t>редства, предоставени от ОП</w:t>
            </w:r>
            <w:r>
              <w:rPr>
                <w:rFonts w:eastAsia="Times New Roman" w:cstheme="minorHAnsi"/>
                <w:snapToGrid w:val="0"/>
                <w:sz w:val="24"/>
                <w:szCs w:val="24"/>
              </w:rPr>
              <w:t>ИК</w:t>
            </w:r>
            <w:r w:rsidRPr="008E4D35">
              <w:rPr>
                <w:rFonts w:eastAsia="Times New Roman" w:cstheme="minorHAnsi"/>
                <w:snapToGrid w:val="0"/>
                <w:sz w:val="24"/>
                <w:szCs w:val="24"/>
              </w:rPr>
              <w:t xml:space="preserve">, включително съответното национално </w:t>
            </w:r>
            <w:proofErr w:type="spellStart"/>
            <w:r w:rsidRPr="008E4D35">
              <w:rPr>
                <w:rFonts w:eastAsia="Times New Roman" w:cstheme="minorHAnsi"/>
                <w:snapToGrid w:val="0"/>
                <w:sz w:val="24"/>
                <w:szCs w:val="24"/>
              </w:rPr>
              <w:t>съфинансиране</w:t>
            </w:r>
            <w:proofErr w:type="spellEnd"/>
            <w:r w:rsidRPr="008E4D35">
              <w:rPr>
                <w:rFonts w:eastAsia="Times New Roman" w:cstheme="minorHAnsi"/>
                <w:snapToGrid w:val="0"/>
                <w:sz w:val="24"/>
                <w:szCs w:val="24"/>
              </w:rPr>
              <w:t>, с цел изпълнението на одобрен проект, насочен към постигане на определени резултати.</w:t>
            </w:r>
          </w:p>
        </w:tc>
      </w:tr>
      <w:tr w:rsidR="00F56BC0" w:rsidRPr="008E4D35" w:rsidTr="0048471A">
        <w:tc>
          <w:tcPr>
            <w:tcW w:w="2660" w:type="dxa"/>
            <w:shd w:val="clear" w:color="auto" w:fill="E6E6E6"/>
          </w:tcPr>
          <w:p w:rsidR="00F56BC0" w:rsidRPr="008E4D35" w:rsidRDefault="00F56BC0" w:rsidP="00021DCF">
            <w:pPr>
              <w:spacing w:before="100" w:beforeAutospacing="1" w:after="100" w:afterAutospacing="1" w:line="240" w:lineRule="auto"/>
              <w:rPr>
                <w:rFonts w:eastAsia="Times New Roman" w:cstheme="minorHAnsi"/>
                <w:b/>
                <w:snapToGrid w:val="0"/>
                <w:sz w:val="24"/>
                <w:szCs w:val="24"/>
              </w:rPr>
            </w:pPr>
            <w:r w:rsidRPr="008E4D35">
              <w:rPr>
                <w:rFonts w:eastAsia="Times New Roman" w:cstheme="minorHAnsi"/>
                <w:b/>
                <w:snapToGrid w:val="0"/>
                <w:sz w:val="24"/>
                <w:szCs w:val="24"/>
              </w:rPr>
              <w:t>Бенефициент на безвъзмездна финансова помощ</w:t>
            </w:r>
          </w:p>
        </w:tc>
        <w:tc>
          <w:tcPr>
            <w:tcW w:w="6628" w:type="dxa"/>
            <w:shd w:val="clear" w:color="auto" w:fill="F3F3F3"/>
          </w:tcPr>
          <w:p w:rsidR="00F56BC0" w:rsidRPr="008E4D35" w:rsidRDefault="00177AF4" w:rsidP="00B54D6C">
            <w:pPr>
              <w:spacing w:before="100" w:beforeAutospacing="1" w:after="100" w:afterAutospacing="1" w:line="240" w:lineRule="auto"/>
              <w:jc w:val="both"/>
              <w:rPr>
                <w:rFonts w:eastAsia="Times New Roman" w:cstheme="minorHAnsi"/>
                <w:snapToGrid w:val="0"/>
                <w:sz w:val="24"/>
                <w:szCs w:val="24"/>
              </w:rPr>
            </w:pPr>
            <w:r>
              <w:rPr>
                <w:rFonts w:eastAsia="Times New Roman" w:cstheme="minorHAnsi"/>
                <w:snapToGrid w:val="0"/>
                <w:sz w:val="24"/>
                <w:szCs w:val="24"/>
              </w:rPr>
              <w:t xml:space="preserve">Лицата, посочени в чл. 2, </w:t>
            </w:r>
            <w:proofErr w:type="spellStart"/>
            <w:r>
              <w:rPr>
                <w:rFonts w:eastAsia="Times New Roman" w:cstheme="minorHAnsi"/>
                <w:snapToGrid w:val="0"/>
                <w:sz w:val="24"/>
                <w:szCs w:val="24"/>
              </w:rPr>
              <w:t>пар</w:t>
            </w:r>
            <w:proofErr w:type="spellEnd"/>
            <w:r>
              <w:rPr>
                <w:rFonts w:eastAsia="Times New Roman" w:cstheme="minorHAnsi"/>
                <w:snapToGrid w:val="0"/>
                <w:sz w:val="24"/>
                <w:szCs w:val="24"/>
              </w:rPr>
              <w:t xml:space="preserve">. 10 от Регламент (ЕО) </w:t>
            </w:r>
            <w:r w:rsidR="000C6413" w:rsidRPr="000C6413">
              <w:rPr>
                <w:rFonts w:eastAsia="Times New Roman" w:cstheme="minorHAnsi"/>
                <w:snapToGrid w:val="0"/>
                <w:sz w:val="24"/>
                <w:szCs w:val="24"/>
              </w:rPr>
              <w:t xml:space="preserve">№ </w:t>
            </w:r>
            <w:r>
              <w:rPr>
                <w:rFonts w:eastAsia="Times New Roman" w:cstheme="minorHAnsi"/>
                <w:snapToGrid w:val="0"/>
                <w:sz w:val="24"/>
                <w:szCs w:val="24"/>
              </w:rPr>
              <w:t>1</w:t>
            </w:r>
            <w:r w:rsidR="00F56BC0" w:rsidRPr="008E4D35">
              <w:rPr>
                <w:rFonts w:eastAsia="Times New Roman" w:cstheme="minorHAnsi"/>
                <w:snapToGrid w:val="0"/>
                <w:sz w:val="24"/>
                <w:szCs w:val="24"/>
              </w:rPr>
              <w:t>3</w:t>
            </w:r>
            <w:r>
              <w:rPr>
                <w:rFonts w:eastAsia="Times New Roman" w:cstheme="minorHAnsi"/>
                <w:snapToGrid w:val="0"/>
                <w:sz w:val="24"/>
                <w:szCs w:val="24"/>
              </w:rPr>
              <w:t>03/2013</w:t>
            </w:r>
            <w:r w:rsidR="00B54D6C">
              <w:rPr>
                <w:rFonts w:eastAsia="Times New Roman" w:cstheme="minorHAnsi"/>
                <w:snapToGrid w:val="0"/>
                <w:sz w:val="24"/>
                <w:szCs w:val="24"/>
              </w:rPr>
              <w:t xml:space="preserve"> - </w:t>
            </w:r>
            <w:r w:rsidRPr="00177AF4">
              <w:rPr>
                <w:rFonts w:eastAsia="Times New Roman" w:cstheme="minorHAnsi"/>
                <w:snapToGrid w:val="0"/>
                <w:sz w:val="24"/>
                <w:szCs w:val="24"/>
              </w:rPr>
              <w:t>публична или частна организация, и — само за целите на Регламента за ЕЗФРСР и Регламента за ЕФМДР — физическо лице, които отговарят за започването или за започване</w:t>
            </w:r>
            <w:r w:rsidR="000C2A46">
              <w:rPr>
                <w:rFonts w:eastAsia="Times New Roman" w:cstheme="minorHAnsi"/>
                <w:snapToGrid w:val="0"/>
                <w:sz w:val="24"/>
                <w:szCs w:val="24"/>
              </w:rPr>
              <w:t>то и изпълнението на операции.</w:t>
            </w:r>
            <w:r w:rsidRPr="00177AF4">
              <w:rPr>
                <w:rFonts w:eastAsia="Times New Roman" w:cstheme="minorHAnsi"/>
                <w:snapToGrid w:val="0"/>
                <w:sz w:val="24"/>
                <w:szCs w:val="24"/>
              </w:rPr>
              <w:t xml:space="preserve"> </w:t>
            </w:r>
            <w:r w:rsidR="00F56BC0" w:rsidRPr="008E4D35">
              <w:rPr>
                <w:rFonts w:eastAsia="Times New Roman" w:cstheme="minorHAnsi"/>
                <w:snapToGrid w:val="0"/>
                <w:sz w:val="24"/>
                <w:szCs w:val="24"/>
              </w:rPr>
              <w:t xml:space="preserve">В рамките на схемите за помощ по член 107 от Договора за функционирането на Европейския съюз (предишен член 87 от Договора за създаване на ЕО),  бенефициентите са публични или частни предприятия, които изпълняват отделен проект и получават публична помощ. </w:t>
            </w:r>
          </w:p>
        </w:tc>
      </w:tr>
      <w:tr w:rsidR="006932EA" w:rsidRPr="008E4D35" w:rsidTr="0048471A">
        <w:tc>
          <w:tcPr>
            <w:tcW w:w="2660" w:type="dxa"/>
            <w:shd w:val="clear" w:color="auto" w:fill="E6E6E6"/>
          </w:tcPr>
          <w:p w:rsidR="006932EA" w:rsidRPr="009200B0" w:rsidRDefault="006932EA" w:rsidP="00F14642">
            <w:pPr>
              <w:spacing w:before="100" w:beforeAutospacing="1" w:after="100" w:afterAutospacing="1" w:line="240" w:lineRule="auto"/>
              <w:rPr>
                <w:rFonts w:eastAsia="Times New Roman" w:cstheme="minorHAnsi"/>
                <w:b/>
                <w:snapToGrid w:val="0"/>
                <w:sz w:val="24"/>
                <w:szCs w:val="24"/>
              </w:rPr>
            </w:pPr>
            <w:r>
              <w:rPr>
                <w:rFonts w:eastAsia="Times New Roman" w:cstheme="minorHAnsi"/>
                <w:b/>
                <w:snapToGrid w:val="0"/>
                <w:sz w:val="24"/>
                <w:szCs w:val="24"/>
              </w:rPr>
              <w:t>Горски продукт</w:t>
            </w:r>
          </w:p>
        </w:tc>
        <w:tc>
          <w:tcPr>
            <w:tcW w:w="6628" w:type="dxa"/>
            <w:shd w:val="clear" w:color="auto" w:fill="F3F3F3"/>
          </w:tcPr>
          <w:p w:rsidR="006932EA" w:rsidRDefault="006932EA" w:rsidP="00F14642">
            <w:pPr>
              <w:spacing w:line="240" w:lineRule="auto"/>
              <w:jc w:val="both"/>
              <w:rPr>
                <w:rFonts w:eastAsia="Times New Roman" w:cstheme="minorHAnsi"/>
                <w:snapToGrid w:val="0"/>
                <w:sz w:val="24"/>
                <w:szCs w:val="24"/>
              </w:rPr>
            </w:pPr>
            <w:r>
              <w:rPr>
                <w:rFonts w:eastAsia="Times New Roman" w:cstheme="minorHAnsi"/>
                <w:snapToGrid w:val="0"/>
                <w:sz w:val="24"/>
                <w:szCs w:val="24"/>
              </w:rPr>
              <w:t>Дървесина и недървесни горски продукти. „</w:t>
            </w:r>
            <w:r w:rsidRPr="0003699C">
              <w:rPr>
                <w:rFonts w:eastAsia="Times New Roman" w:cstheme="minorHAnsi"/>
                <w:snapToGrid w:val="0"/>
                <w:sz w:val="24"/>
                <w:szCs w:val="24"/>
              </w:rPr>
              <w:t xml:space="preserve">Недървесни горски продукти" са смола, борина, сено, кори, лико, семена, гъби, лечебни и ароматни растения или части от тях, лишеи, мъхове, горски плодове, зеленина, коледни елхи, </w:t>
            </w:r>
            <w:proofErr w:type="spellStart"/>
            <w:r w:rsidRPr="0003699C">
              <w:rPr>
                <w:rFonts w:eastAsia="Times New Roman" w:cstheme="minorHAnsi"/>
                <w:snapToGrid w:val="0"/>
                <w:sz w:val="24"/>
                <w:szCs w:val="24"/>
              </w:rPr>
              <w:t>листников</w:t>
            </w:r>
            <w:proofErr w:type="spellEnd"/>
            <w:r w:rsidRPr="0003699C">
              <w:rPr>
                <w:rFonts w:eastAsia="Times New Roman" w:cstheme="minorHAnsi"/>
                <w:snapToGrid w:val="0"/>
                <w:sz w:val="24"/>
                <w:szCs w:val="24"/>
              </w:rPr>
              <w:t xml:space="preserve"> фураж, животни, които не са дивеч</w:t>
            </w:r>
            <w:r>
              <w:rPr>
                <w:rFonts w:eastAsia="Times New Roman" w:cstheme="minorHAnsi"/>
                <w:snapToGrid w:val="0"/>
                <w:sz w:val="24"/>
                <w:szCs w:val="24"/>
              </w:rPr>
              <w:t>.</w:t>
            </w:r>
          </w:p>
          <w:p w:rsidR="006932EA" w:rsidRPr="00E42994" w:rsidRDefault="006932EA" w:rsidP="00F14642">
            <w:pPr>
              <w:spacing w:after="240"/>
              <w:rPr>
                <w:rFonts w:eastAsia="Times New Roman" w:cstheme="minorHAnsi"/>
                <w:snapToGrid w:val="0"/>
                <w:sz w:val="24"/>
                <w:szCs w:val="24"/>
              </w:rPr>
            </w:pPr>
            <w:r w:rsidRPr="00E42994">
              <w:rPr>
                <w:rFonts w:eastAsia="Times New Roman" w:cstheme="minorHAnsi"/>
                <w:snapToGrid w:val="0"/>
                <w:sz w:val="24"/>
                <w:szCs w:val="24"/>
              </w:rPr>
              <w:t xml:space="preserve">Дефиницията включва и продукти от следните производства </w:t>
            </w:r>
            <w:r w:rsidRPr="00E42994">
              <w:rPr>
                <w:rFonts w:eastAsia="Times New Roman" w:cstheme="minorHAnsi"/>
                <w:snapToGrid w:val="0"/>
                <w:sz w:val="24"/>
                <w:szCs w:val="24"/>
              </w:rPr>
              <w:lastRenderedPageBreak/>
              <w:t xml:space="preserve">преди индустриалната преработка на дървесината </w:t>
            </w:r>
          </w:p>
          <w:p w:rsidR="006932EA" w:rsidRPr="00E42994" w:rsidRDefault="006932EA" w:rsidP="0048471A">
            <w:pPr>
              <w:numPr>
                <w:ilvl w:val="0"/>
                <w:numId w:val="2"/>
              </w:numPr>
              <w:spacing w:before="240" w:after="0" w:line="240" w:lineRule="auto"/>
              <w:ind w:left="317" w:hanging="317"/>
              <w:jc w:val="both"/>
              <w:rPr>
                <w:rFonts w:eastAsia="Times New Roman" w:cstheme="minorHAnsi"/>
                <w:snapToGrid w:val="0"/>
                <w:sz w:val="24"/>
                <w:szCs w:val="24"/>
              </w:rPr>
            </w:pPr>
            <w:r w:rsidRPr="00E42994">
              <w:rPr>
                <w:rFonts w:eastAsia="Times New Roman" w:cstheme="minorHAnsi"/>
                <w:snapToGrid w:val="0"/>
                <w:sz w:val="24"/>
                <w:szCs w:val="24"/>
              </w:rPr>
              <w:t xml:space="preserve">Машинно обработване на дървен материал чрез бичене, </w:t>
            </w:r>
            <w:proofErr w:type="spellStart"/>
            <w:r w:rsidRPr="00E42994">
              <w:rPr>
                <w:rFonts w:eastAsia="Times New Roman" w:cstheme="minorHAnsi"/>
                <w:snapToGrid w:val="0"/>
                <w:sz w:val="24"/>
                <w:szCs w:val="24"/>
              </w:rPr>
              <w:t>фрезоване</w:t>
            </w:r>
            <w:proofErr w:type="spellEnd"/>
            <w:r w:rsidRPr="00E42994">
              <w:rPr>
                <w:rFonts w:eastAsia="Times New Roman" w:cstheme="minorHAnsi"/>
                <w:snapToGrid w:val="0"/>
                <w:sz w:val="24"/>
                <w:szCs w:val="24"/>
              </w:rPr>
              <w:t xml:space="preserve">, комбинирано или рязане или развиване; </w:t>
            </w:r>
          </w:p>
          <w:p w:rsidR="006932EA" w:rsidRPr="00E42994" w:rsidRDefault="006932EA" w:rsidP="0048471A">
            <w:pPr>
              <w:numPr>
                <w:ilvl w:val="0"/>
                <w:numId w:val="2"/>
              </w:numPr>
              <w:spacing w:after="0" w:line="240" w:lineRule="auto"/>
              <w:ind w:left="317" w:hanging="317"/>
              <w:jc w:val="both"/>
              <w:rPr>
                <w:rFonts w:eastAsia="Times New Roman" w:cstheme="minorHAnsi"/>
                <w:snapToGrid w:val="0"/>
                <w:sz w:val="24"/>
                <w:szCs w:val="24"/>
              </w:rPr>
            </w:pPr>
            <w:r w:rsidRPr="00E42994">
              <w:rPr>
                <w:rFonts w:eastAsia="Times New Roman" w:cstheme="minorHAnsi"/>
                <w:snapToGrid w:val="0"/>
                <w:sz w:val="24"/>
                <w:szCs w:val="24"/>
              </w:rPr>
              <w:t xml:space="preserve">Нарязване, сортиране, рендосване, профилиране, </w:t>
            </w:r>
            <w:proofErr w:type="spellStart"/>
            <w:r w:rsidRPr="00E42994">
              <w:rPr>
                <w:rFonts w:eastAsia="Times New Roman" w:cstheme="minorHAnsi"/>
                <w:snapToGrid w:val="0"/>
                <w:sz w:val="24"/>
                <w:szCs w:val="24"/>
              </w:rPr>
              <w:t>окрайчване</w:t>
            </w:r>
            <w:proofErr w:type="spellEnd"/>
            <w:r w:rsidRPr="00E42994">
              <w:rPr>
                <w:rFonts w:eastAsia="Times New Roman" w:cstheme="minorHAnsi"/>
                <w:snapToGrid w:val="0"/>
                <w:sz w:val="24"/>
                <w:szCs w:val="24"/>
              </w:rPr>
              <w:t xml:space="preserve">, фасониране и шлайфане; </w:t>
            </w:r>
          </w:p>
          <w:p w:rsidR="006932EA" w:rsidRPr="00E42994" w:rsidRDefault="006932EA" w:rsidP="0048471A">
            <w:pPr>
              <w:numPr>
                <w:ilvl w:val="0"/>
                <w:numId w:val="2"/>
              </w:numPr>
              <w:spacing w:after="0" w:line="240" w:lineRule="auto"/>
              <w:ind w:left="317" w:hanging="317"/>
              <w:jc w:val="both"/>
              <w:rPr>
                <w:rFonts w:eastAsia="Times New Roman" w:cstheme="minorHAnsi"/>
                <w:snapToGrid w:val="0"/>
                <w:sz w:val="24"/>
                <w:szCs w:val="24"/>
              </w:rPr>
            </w:pPr>
            <w:r w:rsidRPr="00E42994">
              <w:rPr>
                <w:rFonts w:eastAsia="Times New Roman" w:cstheme="minorHAnsi"/>
                <w:snapToGrid w:val="0"/>
                <w:sz w:val="24"/>
                <w:szCs w:val="24"/>
              </w:rPr>
              <w:t xml:space="preserve">Сушене и импрегниране на дървен материал; </w:t>
            </w:r>
          </w:p>
          <w:p w:rsidR="006932EA" w:rsidRPr="00E42994" w:rsidRDefault="006932EA" w:rsidP="0048471A">
            <w:pPr>
              <w:numPr>
                <w:ilvl w:val="0"/>
                <w:numId w:val="2"/>
              </w:numPr>
              <w:spacing w:after="0" w:line="240" w:lineRule="auto"/>
              <w:ind w:left="317" w:hanging="317"/>
              <w:jc w:val="both"/>
              <w:rPr>
                <w:rFonts w:eastAsia="Times New Roman" w:cstheme="minorHAnsi"/>
                <w:snapToGrid w:val="0"/>
                <w:sz w:val="24"/>
                <w:szCs w:val="24"/>
              </w:rPr>
            </w:pPr>
            <w:r w:rsidRPr="00E42994">
              <w:rPr>
                <w:rFonts w:eastAsia="Times New Roman" w:cstheme="minorHAnsi"/>
                <w:snapToGrid w:val="0"/>
                <w:sz w:val="24"/>
                <w:szCs w:val="24"/>
              </w:rPr>
              <w:t>Производство</w:t>
            </w:r>
            <w:r w:rsidRPr="00E42994">
              <w:rPr>
                <w:rFonts w:ascii="Calibri" w:eastAsia="Times New Roman" w:hAnsi="Calibri" w:cs="Calibri"/>
                <w:i/>
                <w:iCs/>
              </w:rPr>
              <w:t xml:space="preserve"> </w:t>
            </w:r>
            <w:r w:rsidRPr="00E42994">
              <w:rPr>
                <w:rFonts w:eastAsia="Times New Roman" w:cstheme="minorHAnsi"/>
                <w:snapToGrid w:val="0"/>
                <w:sz w:val="24"/>
                <w:szCs w:val="24"/>
              </w:rPr>
              <w:t xml:space="preserve">на дървесен талаш, дървесно брашно, технологични трески, дървесни </w:t>
            </w:r>
            <w:proofErr w:type="spellStart"/>
            <w:r w:rsidRPr="00E42994">
              <w:rPr>
                <w:rFonts w:eastAsia="Times New Roman" w:cstheme="minorHAnsi"/>
                <w:snapToGrid w:val="0"/>
                <w:sz w:val="24"/>
                <w:szCs w:val="24"/>
              </w:rPr>
              <w:t>пелети</w:t>
            </w:r>
            <w:proofErr w:type="spellEnd"/>
            <w:r w:rsidRPr="00E42994">
              <w:rPr>
                <w:rFonts w:eastAsia="Times New Roman" w:cstheme="minorHAnsi"/>
                <w:snapToGrid w:val="0"/>
                <w:sz w:val="24"/>
                <w:szCs w:val="24"/>
              </w:rPr>
              <w:t xml:space="preserve"> и брикети от необработени дървени материали, вършина и други дървесни отпадъци; </w:t>
            </w:r>
          </w:p>
          <w:p w:rsidR="006932EA" w:rsidRPr="00E42994" w:rsidRDefault="006932EA" w:rsidP="0048471A">
            <w:pPr>
              <w:numPr>
                <w:ilvl w:val="0"/>
                <w:numId w:val="2"/>
              </w:numPr>
              <w:spacing w:after="0" w:line="240" w:lineRule="auto"/>
              <w:ind w:left="317" w:hanging="317"/>
              <w:jc w:val="both"/>
              <w:rPr>
                <w:rFonts w:eastAsia="Times New Roman" w:cstheme="minorHAnsi"/>
                <w:snapToGrid w:val="0"/>
                <w:sz w:val="24"/>
                <w:szCs w:val="24"/>
              </w:rPr>
            </w:pPr>
            <w:r w:rsidRPr="00E42994">
              <w:rPr>
                <w:rFonts w:eastAsia="Times New Roman" w:cstheme="minorHAnsi"/>
                <w:snapToGrid w:val="0"/>
                <w:sz w:val="24"/>
                <w:szCs w:val="24"/>
              </w:rPr>
              <w:t xml:space="preserve">Производство на колове или колчета: белене, цепене, заостряне, пакетиране; </w:t>
            </w:r>
          </w:p>
          <w:p w:rsidR="006932EA" w:rsidRPr="00880021" w:rsidRDefault="006932EA" w:rsidP="0048471A">
            <w:pPr>
              <w:numPr>
                <w:ilvl w:val="0"/>
                <w:numId w:val="2"/>
              </w:numPr>
              <w:spacing w:after="0" w:line="240" w:lineRule="auto"/>
              <w:ind w:left="317" w:hanging="317"/>
              <w:jc w:val="both"/>
              <w:rPr>
                <w:rFonts w:eastAsia="Times New Roman" w:cstheme="minorHAnsi"/>
                <w:snapToGrid w:val="0"/>
                <w:sz w:val="24"/>
                <w:szCs w:val="24"/>
                <w:lang w:val="en-US"/>
              </w:rPr>
            </w:pPr>
            <w:r w:rsidRPr="00E42994">
              <w:rPr>
                <w:rFonts w:eastAsia="Times New Roman" w:cstheme="minorHAnsi"/>
                <w:snapToGrid w:val="0"/>
                <w:sz w:val="24"/>
                <w:szCs w:val="24"/>
              </w:rPr>
              <w:t>Производство на дърва за горене: рязане, цепене</w:t>
            </w:r>
            <w:r w:rsidRPr="00E42994">
              <w:rPr>
                <w:rFonts w:ascii="Calibri" w:eastAsia="Times New Roman" w:hAnsi="Calibri" w:cs="Calibri"/>
                <w:i/>
                <w:iCs/>
              </w:rPr>
              <w:t xml:space="preserve">, </w:t>
            </w:r>
            <w:r w:rsidRPr="00E42994">
              <w:rPr>
                <w:rFonts w:eastAsia="Times New Roman" w:cstheme="minorHAnsi"/>
                <w:snapToGrid w:val="0"/>
                <w:sz w:val="24"/>
                <w:szCs w:val="24"/>
              </w:rPr>
              <w:t>пакетиране;</w:t>
            </w:r>
          </w:p>
        </w:tc>
      </w:tr>
      <w:tr w:rsidR="00655AB9" w:rsidRPr="008E4D35" w:rsidTr="0048471A">
        <w:tc>
          <w:tcPr>
            <w:tcW w:w="2660" w:type="dxa"/>
            <w:shd w:val="clear" w:color="auto" w:fill="E6E6E6"/>
          </w:tcPr>
          <w:p w:rsidR="00655AB9" w:rsidRPr="008E4D35" w:rsidRDefault="00655AB9" w:rsidP="00021DCF">
            <w:pPr>
              <w:spacing w:before="100" w:beforeAutospacing="1" w:after="100" w:afterAutospacing="1" w:line="240" w:lineRule="auto"/>
              <w:rPr>
                <w:rFonts w:eastAsia="Times New Roman" w:cstheme="minorHAnsi"/>
                <w:b/>
                <w:snapToGrid w:val="0"/>
                <w:sz w:val="24"/>
                <w:szCs w:val="24"/>
              </w:rPr>
            </w:pPr>
            <w:r>
              <w:rPr>
                <w:rFonts w:eastAsia="Times New Roman" w:cstheme="minorHAnsi"/>
                <w:b/>
                <w:snapToGrid w:val="0"/>
                <w:sz w:val="24"/>
                <w:szCs w:val="24"/>
              </w:rPr>
              <w:lastRenderedPageBreak/>
              <w:t>Група предприятия</w:t>
            </w:r>
          </w:p>
        </w:tc>
        <w:tc>
          <w:tcPr>
            <w:tcW w:w="6628" w:type="dxa"/>
            <w:shd w:val="clear" w:color="auto" w:fill="F3F3F3"/>
          </w:tcPr>
          <w:p w:rsidR="00655AB9" w:rsidRDefault="00655AB9" w:rsidP="00655AB9">
            <w:pPr>
              <w:spacing w:before="100" w:beforeAutospacing="1" w:after="100" w:afterAutospacing="1" w:line="240" w:lineRule="auto"/>
              <w:jc w:val="both"/>
              <w:rPr>
                <w:rFonts w:eastAsia="Times New Roman" w:cstheme="minorHAnsi"/>
                <w:snapToGrid w:val="0"/>
                <w:sz w:val="24"/>
                <w:szCs w:val="24"/>
              </w:rPr>
            </w:pPr>
            <w:r>
              <w:rPr>
                <w:rFonts w:eastAsia="Times New Roman" w:cstheme="minorHAnsi"/>
                <w:snapToGrid w:val="0"/>
                <w:sz w:val="24"/>
                <w:szCs w:val="24"/>
              </w:rPr>
              <w:t>„Г</w:t>
            </w:r>
            <w:r w:rsidRPr="00655AB9">
              <w:rPr>
                <w:rFonts w:eastAsia="Times New Roman" w:cstheme="minorHAnsi"/>
                <w:snapToGrid w:val="0"/>
                <w:sz w:val="24"/>
                <w:szCs w:val="24"/>
              </w:rPr>
              <w:t>рупа" означава предприятие майка и всички не</w:t>
            </w:r>
            <w:r>
              <w:rPr>
                <w:rFonts w:eastAsia="Times New Roman" w:cstheme="minorHAnsi"/>
                <w:snapToGrid w:val="0"/>
                <w:sz w:val="24"/>
                <w:szCs w:val="24"/>
              </w:rPr>
              <w:t xml:space="preserve">гови дъщерни предприятия, като: </w:t>
            </w:r>
            <w:r w:rsidRPr="00655AB9">
              <w:rPr>
                <w:rFonts w:eastAsia="Times New Roman" w:cstheme="minorHAnsi"/>
                <w:snapToGrid w:val="0"/>
                <w:sz w:val="24"/>
                <w:szCs w:val="24"/>
              </w:rPr>
              <w:t>"предприятие майка" означава предприятие, което контролира едно или повече дъщерни предприятия и съответно „дъщерно предприятие" означава предприятие, което се контролира от предприятие майка, включително дъщерно предприятие на крайно предприятие майка</w:t>
            </w:r>
            <w:r>
              <w:rPr>
                <w:rFonts w:eastAsia="Times New Roman" w:cstheme="minorHAnsi"/>
                <w:snapToGrid w:val="0"/>
                <w:sz w:val="24"/>
                <w:szCs w:val="24"/>
              </w:rPr>
              <w:t>.</w:t>
            </w:r>
          </w:p>
        </w:tc>
      </w:tr>
      <w:tr w:rsidR="0019069B" w:rsidRPr="008E4D35" w:rsidTr="0048471A">
        <w:tc>
          <w:tcPr>
            <w:tcW w:w="2660" w:type="dxa"/>
            <w:shd w:val="clear" w:color="auto" w:fill="E6E6E6"/>
          </w:tcPr>
          <w:p w:rsidR="0019069B" w:rsidRPr="008E4D35" w:rsidRDefault="0019069B" w:rsidP="00F14642">
            <w:pPr>
              <w:spacing w:before="100" w:beforeAutospacing="1" w:after="100" w:afterAutospacing="1" w:line="240" w:lineRule="auto"/>
              <w:rPr>
                <w:rFonts w:eastAsia="Times New Roman" w:cstheme="minorHAnsi"/>
                <w:b/>
                <w:snapToGrid w:val="0"/>
                <w:sz w:val="24"/>
                <w:szCs w:val="24"/>
              </w:rPr>
            </w:pPr>
            <w:r w:rsidRPr="009944A0">
              <w:rPr>
                <w:rFonts w:eastAsia="Times New Roman" w:cstheme="minorHAnsi"/>
                <w:b/>
                <w:snapToGrid w:val="0"/>
                <w:sz w:val="24"/>
                <w:szCs w:val="24"/>
              </w:rPr>
              <w:t>Дата на започване на работата</w:t>
            </w:r>
          </w:p>
        </w:tc>
        <w:tc>
          <w:tcPr>
            <w:tcW w:w="6628" w:type="dxa"/>
            <w:shd w:val="clear" w:color="auto" w:fill="F3F3F3"/>
          </w:tcPr>
          <w:p w:rsidR="0019069B" w:rsidRPr="008E4D35" w:rsidRDefault="009944A0" w:rsidP="00F14642">
            <w:pPr>
              <w:spacing w:before="100" w:beforeAutospacing="1" w:after="100" w:afterAutospacing="1" w:line="240" w:lineRule="auto"/>
              <w:jc w:val="both"/>
              <w:rPr>
                <w:rFonts w:eastAsia="Times New Roman" w:cstheme="minorHAnsi"/>
                <w:snapToGrid w:val="0"/>
                <w:sz w:val="24"/>
                <w:szCs w:val="24"/>
              </w:rPr>
            </w:pPr>
            <w:r>
              <w:rPr>
                <w:rFonts w:eastAsia="Times New Roman" w:cstheme="minorHAnsi"/>
                <w:snapToGrid w:val="0"/>
                <w:sz w:val="24"/>
                <w:szCs w:val="24"/>
              </w:rPr>
              <w:t>О</w:t>
            </w:r>
            <w:r w:rsidRPr="009944A0">
              <w:rPr>
                <w:rFonts w:eastAsia="Times New Roman" w:cstheme="minorHAnsi"/>
                <w:snapToGrid w:val="0"/>
                <w:sz w:val="24"/>
                <w:szCs w:val="24"/>
              </w:rPr>
              <w:t xml:space="preserve">значава първото от следните събития: започване на строителните работи, свързани с инвестицията, или поемане на първия </w:t>
            </w:r>
            <w:proofErr w:type="spellStart"/>
            <w:r w:rsidRPr="009944A0">
              <w:rPr>
                <w:rFonts w:eastAsia="Times New Roman" w:cstheme="minorHAnsi"/>
                <w:snapToGrid w:val="0"/>
                <w:sz w:val="24"/>
                <w:szCs w:val="24"/>
              </w:rPr>
              <w:t>правнообвързващ</w:t>
            </w:r>
            <w:proofErr w:type="spellEnd"/>
            <w:r w:rsidRPr="009944A0">
              <w:rPr>
                <w:rFonts w:eastAsia="Times New Roman" w:cstheme="minorHAnsi"/>
                <w:snapToGrid w:val="0"/>
                <w:sz w:val="24"/>
                <w:szCs w:val="24"/>
              </w:rPr>
              <w:t xml:space="preserve"> ангажимент за поръчка на оборудване или всеки друг ангажимент, който прави инвестицията необратима. Купуването на земя и подготвителните дейности като получаването на разрешителни и провеждането на проучвания на осъществимостта не се считат за започване на работите по проекта. При поглъщания на предприятия „започване на работите по проекта“ означава момента на придобиване на активите, пряко свързани с придобития стопански обект.</w:t>
            </w:r>
          </w:p>
        </w:tc>
      </w:tr>
      <w:tr w:rsidR="0019069B" w:rsidRPr="008E4D35" w:rsidTr="0048471A">
        <w:tc>
          <w:tcPr>
            <w:tcW w:w="2660" w:type="dxa"/>
            <w:shd w:val="clear" w:color="auto" w:fill="E6E6E6"/>
          </w:tcPr>
          <w:p w:rsidR="0019069B" w:rsidRPr="008E4D35" w:rsidRDefault="0019069B" w:rsidP="00F14642">
            <w:pPr>
              <w:spacing w:before="100" w:beforeAutospacing="1" w:after="100" w:afterAutospacing="1" w:line="240" w:lineRule="auto"/>
              <w:rPr>
                <w:rFonts w:eastAsia="Times New Roman" w:cstheme="minorHAnsi"/>
                <w:b/>
                <w:snapToGrid w:val="0"/>
                <w:sz w:val="24"/>
                <w:szCs w:val="24"/>
              </w:rPr>
            </w:pPr>
            <w:r w:rsidRPr="008E4D35">
              <w:rPr>
                <w:rFonts w:eastAsia="Times New Roman" w:cstheme="minorHAnsi"/>
                <w:b/>
                <w:snapToGrid w:val="0"/>
                <w:sz w:val="24"/>
                <w:szCs w:val="24"/>
              </w:rPr>
              <w:t>Дейност</w:t>
            </w:r>
          </w:p>
        </w:tc>
        <w:tc>
          <w:tcPr>
            <w:tcW w:w="6628" w:type="dxa"/>
            <w:shd w:val="clear" w:color="auto" w:fill="F3F3F3"/>
          </w:tcPr>
          <w:p w:rsidR="0019069B" w:rsidRPr="008E4D35" w:rsidRDefault="0019069B" w:rsidP="00F14642">
            <w:pPr>
              <w:spacing w:before="100" w:beforeAutospacing="1" w:after="100" w:afterAutospacing="1" w:line="240" w:lineRule="auto"/>
              <w:jc w:val="both"/>
              <w:rPr>
                <w:rFonts w:eastAsia="Times New Roman" w:cstheme="minorHAnsi"/>
                <w:snapToGrid w:val="0"/>
                <w:sz w:val="24"/>
                <w:szCs w:val="24"/>
              </w:rPr>
            </w:pPr>
            <w:r w:rsidRPr="008E4D35">
              <w:rPr>
                <w:rFonts w:eastAsia="Times New Roman" w:cstheme="minorHAnsi"/>
                <w:snapToGrid w:val="0"/>
                <w:sz w:val="24"/>
                <w:szCs w:val="24"/>
              </w:rPr>
              <w:t>Задача или група от задачи (действие или група от действия), които имат (водят до постигане на) конкретен резултат (</w:t>
            </w:r>
            <w:proofErr w:type="spellStart"/>
            <w:r w:rsidRPr="008E4D35">
              <w:rPr>
                <w:rFonts w:eastAsia="Times New Roman" w:cstheme="minorHAnsi"/>
                <w:snapToGrid w:val="0"/>
                <w:sz w:val="24"/>
                <w:szCs w:val="24"/>
              </w:rPr>
              <w:t>резултат</w:t>
            </w:r>
            <w:proofErr w:type="spellEnd"/>
            <w:r w:rsidRPr="008E4D35">
              <w:rPr>
                <w:rFonts w:eastAsia="Times New Roman" w:cstheme="minorHAnsi"/>
                <w:snapToGrid w:val="0"/>
                <w:sz w:val="24"/>
                <w:szCs w:val="24"/>
              </w:rPr>
              <w:t>/продукт) и чрез които се реализира изпълнението на съответния проект.</w:t>
            </w:r>
          </w:p>
        </w:tc>
      </w:tr>
      <w:tr w:rsidR="00301649" w:rsidRPr="008E4D35" w:rsidTr="0048471A">
        <w:tc>
          <w:tcPr>
            <w:tcW w:w="2660" w:type="dxa"/>
            <w:shd w:val="clear" w:color="auto" w:fill="E6E6E6"/>
          </w:tcPr>
          <w:p w:rsidR="00301649" w:rsidRPr="008E4D35" w:rsidRDefault="00301649" w:rsidP="001172F3">
            <w:pPr>
              <w:spacing w:before="100" w:beforeAutospacing="1" w:after="100" w:afterAutospacing="1" w:line="240" w:lineRule="auto"/>
              <w:rPr>
                <w:rFonts w:eastAsia="Times New Roman" w:cstheme="minorHAnsi"/>
                <w:b/>
                <w:snapToGrid w:val="0"/>
                <w:sz w:val="24"/>
                <w:szCs w:val="24"/>
              </w:rPr>
            </w:pPr>
            <w:r>
              <w:rPr>
                <w:rFonts w:eastAsia="Times New Roman" w:cstheme="minorHAnsi"/>
                <w:b/>
                <w:snapToGrid w:val="0"/>
                <w:sz w:val="24"/>
                <w:szCs w:val="24"/>
              </w:rPr>
              <w:t>Е</w:t>
            </w:r>
            <w:r w:rsidRPr="004A221D">
              <w:rPr>
                <w:rFonts w:eastAsia="Times New Roman" w:cstheme="minorHAnsi"/>
                <w:b/>
                <w:snapToGrid w:val="0"/>
                <w:sz w:val="24"/>
                <w:szCs w:val="24"/>
              </w:rPr>
              <w:t>дно и също предприятие</w:t>
            </w:r>
          </w:p>
        </w:tc>
        <w:tc>
          <w:tcPr>
            <w:tcW w:w="6628" w:type="dxa"/>
            <w:shd w:val="clear" w:color="auto" w:fill="F3F3F3"/>
          </w:tcPr>
          <w:p w:rsidR="00301649" w:rsidRPr="004A221D" w:rsidRDefault="00301649" w:rsidP="001172F3">
            <w:pPr>
              <w:spacing w:before="60" w:after="60" w:line="240" w:lineRule="auto"/>
              <w:jc w:val="both"/>
              <w:rPr>
                <w:rFonts w:eastAsia="Times New Roman" w:cstheme="minorHAnsi"/>
                <w:snapToGrid w:val="0"/>
                <w:sz w:val="24"/>
                <w:szCs w:val="24"/>
              </w:rPr>
            </w:pPr>
            <w:r>
              <w:rPr>
                <w:rFonts w:ascii="Calibri" w:eastAsia="Calibri" w:hAnsi="Calibri" w:cs="Times New Roman"/>
                <w:bCs/>
                <w:sz w:val="24"/>
                <w:szCs w:val="24"/>
              </w:rPr>
              <w:t xml:space="preserve">Съгласно </w:t>
            </w:r>
            <w:r w:rsidRPr="00954573">
              <w:rPr>
                <w:rFonts w:ascii="Calibri" w:eastAsia="Calibri" w:hAnsi="Calibri" w:cs="Times New Roman"/>
                <w:bCs/>
                <w:sz w:val="24"/>
                <w:szCs w:val="24"/>
              </w:rPr>
              <w:t xml:space="preserve">чл. 2, </w:t>
            </w:r>
            <w:proofErr w:type="spellStart"/>
            <w:r w:rsidRPr="00954573">
              <w:rPr>
                <w:rFonts w:ascii="Calibri" w:eastAsia="Calibri" w:hAnsi="Calibri" w:cs="Times New Roman"/>
                <w:bCs/>
                <w:sz w:val="24"/>
                <w:szCs w:val="24"/>
              </w:rPr>
              <w:t>пар</w:t>
            </w:r>
            <w:proofErr w:type="spellEnd"/>
            <w:r w:rsidRPr="00954573">
              <w:rPr>
                <w:rFonts w:ascii="Calibri" w:eastAsia="Calibri" w:hAnsi="Calibri" w:cs="Times New Roman"/>
                <w:bCs/>
                <w:sz w:val="24"/>
                <w:szCs w:val="24"/>
              </w:rPr>
              <w:t>. 2 на Регламент (ЕС) № 1407/2013</w:t>
            </w:r>
            <w:r>
              <w:rPr>
                <w:rFonts w:ascii="Calibri" w:eastAsia="Calibri" w:hAnsi="Calibri" w:cs="Times New Roman"/>
                <w:bCs/>
                <w:sz w:val="24"/>
                <w:szCs w:val="24"/>
              </w:rPr>
              <w:t xml:space="preserve"> </w:t>
            </w:r>
            <w:r>
              <w:rPr>
                <w:rFonts w:eastAsia="Times New Roman" w:cstheme="minorHAnsi"/>
                <w:snapToGrid w:val="0"/>
                <w:sz w:val="24"/>
                <w:szCs w:val="24"/>
              </w:rPr>
              <w:t xml:space="preserve">„едно и също предприятие“ </w:t>
            </w:r>
            <w:r w:rsidRPr="004A221D">
              <w:rPr>
                <w:rFonts w:eastAsia="Times New Roman" w:cstheme="minorHAnsi"/>
                <w:snapToGrid w:val="0"/>
                <w:sz w:val="24"/>
                <w:szCs w:val="24"/>
              </w:rPr>
              <w:t xml:space="preserve">означава всички предприятия, които поддържат помежду си поне един вид от следните взаимоотношения: </w:t>
            </w:r>
          </w:p>
          <w:p w:rsidR="00301649" w:rsidRPr="004A221D" w:rsidRDefault="00301649" w:rsidP="001172F3">
            <w:pPr>
              <w:spacing w:before="60" w:after="60" w:line="240" w:lineRule="auto"/>
              <w:jc w:val="both"/>
              <w:rPr>
                <w:rFonts w:eastAsia="Times New Roman" w:cstheme="minorHAnsi"/>
                <w:snapToGrid w:val="0"/>
                <w:sz w:val="24"/>
                <w:szCs w:val="24"/>
              </w:rPr>
            </w:pPr>
            <w:r w:rsidRPr="004A221D">
              <w:rPr>
                <w:rFonts w:eastAsia="Times New Roman" w:cstheme="minorHAnsi"/>
                <w:snapToGrid w:val="0"/>
                <w:sz w:val="24"/>
                <w:szCs w:val="24"/>
              </w:rPr>
              <w:t xml:space="preserve">а) дадено предприятие притежава мнозинството от гласовете </w:t>
            </w:r>
            <w:r w:rsidRPr="004A221D">
              <w:rPr>
                <w:rFonts w:eastAsia="Times New Roman" w:cstheme="minorHAnsi"/>
                <w:snapToGrid w:val="0"/>
                <w:sz w:val="24"/>
                <w:szCs w:val="24"/>
              </w:rPr>
              <w:lastRenderedPageBreak/>
              <w:t xml:space="preserve">на акционерите или </w:t>
            </w:r>
            <w:proofErr w:type="spellStart"/>
            <w:r w:rsidRPr="004A221D">
              <w:rPr>
                <w:rFonts w:eastAsia="Times New Roman" w:cstheme="minorHAnsi"/>
                <w:snapToGrid w:val="0"/>
                <w:sz w:val="24"/>
                <w:szCs w:val="24"/>
              </w:rPr>
              <w:t>съдружниците</w:t>
            </w:r>
            <w:proofErr w:type="spellEnd"/>
            <w:r w:rsidRPr="004A221D">
              <w:rPr>
                <w:rFonts w:eastAsia="Times New Roman" w:cstheme="minorHAnsi"/>
                <w:snapToGrid w:val="0"/>
                <w:sz w:val="24"/>
                <w:szCs w:val="24"/>
              </w:rPr>
              <w:t xml:space="preserve"> в друго предприятие; </w:t>
            </w:r>
          </w:p>
          <w:p w:rsidR="00301649" w:rsidRPr="004A221D" w:rsidRDefault="00301649" w:rsidP="001172F3">
            <w:pPr>
              <w:spacing w:before="60" w:after="60" w:line="240" w:lineRule="auto"/>
              <w:jc w:val="both"/>
              <w:rPr>
                <w:rFonts w:eastAsia="Times New Roman" w:cstheme="minorHAnsi"/>
                <w:snapToGrid w:val="0"/>
                <w:sz w:val="24"/>
                <w:szCs w:val="24"/>
              </w:rPr>
            </w:pPr>
            <w:r w:rsidRPr="004A221D">
              <w:rPr>
                <w:rFonts w:eastAsia="Times New Roman" w:cstheme="minorHAnsi"/>
                <w:snapToGrid w:val="0"/>
                <w:sz w:val="24"/>
                <w:szCs w:val="24"/>
              </w:rPr>
              <w:t xml:space="preserve">б) дадено предприятие има право да назначава или отстранява мнозинството от членовете на административния, управителния или надзорния орган на друго предприятие; </w:t>
            </w:r>
          </w:p>
          <w:p w:rsidR="00301649" w:rsidRPr="004A221D" w:rsidRDefault="00301649" w:rsidP="001172F3">
            <w:pPr>
              <w:spacing w:before="60" w:after="60" w:line="240" w:lineRule="auto"/>
              <w:jc w:val="both"/>
              <w:rPr>
                <w:rFonts w:eastAsia="Times New Roman" w:cstheme="minorHAnsi"/>
                <w:snapToGrid w:val="0"/>
                <w:sz w:val="24"/>
                <w:szCs w:val="24"/>
              </w:rPr>
            </w:pPr>
            <w:r w:rsidRPr="004A221D">
              <w:rPr>
                <w:rFonts w:eastAsia="Times New Roman" w:cstheme="minorHAnsi"/>
                <w:snapToGrid w:val="0"/>
                <w:sz w:val="24"/>
                <w:szCs w:val="24"/>
              </w:rPr>
              <w:t xml:space="preserve">в) дадено предприятие има право да упражнява доминиращо влияние спрямо друго предприятие по силата на договор, сключен с това предприятие, или на разпоредба в неговия устав или учредителен акт; </w:t>
            </w:r>
          </w:p>
          <w:p w:rsidR="00301649" w:rsidRDefault="00301649" w:rsidP="001172F3">
            <w:pPr>
              <w:spacing w:before="60" w:after="60" w:line="240" w:lineRule="auto"/>
              <w:jc w:val="both"/>
              <w:rPr>
                <w:rFonts w:eastAsia="Times New Roman" w:cstheme="minorHAnsi"/>
                <w:snapToGrid w:val="0"/>
                <w:sz w:val="24"/>
                <w:szCs w:val="24"/>
              </w:rPr>
            </w:pPr>
            <w:r w:rsidRPr="004A221D">
              <w:rPr>
                <w:rFonts w:eastAsia="Times New Roman" w:cstheme="minorHAnsi"/>
                <w:snapToGrid w:val="0"/>
                <w:sz w:val="24"/>
                <w:szCs w:val="24"/>
              </w:rPr>
              <w:t xml:space="preserve">г) дадено предприятие, което е акционер или съдружник в друго предприятие, контролира самостоятелно, по силата на споразумение с останалите акционери или </w:t>
            </w:r>
            <w:proofErr w:type="spellStart"/>
            <w:r w:rsidRPr="004A221D">
              <w:rPr>
                <w:rFonts w:eastAsia="Times New Roman" w:cstheme="minorHAnsi"/>
                <w:snapToGrid w:val="0"/>
                <w:sz w:val="24"/>
                <w:szCs w:val="24"/>
              </w:rPr>
              <w:t>съдружници</w:t>
            </w:r>
            <w:proofErr w:type="spellEnd"/>
            <w:r w:rsidRPr="004A221D">
              <w:rPr>
                <w:rFonts w:eastAsia="Times New Roman" w:cstheme="minorHAnsi"/>
                <w:snapToGrid w:val="0"/>
                <w:sz w:val="24"/>
                <w:szCs w:val="24"/>
              </w:rPr>
              <w:t xml:space="preserve"> в това предприятие, мнозинството от гласовете на акционерите или </w:t>
            </w:r>
            <w:proofErr w:type="spellStart"/>
            <w:r w:rsidRPr="004A221D">
              <w:rPr>
                <w:rFonts w:eastAsia="Times New Roman" w:cstheme="minorHAnsi"/>
                <w:snapToGrid w:val="0"/>
                <w:sz w:val="24"/>
                <w:szCs w:val="24"/>
              </w:rPr>
              <w:t>съдружниците</w:t>
            </w:r>
            <w:proofErr w:type="spellEnd"/>
            <w:r w:rsidRPr="004A221D">
              <w:rPr>
                <w:rFonts w:eastAsia="Times New Roman" w:cstheme="minorHAnsi"/>
                <w:snapToGrid w:val="0"/>
                <w:sz w:val="24"/>
                <w:szCs w:val="24"/>
              </w:rPr>
              <w:t xml:space="preserve"> в това предприятие. </w:t>
            </w:r>
          </w:p>
          <w:p w:rsidR="00301649" w:rsidRPr="008E4D35" w:rsidRDefault="00301649" w:rsidP="001172F3">
            <w:pPr>
              <w:spacing w:before="60" w:after="60" w:line="240" w:lineRule="auto"/>
              <w:jc w:val="both"/>
              <w:rPr>
                <w:rFonts w:eastAsia="Times New Roman" w:cstheme="minorHAnsi"/>
                <w:snapToGrid w:val="0"/>
                <w:sz w:val="24"/>
                <w:szCs w:val="24"/>
              </w:rPr>
            </w:pPr>
            <w:r w:rsidRPr="004A221D">
              <w:rPr>
                <w:rFonts w:eastAsia="Times New Roman" w:cstheme="minorHAnsi"/>
                <w:snapToGrid w:val="0"/>
                <w:sz w:val="24"/>
                <w:szCs w:val="24"/>
              </w:rPr>
              <w:t>Предприятия, поддър</w:t>
            </w:r>
            <w:r>
              <w:rPr>
                <w:rFonts w:eastAsia="Times New Roman" w:cstheme="minorHAnsi"/>
                <w:snapToGrid w:val="0"/>
                <w:sz w:val="24"/>
                <w:szCs w:val="24"/>
              </w:rPr>
              <w:t>жащи едно от взаимоотношенията по букви а) - г)</w:t>
            </w:r>
            <w:r w:rsidRPr="004A221D">
              <w:rPr>
                <w:rFonts w:eastAsia="Times New Roman" w:cstheme="minorHAnsi"/>
                <w:snapToGrid w:val="0"/>
                <w:sz w:val="24"/>
                <w:szCs w:val="24"/>
              </w:rPr>
              <w:t xml:space="preserve"> посредством едно или</w:t>
            </w:r>
            <w:r>
              <w:rPr>
                <w:rFonts w:eastAsia="Times New Roman" w:cstheme="minorHAnsi"/>
                <w:snapToGrid w:val="0"/>
                <w:sz w:val="24"/>
                <w:szCs w:val="24"/>
              </w:rPr>
              <w:t xml:space="preserve"> </w:t>
            </w:r>
            <w:r w:rsidRPr="00D47C85">
              <w:rPr>
                <w:rFonts w:eastAsia="Times New Roman" w:cstheme="minorHAnsi"/>
                <w:snapToGrid w:val="0"/>
                <w:sz w:val="24"/>
                <w:szCs w:val="24"/>
              </w:rPr>
              <w:t>няколко други предприятия, също се разглеждат като едно и също предприятие.</w:t>
            </w:r>
          </w:p>
        </w:tc>
      </w:tr>
      <w:tr w:rsidR="00207A2E" w:rsidRPr="008E4D35" w:rsidTr="0048471A">
        <w:tc>
          <w:tcPr>
            <w:tcW w:w="2660" w:type="dxa"/>
            <w:shd w:val="clear" w:color="auto" w:fill="E6E6E6"/>
          </w:tcPr>
          <w:p w:rsidR="00207A2E" w:rsidRPr="00862EEE" w:rsidRDefault="00207A2E" w:rsidP="00021DCF">
            <w:pPr>
              <w:spacing w:before="100" w:beforeAutospacing="1" w:after="100" w:afterAutospacing="1" w:line="240" w:lineRule="auto"/>
              <w:rPr>
                <w:rFonts w:eastAsia="Times New Roman" w:cstheme="minorHAnsi"/>
                <w:b/>
                <w:snapToGrid w:val="0"/>
                <w:sz w:val="24"/>
                <w:szCs w:val="24"/>
              </w:rPr>
            </w:pPr>
            <w:r w:rsidRPr="00862EEE">
              <w:rPr>
                <w:rFonts w:eastAsia="Times New Roman" w:cstheme="minorHAnsi"/>
                <w:b/>
                <w:snapToGrid w:val="0"/>
                <w:sz w:val="24"/>
                <w:szCs w:val="24"/>
              </w:rPr>
              <w:lastRenderedPageBreak/>
              <w:t xml:space="preserve">Изпълнител, определен от страна на бенефициента </w:t>
            </w:r>
          </w:p>
        </w:tc>
        <w:tc>
          <w:tcPr>
            <w:tcW w:w="6628" w:type="dxa"/>
            <w:shd w:val="clear" w:color="auto" w:fill="F3F3F3"/>
          </w:tcPr>
          <w:p w:rsidR="00207A2E" w:rsidRPr="00862EEE" w:rsidRDefault="00207A2E" w:rsidP="008F2DBC">
            <w:pPr>
              <w:spacing w:before="100" w:beforeAutospacing="1" w:after="100" w:afterAutospacing="1" w:line="240" w:lineRule="auto"/>
              <w:jc w:val="both"/>
              <w:rPr>
                <w:rFonts w:eastAsia="Times New Roman" w:cstheme="minorHAnsi"/>
                <w:snapToGrid w:val="0"/>
                <w:sz w:val="24"/>
                <w:szCs w:val="24"/>
              </w:rPr>
            </w:pPr>
            <w:r w:rsidRPr="00862EEE">
              <w:rPr>
                <w:rFonts w:eastAsia="Times New Roman" w:cstheme="minorHAnsi"/>
                <w:snapToGrid w:val="0"/>
                <w:sz w:val="24"/>
                <w:szCs w:val="24"/>
              </w:rPr>
              <w:t>Изпълнители на дейности по проекта, възложени им от бенефициентите на безвъзмездна финансова помощ.</w:t>
            </w:r>
            <w:r w:rsidR="00045584" w:rsidRPr="00862EEE">
              <w:rPr>
                <w:rFonts w:eastAsia="Times New Roman" w:cstheme="minorHAnsi"/>
                <w:snapToGrid w:val="0"/>
                <w:sz w:val="24"/>
                <w:szCs w:val="24"/>
              </w:rPr>
              <w:t xml:space="preserve"> </w:t>
            </w:r>
            <w:r w:rsidR="00D31E18" w:rsidRPr="00862EEE">
              <w:rPr>
                <w:rFonts w:eastAsia="Times New Roman" w:cstheme="minorHAnsi"/>
                <w:snapToGrid w:val="0"/>
                <w:sz w:val="24"/>
                <w:szCs w:val="24"/>
              </w:rPr>
              <w:t>Изпълнителите от страна на бенефициента не са партньори и се определят в съответствие с реда за определяне на изпълнител от страна на бенефициенти на договорена безвъзмездна финансова помощ от ЕСИФ, както и по реда на Закона за обществените поръчки и подзаконовите актове по прилагането му, включително и на указанията на УО, заложени в Ръководството за изпълнение на договори за безвъзмездна финансова помощ по ОПИК 2014-2020.</w:t>
            </w:r>
          </w:p>
        </w:tc>
      </w:tr>
      <w:tr w:rsidR="00502F9C" w:rsidRPr="008E4D35" w:rsidTr="0048471A">
        <w:tc>
          <w:tcPr>
            <w:tcW w:w="2660" w:type="dxa"/>
            <w:shd w:val="clear" w:color="auto" w:fill="E6E6E6"/>
          </w:tcPr>
          <w:p w:rsidR="00502F9C" w:rsidRPr="008E4D35" w:rsidRDefault="00502F9C" w:rsidP="00F14642">
            <w:pPr>
              <w:spacing w:before="100" w:beforeAutospacing="1" w:after="100" w:afterAutospacing="1" w:line="240" w:lineRule="auto"/>
              <w:rPr>
                <w:rFonts w:eastAsia="Times New Roman" w:cstheme="minorHAnsi"/>
                <w:b/>
                <w:snapToGrid w:val="0"/>
                <w:sz w:val="24"/>
                <w:szCs w:val="24"/>
              </w:rPr>
            </w:pPr>
            <w:r w:rsidRPr="008E4D35">
              <w:rPr>
                <w:rFonts w:eastAsia="Times New Roman" w:cstheme="minorHAnsi"/>
                <w:b/>
                <w:snapToGrid w:val="0"/>
                <w:sz w:val="24"/>
                <w:szCs w:val="24"/>
              </w:rPr>
              <w:t>Кандидати</w:t>
            </w:r>
          </w:p>
        </w:tc>
        <w:tc>
          <w:tcPr>
            <w:tcW w:w="6628" w:type="dxa"/>
            <w:shd w:val="clear" w:color="auto" w:fill="F3F3F3"/>
          </w:tcPr>
          <w:p w:rsidR="00502F9C" w:rsidRPr="008E4D35" w:rsidRDefault="00502F9C" w:rsidP="00F14642">
            <w:pPr>
              <w:spacing w:before="100" w:beforeAutospacing="1" w:after="100" w:afterAutospacing="1" w:line="240" w:lineRule="auto"/>
              <w:jc w:val="both"/>
              <w:rPr>
                <w:rFonts w:eastAsia="Times New Roman" w:cstheme="minorHAnsi"/>
                <w:snapToGrid w:val="0"/>
                <w:sz w:val="24"/>
                <w:szCs w:val="24"/>
              </w:rPr>
            </w:pPr>
            <w:r w:rsidRPr="008E4D35">
              <w:rPr>
                <w:rFonts w:eastAsia="Times New Roman" w:cstheme="minorHAnsi"/>
                <w:snapToGrid w:val="0"/>
                <w:sz w:val="24"/>
                <w:szCs w:val="24"/>
              </w:rPr>
              <w:t>Всички физически и юридически лица и техни обединения, които кандидатстват за безвъзмездна финансова помощ чрез подаване на проектно предложение.</w:t>
            </w:r>
          </w:p>
        </w:tc>
      </w:tr>
      <w:tr w:rsidR="00922D50" w:rsidRPr="008E4D35" w:rsidTr="0048471A">
        <w:tc>
          <w:tcPr>
            <w:tcW w:w="2660" w:type="dxa"/>
            <w:shd w:val="clear" w:color="auto" w:fill="E6E6E6"/>
          </w:tcPr>
          <w:p w:rsidR="00922D50" w:rsidRPr="008E4D35" w:rsidRDefault="00922D50" w:rsidP="00F14642">
            <w:pPr>
              <w:spacing w:before="100" w:beforeAutospacing="1" w:after="100" w:afterAutospacing="1" w:line="240" w:lineRule="auto"/>
              <w:rPr>
                <w:rFonts w:eastAsia="Times New Roman" w:cstheme="minorHAnsi"/>
                <w:b/>
                <w:snapToGrid w:val="0"/>
                <w:sz w:val="24"/>
                <w:szCs w:val="24"/>
              </w:rPr>
            </w:pPr>
            <w:r>
              <w:rPr>
                <w:rFonts w:eastAsia="Times New Roman" w:cstheme="minorHAnsi"/>
                <w:b/>
                <w:snapToGrid w:val="0"/>
                <w:sz w:val="24"/>
                <w:szCs w:val="24"/>
              </w:rPr>
              <w:t>Клъстер</w:t>
            </w:r>
          </w:p>
        </w:tc>
        <w:tc>
          <w:tcPr>
            <w:tcW w:w="6628" w:type="dxa"/>
            <w:shd w:val="clear" w:color="auto" w:fill="F3F3F3"/>
          </w:tcPr>
          <w:p w:rsidR="00922D50" w:rsidRPr="00844A97" w:rsidRDefault="00F6168F" w:rsidP="00D97129">
            <w:pPr>
              <w:spacing w:before="100" w:beforeAutospacing="1" w:after="100" w:afterAutospacing="1" w:line="240" w:lineRule="auto"/>
              <w:jc w:val="both"/>
              <w:rPr>
                <w:rFonts w:eastAsia="Times New Roman" w:cstheme="minorHAnsi"/>
                <w:snapToGrid w:val="0"/>
                <w:sz w:val="24"/>
                <w:szCs w:val="24"/>
                <w:lang w:val="bg"/>
              </w:rPr>
            </w:pPr>
            <w:r w:rsidRPr="00F6168F">
              <w:rPr>
                <w:rFonts w:eastAsia="Times New Roman" w:cstheme="minorHAnsi"/>
                <w:snapToGrid w:val="0"/>
                <w:sz w:val="24"/>
                <w:szCs w:val="24"/>
                <w:lang w:val="bg"/>
              </w:rPr>
              <w:t xml:space="preserve">Обединение на юридически </w:t>
            </w:r>
            <w:r w:rsidRPr="00FE5D62">
              <w:rPr>
                <w:rFonts w:eastAsia="Times New Roman" w:cstheme="minorHAnsi"/>
                <w:snapToGrid w:val="0"/>
                <w:sz w:val="24"/>
                <w:szCs w:val="24"/>
                <w:lang w:val="bg"/>
              </w:rPr>
              <w:t>лица и/или еднолични търг</w:t>
            </w:r>
            <w:r w:rsidR="00D97129">
              <w:rPr>
                <w:rFonts w:eastAsia="Times New Roman" w:cstheme="minorHAnsi"/>
                <w:snapToGrid w:val="0"/>
                <w:sz w:val="24"/>
                <w:szCs w:val="24"/>
                <w:lang w:val="bg"/>
              </w:rPr>
              <w:t xml:space="preserve">овци, регистрирано съгласно ТЗ </w:t>
            </w:r>
            <w:r w:rsidRPr="00FE5D62">
              <w:rPr>
                <w:rFonts w:eastAsia="Times New Roman" w:cstheme="minorHAnsi"/>
                <w:snapToGrid w:val="0"/>
                <w:sz w:val="24"/>
                <w:szCs w:val="24"/>
                <w:lang w:val="bg"/>
              </w:rPr>
              <w:t>или ЗЮЛНЦ, което може също</w:t>
            </w:r>
            <w:r w:rsidRPr="00F6168F">
              <w:rPr>
                <w:rFonts w:eastAsia="Times New Roman" w:cstheme="minorHAnsi"/>
                <w:snapToGrid w:val="0"/>
                <w:sz w:val="24"/>
                <w:szCs w:val="24"/>
                <w:lang w:val="bg"/>
              </w:rPr>
              <w:t xml:space="preserve"> да включва университети, научно-изследователски организации и/или общински и държавни органи, неправителствени организации и физически лица от определен сектор или регион, имащи общи икономически интереси и/или обхващащи последователни нива във веригата на производство и реализация на стоки и услуги, с цел увеличаване на </w:t>
            </w:r>
            <w:r w:rsidR="00844A97">
              <w:rPr>
                <w:rFonts w:eastAsia="Times New Roman" w:cstheme="minorHAnsi"/>
                <w:snapToGrid w:val="0"/>
                <w:sz w:val="24"/>
                <w:szCs w:val="24"/>
                <w:lang w:val="bg"/>
              </w:rPr>
              <w:t xml:space="preserve">конкурентоспособността, </w:t>
            </w:r>
            <w:r w:rsidR="00844A97" w:rsidRPr="00F6168F">
              <w:rPr>
                <w:rFonts w:eastAsia="Times New Roman" w:cstheme="minorHAnsi"/>
                <w:snapToGrid w:val="0"/>
                <w:sz w:val="24"/>
                <w:szCs w:val="24"/>
                <w:lang w:val="bg"/>
              </w:rPr>
              <w:t>бизнес развитието</w:t>
            </w:r>
            <w:r w:rsidR="00844A97">
              <w:rPr>
                <w:rFonts w:eastAsia="Times New Roman" w:cstheme="minorHAnsi"/>
                <w:snapToGrid w:val="0"/>
                <w:sz w:val="24"/>
                <w:szCs w:val="24"/>
                <w:lang w:val="bg"/>
              </w:rPr>
              <w:t xml:space="preserve">, административния капацитет и </w:t>
            </w:r>
            <w:r w:rsidRPr="00F6168F">
              <w:rPr>
                <w:rFonts w:eastAsia="Times New Roman" w:cstheme="minorHAnsi"/>
                <w:snapToGrid w:val="0"/>
                <w:sz w:val="24"/>
                <w:szCs w:val="24"/>
                <w:lang w:val="bg"/>
              </w:rPr>
              <w:t>научно</w:t>
            </w:r>
            <w:r w:rsidRPr="00F6168F">
              <w:rPr>
                <w:rFonts w:eastAsia="Times New Roman" w:cstheme="minorHAnsi"/>
                <w:snapToGrid w:val="0"/>
                <w:sz w:val="24"/>
                <w:szCs w:val="24"/>
                <w:lang w:val="bg"/>
              </w:rPr>
              <w:softHyphen/>
              <w:t>изследователския поте</w:t>
            </w:r>
            <w:r w:rsidR="00844A97">
              <w:rPr>
                <w:rFonts w:eastAsia="Times New Roman" w:cstheme="minorHAnsi"/>
                <w:snapToGrid w:val="0"/>
                <w:sz w:val="24"/>
                <w:szCs w:val="24"/>
                <w:lang w:val="bg"/>
              </w:rPr>
              <w:t xml:space="preserve">нциал </w:t>
            </w:r>
            <w:r w:rsidRPr="00F6168F">
              <w:rPr>
                <w:rFonts w:eastAsia="Times New Roman" w:cstheme="minorHAnsi"/>
                <w:snapToGrid w:val="0"/>
                <w:sz w:val="24"/>
                <w:szCs w:val="24"/>
                <w:lang w:val="bg"/>
              </w:rPr>
              <w:t>на членовете на обединение</w:t>
            </w:r>
            <w:r w:rsidR="00844A97">
              <w:rPr>
                <w:rFonts w:eastAsia="Times New Roman" w:cstheme="minorHAnsi"/>
                <w:snapToGrid w:val="0"/>
                <w:sz w:val="24"/>
                <w:szCs w:val="24"/>
                <w:lang w:val="bg"/>
              </w:rPr>
              <w:t>то и на обединението като цяло.</w:t>
            </w:r>
          </w:p>
        </w:tc>
      </w:tr>
      <w:tr w:rsidR="00380C77" w:rsidRPr="008E4D35" w:rsidTr="0048471A">
        <w:tc>
          <w:tcPr>
            <w:tcW w:w="2660" w:type="dxa"/>
            <w:shd w:val="clear" w:color="auto" w:fill="E6E6E6"/>
          </w:tcPr>
          <w:p w:rsidR="00380C77" w:rsidRPr="008E4D35" w:rsidRDefault="00380C77" w:rsidP="00F14642">
            <w:pPr>
              <w:spacing w:before="100" w:beforeAutospacing="1" w:after="100" w:afterAutospacing="1" w:line="240" w:lineRule="auto"/>
              <w:rPr>
                <w:rFonts w:eastAsia="Times New Roman" w:cstheme="minorHAnsi"/>
                <w:b/>
                <w:snapToGrid w:val="0"/>
                <w:sz w:val="24"/>
                <w:szCs w:val="24"/>
              </w:rPr>
            </w:pPr>
            <w:r>
              <w:rPr>
                <w:rFonts w:eastAsia="Times New Roman" w:cstheme="minorHAnsi"/>
                <w:b/>
                <w:snapToGrid w:val="0"/>
                <w:sz w:val="24"/>
                <w:szCs w:val="24"/>
              </w:rPr>
              <w:lastRenderedPageBreak/>
              <w:t>Коригиран размер на помощта</w:t>
            </w:r>
          </w:p>
        </w:tc>
        <w:tc>
          <w:tcPr>
            <w:tcW w:w="6628" w:type="dxa"/>
            <w:shd w:val="clear" w:color="auto" w:fill="F3F3F3"/>
          </w:tcPr>
          <w:p w:rsidR="00380C77" w:rsidRPr="008E4D35" w:rsidRDefault="00666644" w:rsidP="00666644">
            <w:pPr>
              <w:spacing w:before="100" w:beforeAutospacing="1" w:after="100" w:afterAutospacing="1" w:line="240" w:lineRule="auto"/>
              <w:jc w:val="both"/>
              <w:rPr>
                <w:rFonts w:eastAsia="Times New Roman" w:cstheme="minorHAnsi"/>
                <w:snapToGrid w:val="0"/>
                <w:sz w:val="24"/>
                <w:szCs w:val="24"/>
              </w:rPr>
            </w:pPr>
            <w:r>
              <w:rPr>
                <w:rFonts w:eastAsia="Times New Roman" w:cstheme="minorHAnsi"/>
                <w:snapToGrid w:val="0"/>
                <w:sz w:val="24"/>
                <w:szCs w:val="24"/>
              </w:rPr>
              <w:t xml:space="preserve">Съгласно чл. 2, </w:t>
            </w:r>
            <w:proofErr w:type="spellStart"/>
            <w:r>
              <w:rPr>
                <w:rFonts w:eastAsia="Times New Roman" w:cstheme="minorHAnsi"/>
                <w:snapToGrid w:val="0"/>
                <w:sz w:val="24"/>
                <w:szCs w:val="24"/>
              </w:rPr>
              <w:t>пар</w:t>
            </w:r>
            <w:proofErr w:type="spellEnd"/>
            <w:r>
              <w:rPr>
                <w:rFonts w:eastAsia="Times New Roman" w:cstheme="minorHAnsi"/>
                <w:snapToGrid w:val="0"/>
                <w:sz w:val="24"/>
                <w:szCs w:val="24"/>
              </w:rPr>
              <w:t>. 20 от Регламент (ЕО) № 651/2014, к</w:t>
            </w:r>
            <w:r w:rsidR="00380C77" w:rsidRPr="00380C77">
              <w:rPr>
                <w:rFonts w:eastAsia="Times New Roman" w:cstheme="minorHAnsi"/>
                <w:snapToGrid w:val="0"/>
                <w:sz w:val="24"/>
                <w:szCs w:val="24"/>
              </w:rPr>
              <w:t>оригираният размер на помощта се изчислява както следва: максимален размер на помощта = R × (A + 0,50 × B + 0 × С), където: R е максималният интензитет на помощта (25% за проекти изпълнявани в ЮЗР и 50% за проекти изпълнявани извън ЮЗР); А са първоначалните допустими разходи от 50 млн. евро, B е частта от допустимите разходи между 50 и 100 млн. евро; C е частта от допустимите разходи над 100 млн. евро.</w:t>
            </w:r>
          </w:p>
        </w:tc>
      </w:tr>
      <w:tr w:rsidR="00502F9C" w:rsidRPr="008E4D35" w:rsidTr="0048471A">
        <w:tc>
          <w:tcPr>
            <w:tcW w:w="2660" w:type="dxa"/>
            <w:shd w:val="clear" w:color="auto" w:fill="E6E6E6"/>
          </w:tcPr>
          <w:p w:rsidR="00502F9C" w:rsidRPr="008E4D35" w:rsidRDefault="00502F9C" w:rsidP="00F14642">
            <w:pPr>
              <w:spacing w:before="100" w:beforeAutospacing="1" w:after="100" w:afterAutospacing="1" w:line="240" w:lineRule="auto"/>
              <w:rPr>
                <w:rFonts w:eastAsia="Times New Roman" w:cstheme="minorHAnsi"/>
                <w:b/>
                <w:snapToGrid w:val="0"/>
                <w:sz w:val="24"/>
                <w:szCs w:val="24"/>
              </w:rPr>
            </w:pPr>
            <w:r w:rsidRPr="008E4D35">
              <w:rPr>
                <w:rFonts w:eastAsia="Times New Roman" w:cstheme="minorHAnsi"/>
                <w:b/>
                <w:snapToGrid w:val="0"/>
                <w:sz w:val="24"/>
                <w:szCs w:val="24"/>
              </w:rPr>
              <w:t>Материални активи</w:t>
            </w:r>
          </w:p>
        </w:tc>
        <w:tc>
          <w:tcPr>
            <w:tcW w:w="6628" w:type="dxa"/>
            <w:shd w:val="clear" w:color="auto" w:fill="F3F3F3"/>
          </w:tcPr>
          <w:p w:rsidR="00311D57" w:rsidRPr="008E4D35" w:rsidRDefault="00502F9C" w:rsidP="00311D57">
            <w:pPr>
              <w:spacing w:before="100" w:beforeAutospacing="1" w:after="100" w:afterAutospacing="1" w:line="240" w:lineRule="auto"/>
              <w:jc w:val="both"/>
              <w:rPr>
                <w:rFonts w:eastAsia="Times New Roman" w:cstheme="minorHAnsi"/>
                <w:snapToGrid w:val="0"/>
                <w:sz w:val="24"/>
                <w:szCs w:val="24"/>
              </w:rPr>
            </w:pPr>
            <w:r w:rsidRPr="008E4D35">
              <w:rPr>
                <w:rFonts w:eastAsia="Times New Roman" w:cstheme="minorHAnsi"/>
                <w:snapToGrid w:val="0"/>
                <w:sz w:val="24"/>
                <w:szCs w:val="24"/>
              </w:rPr>
              <w:t>П</w:t>
            </w:r>
            <w:r w:rsidR="00D73B92">
              <w:rPr>
                <w:rFonts w:eastAsia="Times New Roman" w:cstheme="minorHAnsi"/>
                <w:snapToGrid w:val="0"/>
                <w:sz w:val="24"/>
                <w:szCs w:val="24"/>
              </w:rPr>
              <w:t xml:space="preserve">о смисъла на </w:t>
            </w:r>
            <w:r w:rsidR="00884591">
              <w:rPr>
                <w:rFonts w:eastAsia="Times New Roman" w:cstheme="minorHAnsi"/>
                <w:snapToGrid w:val="0"/>
                <w:sz w:val="24"/>
                <w:szCs w:val="24"/>
              </w:rPr>
              <w:t xml:space="preserve">чл. 2, </w:t>
            </w:r>
            <w:proofErr w:type="spellStart"/>
            <w:r w:rsidR="00884591">
              <w:rPr>
                <w:rFonts w:eastAsia="Times New Roman" w:cstheme="minorHAnsi"/>
                <w:snapToGrid w:val="0"/>
                <w:sz w:val="24"/>
                <w:szCs w:val="24"/>
              </w:rPr>
              <w:t>пар</w:t>
            </w:r>
            <w:proofErr w:type="spellEnd"/>
            <w:r w:rsidR="00884591">
              <w:rPr>
                <w:rFonts w:eastAsia="Times New Roman" w:cstheme="minorHAnsi"/>
                <w:snapToGrid w:val="0"/>
                <w:sz w:val="24"/>
                <w:szCs w:val="24"/>
              </w:rPr>
              <w:t xml:space="preserve">. 29 от </w:t>
            </w:r>
            <w:r w:rsidR="00D73B92">
              <w:rPr>
                <w:rFonts w:eastAsia="Times New Roman" w:cstheme="minorHAnsi"/>
                <w:snapToGrid w:val="0"/>
                <w:sz w:val="24"/>
                <w:szCs w:val="24"/>
              </w:rPr>
              <w:t>Регламент (ЕО) № 651/20</w:t>
            </w:r>
            <w:r w:rsidR="0062729B">
              <w:rPr>
                <w:rFonts w:eastAsia="Times New Roman" w:cstheme="minorHAnsi"/>
                <w:snapToGrid w:val="0"/>
                <w:sz w:val="24"/>
                <w:szCs w:val="24"/>
              </w:rPr>
              <w:t>14</w:t>
            </w:r>
            <w:r w:rsidR="00311D57">
              <w:rPr>
                <w:rFonts w:eastAsia="Times New Roman" w:cstheme="minorHAnsi"/>
                <w:snapToGrid w:val="0"/>
                <w:sz w:val="24"/>
                <w:szCs w:val="24"/>
              </w:rPr>
              <w:t xml:space="preserve"> </w:t>
            </w:r>
            <w:r w:rsidR="00311D57" w:rsidRPr="00311D57">
              <w:rPr>
                <w:rFonts w:eastAsia="Times New Roman" w:cstheme="minorHAnsi"/>
                <w:snapToGrid w:val="0"/>
                <w:sz w:val="24"/>
                <w:szCs w:val="24"/>
              </w:rPr>
              <w:t xml:space="preserve">„материални активи" означава активи, състоящи се от земя, сгради, </w:t>
            </w:r>
            <w:r w:rsidR="00311D57">
              <w:rPr>
                <w:rFonts w:eastAsia="Times New Roman" w:cstheme="minorHAnsi"/>
                <w:snapToGrid w:val="0"/>
                <w:sz w:val="24"/>
                <w:szCs w:val="24"/>
              </w:rPr>
              <w:t>съоръжения, машини и оборудване.</w:t>
            </w:r>
          </w:p>
        </w:tc>
      </w:tr>
      <w:tr w:rsidR="00E80306" w:rsidRPr="008E4D35" w:rsidTr="0048471A">
        <w:tc>
          <w:tcPr>
            <w:tcW w:w="2660" w:type="dxa"/>
            <w:shd w:val="clear" w:color="auto" w:fill="E6E6E6"/>
          </w:tcPr>
          <w:p w:rsidR="00E80306" w:rsidRDefault="00E80306" w:rsidP="00F14642">
            <w:pPr>
              <w:spacing w:before="100" w:beforeAutospacing="1" w:after="100" w:afterAutospacing="1" w:line="240" w:lineRule="auto"/>
              <w:rPr>
                <w:rFonts w:eastAsia="Times New Roman" w:cstheme="minorHAnsi"/>
                <w:b/>
                <w:snapToGrid w:val="0"/>
                <w:sz w:val="24"/>
                <w:szCs w:val="24"/>
              </w:rPr>
            </w:pPr>
            <w:r>
              <w:rPr>
                <w:rFonts w:eastAsia="Times New Roman" w:cstheme="minorHAnsi"/>
                <w:b/>
                <w:snapToGrid w:val="0"/>
                <w:sz w:val="24"/>
                <w:szCs w:val="24"/>
              </w:rPr>
              <w:t xml:space="preserve">Място на изпълнение на проекта </w:t>
            </w:r>
          </w:p>
        </w:tc>
        <w:tc>
          <w:tcPr>
            <w:tcW w:w="6628" w:type="dxa"/>
            <w:shd w:val="clear" w:color="auto" w:fill="F3F3F3"/>
          </w:tcPr>
          <w:p w:rsidR="00E80306" w:rsidRDefault="00E80306" w:rsidP="00F14642">
            <w:pPr>
              <w:spacing w:line="240" w:lineRule="auto"/>
              <w:jc w:val="both"/>
              <w:rPr>
                <w:rFonts w:eastAsia="Times New Roman" w:cstheme="minorHAnsi"/>
                <w:snapToGrid w:val="0"/>
                <w:sz w:val="24"/>
                <w:szCs w:val="24"/>
              </w:rPr>
            </w:pPr>
            <w:r>
              <w:rPr>
                <w:rFonts w:eastAsia="Times New Roman" w:cstheme="minorHAnsi"/>
                <w:snapToGrid w:val="0"/>
                <w:sz w:val="24"/>
                <w:szCs w:val="24"/>
              </w:rPr>
              <w:t>Мястото на физическото осъществяване на инвестицията.</w:t>
            </w:r>
          </w:p>
        </w:tc>
      </w:tr>
      <w:tr w:rsidR="00502F9C" w:rsidRPr="008E4D35" w:rsidTr="0048471A">
        <w:tc>
          <w:tcPr>
            <w:tcW w:w="2660" w:type="dxa"/>
            <w:shd w:val="clear" w:color="auto" w:fill="E6E6E6"/>
          </w:tcPr>
          <w:p w:rsidR="00502F9C" w:rsidRPr="008E4D35" w:rsidRDefault="00502F9C" w:rsidP="00F14642">
            <w:pPr>
              <w:spacing w:before="100" w:beforeAutospacing="1" w:after="100" w:afterAutospacing="1" w:line="240" w:lineRule="auto"/>
              <w:rPr>
                <w:rFonts w:eastAsia="Times New Roman" w:cstheme="minorHAnsi"/>
                <w:b/>
                <w:snapToGrid w:val="0"/>
                <w:sz w:val="24"/>
                <w:szCs w:val="24"/>
              </w:rPr>
            </w:pPr>
            <w:r w:rsidRPr="008E4D35">
              <w:rPr>
                <w:rFonts w:eastAsia="Times New Roman" w:cstheme="minorHAnsi"/>
                <w:b/>
                <w:snapToGrid w:val="0"/>
                <w:sz w:val="24"/>
                <w:szCs w:val="24"/>
              </w:rPr>
              <w:t>Нематериални активи</w:t>
            </w:r>
          </w:p>
        </w:tc>
        <w:tc>
          <w:tcPr>
            <w:tcW w:w="6628" w:type="dxa"/>
            <w:shd w:val="clear" w:color="auto" w:fill="F3F3F3"/>
          </w:tcPr>
          <w:p w:rsidR="00311D57" w:rsidRPr="007F75CF" w:rsidRDefault="00502F9C" w:rsidP="007F75CF">
            <w:pPr>
              <w:spacing w:before="100" w:beforeAutospacing="1" w:after="100" w:afterAutospacing="1" w:line="240" w:lineRule="auto"/>
              <w:jc w:val="both"/>
              <w:rPr>
                <w:rFonts w:eastAsia="Times New Roman" w:cstheme="minorHAnsi"/>
                <w:snapToGrid w:val="0"/>
                <w:sz w:val="24"/>
                <w:szCs w:val="24"/>
                <w:lang w:val="bg"/>
              </w:rPr>
            </w:pPr>
            <w:r w:rsidRPr="008E4D35">
              <w:rPr>
                <w:rFonts w:eastAsia="Times New Roman" w:cstheme="minorHAnsi"/>
                <w:snapToGrid w:val="0"/>
                <w:sz w:val="24"/>
                <w:szCs w:val="24"/>
              </w:rPr>
              <w:t xml:space="preserve">По смисъла на </w:t>
            </w:r>
            <w:r w:rsidR="00884591">
              <w:rPr>
                <w:rFonts w:eastAsia="Times New Roman" w:cstheme="minorHAnsi"/>
                <w:snapToGrid w:val="0"/>
                <w:sz w:val="24"/>
                <w:szCs w:val="24"/>
              </w:rPr>
              <w:t xml:space="preserve">чл. 2, </w:t>
            </w:r>
            <w:proofErr w:type="spellStart"/>
            <w:r w:rsidR="00884591">
              <w:rPr>
                <w:rFonts w:eastAsia="Times New Roman" w:cstheme="minorHAnsi"/>
                <w:snapToGrid w:val="0"/>
                <w:sz w:val="24"/>
                <w:szCs w:val="24"/>
              </w:rPr>
              <w:t>пар</w:t>
            </w:r>
            <w:proofErr w:type="spellEnd"/>
            <w:r w:rsidR="00884591">
              <w:rPr>
                <w:rFonts w:eastAsia="Times New Roman" w:cstheme="minorHAnsi"/>
                <w:snapToGrid w:val="0"/>
                <w:sz w:val="24"/>
                <w:szCs w:val="24"/>
              </w:rPr>
              <w:t xml:space="preserve">. 30 от </w:t>
            </w:r>
            <w:r w:rsidRPr="008E4D35">
              <w:rPr>
                <w:rFonts w:eastAsia="Times New Roman" w:cstheme="minorHAnsi"/>
                <w:snapToGrid w:val="0"/>
                <w:sz w:val="24"/>
                <w:szCs w:val="24"/>
              </w:rPr>
              <w:t>Регламент (ЕО) №</w:t>
            </w:r>
            <w:r w:rsidR="00D73B92">
              <w:rPr>
                <w:rFonts w:eastAsia="Times New Roman" w:cstheme="minorHAnsi"/>
                <w:snapToGrid w:val="0"/>
                <w:sz w:val="24"/>
                <w:szCs w:val="24"/>
              </w:rPr>
              <w:t xml:space="preserve"> </w:t>
            </w:r>
            <w:r w:rsidR="00D772ED">
              <w:rPr>
                <w:rFonts w:eastAsia="Times New Roman" w:cstheme="minorHAnsi"/>
                <w:snapToGrid w:val="0"/>
                <w:sz w:val="24"/>
                <w:szCs w:val="24"/>
              </w:rPr>
              <w:t>651</w:t>
            </w:r>
            <w:r w:rsidR="00831362">
              <w:rPr>
                <w:rFonts w:eastAsia="Times New Roman" w:cstheme="minorHAnsi"/>
                <w:snapToGrid w:val="0"/>
                <w:sz w:val="24"/>
                <w:szCs w:val="24"/>
              </w:rPr>
              <w:t>/2014</w:t>
            </w:r>
            <w:r w:rsidRPr="008E4D35">
              <w:rPr>
                <w:rFonts w:eastAsia="Times New Roman" w:cstheme="minorHAnsi"/>
                <w:snapToGrid w:val="0"/>
                <w:sz w:val="24"/>
                <w:szCs w:val="24"/>
              </w:rPr>
              <w:t xml:space="preserve"> „Нематериални активи“ </w:t>
            </w:r>
            <w:r w:rsidR="00831362" w:rsidRPr="00831362">
              <w:rPr>
                <w:rFonts w:eastAsia="Times New Roman" w:cstheme="minorHAnsi"/>
                <w:snapToGrid w:val="0"/>
                <w:sz w:val="24"/>
                <w:szCs w:val="24"/>
                <w:lang w:val="bg"/>
              </w:rPr>
              <w:t xml:space="preserve">означава активи, които нямат физически или финансов израз, като патенти, лицензи, </w:t>
            </w:r>
            <w:proofErr w:type="spellStart"/>
            <w:r w:rsidR="00831362" w:rsidRPr="00831362">
              <w:rPr>
                <w:rFonts w:eastAsia="Times New Roman" w:cstheme="minorHAnsi"/>
                <w:snapToGrid w:val="0"/>
                <w:sz w:val="24"/>
                <w:szCs w:val="24"/>
                <w:lang w:val="bg"/>
              </w:rPr>
              <w:t>ноу</w:t>
            </w:r>
            <w:proofErr w:type="spellEnd"/>
            <w:r w:rsidR="00831362" w:rsidRPr="00831362">
              <w:rPr>
                <w:rFonts w:eastAsia="Times New Roman" w:cstheme="minorHAnsi"/>
                <w:snapToGrid w:val="0"/>
                <w:sz w:val="24"/>
                <w:szCs w:val="24"/>
                <w:lang w:val="bg"/>
              </w:rPr>
              <w:t xml:space="preserve">- </w:t>
            </w:r>
            <w:proofErr w:type="spellStart"/>
            <w:r w:rsidR="00831362" w:rsidRPr="00831362">
              <w:rPr>
                <w:rFonts w:eastAsia="Times New Roman" w:cstheme="minorHAnsi"/>
                <w:snapToGrid w:val="0"/>
                <w:sz w:val="24"/>
                <w:szCs w:val="24"/>
                <w:lang w:val="bg"/>
              </w:rPr>
              <w:t>хау</w:t>
            </w:r>
            <w:proofErr w:type="spellEnd"/>
            <w:r w:rsidR="00831362" w:rsidRPr="00831362">
              <w:rPr>
                <w:rFonts w:eastAsia="Times New Roman" w:cstheme="minorHAnsi"/>
                <w:snapToGrid w:val="0"/>
                <w:sz w:val="24"/>
                <w:szCs w:val="24"/>
                <w:lang w:val="bg"/>
              </w:rPr>
              <w:t xml:space="preserve"> или друга интелектуална собственост</w:t>
            </w:r>
            <w:r w:rsidR="00311D57">
              <w:rPr>
                <w:rFonts w:eastAsia="Times New Roman" w:cstheme="minorHAnsi"/>
                <w:snapToGrid w:val="0"/>
                <w:sz w:val="24"/>
                <w:szCs w:val="24"/>
                <w:lang w:val="bg"/>
              </w:rPr>
              <w:t>.</w:t>
            </w:r>
          </w:p>
        </w:tc>
      </w:tr>
      <w:tr w:rsidR="00502F9C" w:rsidRPr="008E4D35" w:rsidTr="0048471A">
        <w:tc>
          <w:tcPr>
            <w:tcW w:w="2660" w:type="dxa"/>
            <w:shd w:val="clear" w:color="auto" w:fill="E6E6E6"/>
          </w:tcPr>
          <w:p w:rsidR="00502F9C" w:rsidRPr="008E4D35" w:rsidRDefault="00502F9C" w:rsidP="00F14642">
            <w:pPr>
              <w:spacing w:before="100" w:beforeAutospacing="1" w:after="100" w:afterAutospacing="1" w:line="240" w:lineRule="auto"/>
              <w:rPr>
                <w:rFonts w:eastAsia="Times New Roman" w:cstheme="minorHAnsi"/>
                <w:b/>
                <w:snapToGrid w:val="0"/>
                <w:sz w:val="24"/>
                <w:szCs w:val="24"/>
              </w:rPr>
            </w:pPr>
            <w:r w:rsidRPr="008E4D35">
              <w:rPr>
                <w:rFonts w:eastAsia="Times New Roman" w:cstheme="minorHAnsi"/>
                <w:b/>
                <w:snapToGrid w:val="0"/>
                <w:sz w:val="24"/>
                <w:szCs w:val="24"/>
              </w:rPr>
              <w:t xml:space="preserve">Нередност </w:t>
            </w:r>
          </w:p>
        </w:tc>
        <w:tc>
          <w:tcPr>
            <w:tcW w:w="6628" w:type="dxa"/>
            <w:shd w:val="clear" w:color="auto" w:fill="F3F3F3"/>
          </w:tcPr>
          <w:p w:rsidR="00044D0F" w:rsidRPr="008E4D35" w:rsidRDefault="00876B7B" w:rsidP="00F01208">
            <w:pPr>
              <w:spacing w:before="100" w:beforeAutospacing="1" w:after="100" w:afterAutospacing="1" w:line="240" w:lineRule="auto"/>
              <w:jc w:val="both"/>
              <w:rPr>
                <w:rFonts w:eastAsia="Times New Roman" w:cstheme="minorHAnsi"/>
                <w:snapToGrid w:val="0"/>
                <w:sz w:val="24"/>
                <w:szCs w:val="24"/>
              </w:rPr>
            </w:pPr>
            <w:r>
              <w:rPr>
                <w:rFonts w:eastAsia="Times New Roman" w:cstheme="minorHAnsi"/>
                <w:snapToGrid w:val="0"/>
                <w:sz w:val="24"/>
                <w:szCs w:val="24"/>
              </w:rPr>
              <w:t>В</w:t>
            </w:r>
            <w:r w:rsidRPr="00876B7B">
              <w:rPr>
                <w:rFonts w:eastAsia="Times New Roman" w:cstheme="minorHAnsi"/>
                <w:snapToGrid w:val="0"/>
                <w:sz w:val="24"/>
                <w:szCs w:val="24"/>
              </w:rPr>
              <w:t>сяко нарушение на правото на Съюза или на националното право, свързано с прилагането на тази разпоредба, произтичащо от действие или бездействие на икономически оператор, участващ в прилагането на европейските структурни и инвестиционни фондове, което има или би имало за последица нанасянето на вреда на бюджета на Съюза чрез начисляване на неправомерен разход в бюджета на Съюза.</w:t>
            </w:r>
          </w:p>
        </w:tc>
      </w:tr>
      <w:tr w:rsidR="00311B06" w:rsidRPr="008E4D35" w:rsidTr="0048471A">
        <w:tc>
          <w:tcPr>
            <w:tcW w:w="2660" w:type="dxa"/>
            <w:shd w:val="clear" w:color="auto" w:fill="E6E6E6"/>
          </w:tcPr>
          <w:p w:rsidR="00311B06" w:rsidRPr="008E4D35" w:rsidRDefault="00311B06" w:rsidP="00F14642">
            <w:pPr>
              <w:spacing w:before="100" w:beforeAutospacing="1" w:after="100" w:afterAutospacing="1" w:line="240" w:lineRule="auto"/>
              <w:rPr>
                <w:rFonts w:eastAsia="Times New Roman" w:cstheme="minorHAnsi"/>
                <w:b/>
                <w:snapToGrid w:val="0"/>
                <w:sz w:val="24"/>
                <w:szCs w:val="24"/>
              </w:rPr>
            </w:pPr>
            <w:r w:rsidRPr="008E4D35">
              <w:rPr>
                <w:rFonts w:eastAsia="Times New Roman" w:cstheme="minorHAnsi"/>
                <w:b/>
                <w:snapToGrid w:val="0"/>
                <w:sz w:val="24"/>
                <w:szCs w:val="24"/>
              </w:rPr>
              <w:t>Предприятие</w:t>
            </w:r>
          </w:p>
        </w:tc>
        <w:tc>
          <w:tcPr>
            <w:tcW w:w="6628" w:type="dxa"/>
            <w:shd w:val="clear" w:color="auto" w:fill="F3F3F3"/>
          </w:tcPr>
          <w:p w:rsidR="00311B06" w:rsidRPr="008E4D35" w:rsidRDefault="00311B06" w:rsidP="00F14642">
            <w:pPr>
              <w:spacing w:before="100" w:beforeAutospacing="1" w:after="100" w:afterAutospacing="1" w:line="240" w:lineRule="auto"/>
              <w:jc w:val="both"/>
              <w:rPr>
                <w:rFonts w:eastAsia="Times New Roman" w:cstheme="minorHAnsi"/>
                <w:snapToGrid w:val="0"/>
                <w:sz w:val="24"/>
                <w:szCs w:val="24"/>
              </w:rPr>
            </w:pPr>
            <w:r w:rsidRPr="008E4D35">
              <w:rPr>
                <w:rFonts w:eastAsia="Times New Roman" w:cstheme="minorHAnsi"/>
                <w:snapToGrid w:val="0"/>
                <w:sz w:val="24"/>
                <w:szCs w:val="24"/>
              </w:rPr>
              <w:t>Съгласно § 1, т. 1 от Допълнителните разпоредби на Закона за малките и средни предприятия, „предприятие” е всяко физическо лице, юридическо лице или гражданско дружество, което извършва стопанска дейност, независимо от собствеността, правната и организационната си форма.</w:t>
            </w:r>
          </w:p>
        </w:tc>
      </w:tr>
      <w:tr w:rsidR="00C5289A" w:rsidRPr="008E4D35" w:rsidTr="0048471A">
        <w:tc>
          <w:tcPr>
            <w:tcW w:w="2660" w:type="dxa"/>
            <w:shd w:val="clear" w:color="auto" w:fill="E6E6E6"/>
          </w:tcPr>
          <w:p w:rsidR="00C5289A" w:rsidRPr="008E4D35" w:rsidRDefault="00C5289A" w:rsidP="00F14642">
            <w:pPr>
              <w:spacing w:before="100" w:beforeAutospacing="1" w:after="100" w:afterAutospacing="1" w:line="240" w:lineRule="auto"/>
              <w:rPr>
                <w:rFonts w:eastAsia="Times New Roman" w:cstheme="minorHAnsi"/>
                <w:b/>
                <w:snapToGrid w:val="0"/>
                <w:sz w:val="24"/>
                <w:szCs w:val="24"/>
              </w:rPr>
            </w:pPr>
            <w:r w:rsidRPr="0091098E">
              <w:rPr>
                <w:rFonts w:eastAsia="Times New Roman" w:cstheme="minorHAnsi"/>
                <w:b/>
                <w:snapToGrid w:val="0"/>
                <w:sz w:val="24"/>
                <w:szCs w:val="24"/>
              </w:rPr>
              <w:t>Предприятие в затруднено положение</w:t>
            </w:r>
          </w:p>
        </w:tc>
        <w:tc>
          <w:tcPr>
            <w:tcW w:w="6628" w:type="dxa"/>
            <w:shd w:val="clear" w:color="auto" w:fill="F3F3F3"/>
          </w:tcPr>
          <w:p w:rsidR="00CB0C05" w:rsidRPr="00CB0C05" w:rsidRDefault="00884591" w:rsidP="00CB0C05">
            <w:pPr>
              <w:spacing w:after="60" w:line="240" w:lineRule="auto"/>
              <w:jc w:val="both"/>
              <w:rPr>
                <w:rFonts w:eastAsia="Times New Roman" w:cstheme="minorHAnsi"/>
                <w:snapToGrid w:val="0"/>
                <w:sz w:val="24"/>
                <w:szCs w:val="24"/>
              </w:rPr>
            </w:pPr>
            <w:r>
              <w:rPr>
                <w:rFonts w:eastAsia="Times New Roman" w:cstheme="minorHAnsi"/>
                <w:snapToGrid w:val="0"/>
                <w:sz w:val="24"/>
                <w:szCs w:val="24"/>
              </w:rPr>
              <w:t xml:space="preserve">Съгласно чл. 2, </w:t>
            </w:r>
            <w:proofErr w:type="spellStart"/>
            <w:r>
              <w:rPr>
                <w:rFonts w:eastAsia="Times New Roman" w:cstheme="minorHAnsi"/>
                <w:snapToGrid w:val="0"/>
                <w:sz w:val="24"/>
                <w:szCs w:val="24"/>
              </w:rPr>
              <w:t>пар</w:t>
            </w:r>
            <w:proofErr w:type="spellEnd"/>
            <w:r>
              <w:rPr>
                <w:rFonts w:eastAsia="Times New Roman" w:cstheme="minorHAnsi"/>
                <w:snapToGrid w:val="0"/>
                <w:sz w:val="24"/>
                <w:szCs w:val="24"/>
              </w:rPr>
              <w:t>. 18 от Регламент (ЕО) № 651/2014</w:t>
            </w:r>
            <w:r>
              <w:t xml:space="preserve"> </w:t>
            </w:r>
            <w:r>
              <w:rPr>
                <w:rFonts w:eastAsia="Times New Roman" w:cstheme="minorHAnsi"/>
                <w:snapToGrid w:val="0"/>
                <w:sz w:val="24"/>
                <w:szCs w:val="24"/>
              </w:rPr>
              <w:t>п</w:t>
            </w:r>
            <w:r w:rsidRPr="00884591">
              <w:rPr>
                <w:rFonts w:eastAsia="Times New Roman" w:cstheme="minorHAnsi"/>
                <w:snapToGrid w:val="0"/>
                <w:sz w:val="24"/>
                <w:szCs w:val="24"/>
              </w:rPr>
              <w:t xml:space="preserve">редприятие в затруднено положение </w:t>
            </w:r>
            <w:r>
              <w:rPr>
                <w:rFonts w:eastAsia="Times New Roman" w:cstheme="minorHAnsi"/>
                <w:snapToGrid w:val="0"/>
                <w:sz w:val="24"/>
                <w:szCs w:val="24"/>
              </w:rPr>
              <w:t>е п</w:t>
            </w:r>
            <w:r w:rsidR="00CB0C05" w:rsidRPr="00CB0C05">
              <w:rPr>
                <w:rFonts w:eastAsia="Times New Roman" w:cstheme="minorHAnsi"/>
                <w:snapToGrid w:val="0"/>
                <w:sz w:val="24"/>
                <w:szCs w:val="24"/>
              </w:rPr>
              <w:t>редприятие, по отношение на което е изпълнено поне едно от следните обстоятелства:</w:t>
            </w:r>
          </w:p>
          <w:p w:rsidR="00CB0C05" w:rsidRPr="00CB0C05" w:rsidRDefault="00CB0C05" w:rsidP="00CB0C05">
            <w:pPr>
              <w:spacing w:after="60" w:line="240" w:lineRule="auto"/>
              <w:jc w:val="both"/>
              <w:rPr>
                <w:rFonts w:eastAsia="Times New Roman" w:cstheme="minorHAnsi"/>
                <w:snapToGrid w:val="0"/>
                <w:sz w:val="24"/>
                <w:szCs w:val="24"/>
              </w:rPr>
            </w:pPr>
            <w:r w:rsidRPr="00CB0C05">
              <w:rPr>
                <w:rFonts w:eastAsia="Times New Roman" w:cstheme="minorHAnsi"/>
                <w:snapToGrid w:val="0"/>
                <w:sz w:val="24"/>
                <w:szCs w:val="24"/>
              </w:rPr>
              <w:t xml:space="preserve">а) в случай на акционерно дружество, </w:t>
            </w:r>
            <w:proofErr w:type="spellStart"/>
            <w:r w:rsidRPr="00CB0C05">
              <w:rPr>
                <w:rFonts w:eastAsia="Times New Roman" w:cstheme="minorHAnsi"/>
                <w:snapToGrid w:val="0"/>
                <w:sz w:val="24"/>
                <w:szCs w:val="24"/>
              </w:rPr>
              <w:t>дружество</w:t>
            </w:r>
            <w:proofErr w:type="spellEnd"/>
            <w:r w:rsidRPr="00CB0C05">
              <w:rPr>
                <w:rFonts w:eastAsia="Times New Roman" w:cstheme="minorHAnsi"/>
                <w:snapToGrid w:val="0"/>
                <w:sz w:val="24"/>
                <w:szCs w:val="24"/>
              </w:rPr>
              <w:t xml:space="preserve"> с ограничена отговорност, командитно дружество с акции или кооперация или други дружества по Приложение I към Директива 2013/34/ЕС (което не е МСП, което съществува по-малко от три години), когато неговият записан акционерен капитал е намалял с повече от половината поради натрупани загуби. Такъв е случаят, когато приспадането на натрупаните загуби от резервите (и всички други елементи, които по </w:t>
            </w:r>
            <w:r w:rsidRPr="00CB0C05">
              <w:rPr>
                <w:rFonts w:eastAsia="Times New Roman" w:cstheme="minorHAnsi"/>
                <w:snapToGrid w:val="0"/>
                <w:sz w:val="24"/>
                <w:szCs w:val="24"/>
              </w:rPr>
              <w:lastRenderedPageBreak/>
              <w:t>принцип се считат за част от собствения капитал на дружеството) води до отрицателен кумулативен резултат, който надхвърля половината от записания акционерен капитал. За целите на настоящата разпоредба под понятието „дружество с ограничена отговорност" се разбира по-специално видовете дружества, посочени в приложение I към Директива 2013/34/ЕС, а понятието „акционерен капитал" включва, когато е уместно, премии от акции;</w:t>
            </w:r>
          </w:p>
          <w:p w:rsidR="00CB0C05" w:rsidRDefault="00CB0C05" w:rsidP="00CB0C05">
            <w:pPr>
              <w:spacing w:after="60" w:line="240" w:lineRule="auto"/>
              <w:jc w:val="both"/>
              <w:rPr>
                <w:rFonts w:eastAsia="Times New Roman" w:cstheme="minorHAnsi"/>
                <w:snapToGrid w:val="0"/>
                <w:sz w:val="24"/>
                <w:szCs w:val="24"/>
              </w:rPr>
            </w:pPr>
            <w:r w:rsidRPr="00CB0C05">
              <w:rPr>
                <w:rFonts w:eastAsia="Times New Roman" w:cstheme="minorHAnsi"/>
                <w:snapToGrid w:val="0"/>
                <w:sz w:val="24"/>
                <w:szCs w:val="24"/>
              </w:rPr>
              <w:t xml:space="preserve">б) в случай на събирателно дружество, командитно дружество или едноличен търговец или други лица по Приложение II към Директива 2013/34/ЕС (което не е МСП, което съществува по-малко от три години), когато капиталът, вписан в баланса на дружеството, е намалял с повече от половината поради натрупани загуби. За целите на настоящата разпоредба под понятието „дружество, при което поне някои </w:t>
            </w:r>
            <w:proofErr w:type="spellStart"/>
            <w:r w:rsidRPr="00CB0C05">
              <w:rPr>
                <w:rFonts w:eastAsia="Times New Roman" w:cstheme="minorHAnsi"/>
                <w:snapToGrid w:val="0"/>
                <w:sz w:val="24"/>
                <w:szCs w:val="24"/>
              </w:rPr>
              <w:t>съдружници</w:t>
            </w:r>
            <w:proofErr w:type="spellEnd"/>
            <w:r w:rsidRPr="00CB0C05">
              <w:rPr>
                <w:rFonts w:eastAsia="Times New Roman" w:cstheme="minorHAnsi"/>
                <w:snapToGrid w:val="0"/>
                <w:sz w:val="24"/>
                <w:szCs w:val="24"/>
              </w:rPr>
              <w:t xml:space="preserve"> носят неограничена отгов</w:t>
            </w:r>
            <w:r w:rsidR="00020E0B">
              <w:rPr>
                <w:rFonts w:eastAsia="Times New Roman" w:cstheme="minorHAnsi"/>
                <w:snapToGrid w:val="0"/>
                <w:sz w:val="24"/>
                <w:szCs w:val="24"/>
              </w:rPr>
              <w:t>орност за задълженията на друже</w:t>
            </w:r>
            <w:r w:rsidRPr="00CB0C05">
              <w:rPr>
                <w:rFonts w:eastAsia="Times New Roman" w:cstheme="minorHAnsi"/>
                <w:snapToGrid w:val="0"/>
                <w:sz w:val="24"/>
                <w:szCs w:val="24"/>
              </w:rPr>
              <w:t>ството", се разбира по-специално типовете дружества, посочени в приложение II към Директива 2013/34/ЕС;</w:t>
            </w:r>
          </w:p>
          <w:p w:rsidR="00CB0C05" w:rsidRPr="00CB0C05" w:rsidRDefault="00CB0C05" w:rsidP="00CB0C05">
            <w:pPr>
              <w:spacing w:after="60" w:line="240" w:lineRule="auto"/>
              <w:jc w:val="both"/>
              <w:rPr>
                <w:rFonts w:eastAsia="Times New Roman" w:cstheme="minorHAnsi"/>
                <w:snapToGrid w:val="0"/>
                <w:sz w:val="24"/>
                <w:szCs w:val="24"/>
              </w:rPr>
            </w:pPr>
            <w:r w:rsidRPr="00CB0C05">
              <w:rPr>
                <w:rFonts w:eastAsia="Times New Roman" w:cstheme="minorHAnsi"/>
                <w:snapToGrid w:val="0"/>
                <w:sz w:val="24"/>
                <w:szCs w:val="24"/>
              </w:rPr>
              <w:t>в) когато предприятието е в процедура по колективна несъстоятелност или отговаря на критериите на своето вътрешно право, за да бъде обект на процедура по колективна несъстоятелн</w:t>
            </w:r>
            <w:r w:rsidR="008423D6">
              <w:rPr>
                <w:rFonts w:eastAsia="Times New Roman" w:cstheme="minorHAnsi"/>
                <w:snapToGrid w:val="0"/>
                <w:sz w:val="24"/>
                <w:szCs w:val="24"/>
              </w:rPr>
              <w:t>ост по искане на неговите креди</w:t>
            </w:r>
            <w:r w:rsidRPr="00CB0C05">
              <w:rPr>
                <w:rFonts w:eastAsia="Times New Roman" w:cstheme="minorHAnsi"/>
                <w:snapToGrid w:val="0"/>
                <w:sz w:val="24"/>
                <w:szCs w:val="24"/>
              </w:rPr>
              <w:t>тори;</w:t>
            </w:r>
          </w:p>
          <w:p w:rsidR="00C5289A" w:rsidRPr="008E4D35" w:rsidRDefault="00CB0C05" w:rsidP="00CB0C05">
            <w:pPr>
              <w:spacing w:after="60" w:line="240" w:lineRule="auto"/>
              <w:jc w:val="both"/>
              <w:rPr>
                <w:rFonts w:eastAsia="Times New Roman" w:cstheme="minorHAnsi"/>
                <w:snapToGrid w:val="0"/>
                <w:sz w:val="24"/>
                <w:szCs w:val="24"/>
              </w:rPr>
            </w:pPr>
            <w:r w:rsidRPr="00CB0C05">
              <w:rPr>
                <w:rFonts w:eastAsia="Times New Roman" w:cstheme="minorHAnsi"/>
                <w:snapToGrid w:val="0"/>
                <w:sz w:val="24"/>
                <w:szCs w:val="24"/>
              </w:rPr>
              <w:t>г) когато предприятието е получило помощ за оздравяване и все още не е възстановило заема или не е прекратило гаранцията, или е получило помощ за преструктуриране и все още е обект на план за преструктуриране.</w:t>
            </w:r>
          </w:p>
        </w:tc>
      </w:tr>
      <w:tr w:rsidR="00C5289A" w:rsidRPr="008E4D35" w:rsidTr="0048471A">
        <w:tc>
          <w:tcPr>
            <w:tcW w:w="2660" w:type="dxa"/>
            <w:shd w:val="clear" w:color="auto" w:fill="E6E6E6"/>
          </w:tcPr>
          <w:p w:rsidR="00C5289A" w:rsidRPr="008E4D35" w:rsidRDefault="00C5289A" w:rsidP="00F14642">
            <w:pPr>
              <w:spacing w:before="100" w:beforeAutospacing="1" w:after="100" w:afterAutospacing="1" w:line="240" w:lineRule="auto"/>
              <w:rPr>
                <w:rFonts w:eastAsia="Times New Roman" w:cstheme="minorHAnsi"/>
                <w:b/>
                <w:snapToGrid w:val="0"/>
                <w:sz w:val="24"/>
                <w:szCs w:val="24"/>
              </w:rPr>
            </w:pPr>
            <w:r w:rsidRPr="00D45B42">
              <w:rPr>
                <w:rFonts w:eastAsia="Times New Roman" w:cstheme="minorHAnsi"/>
                <w:b/>
                <w:snapToGrid w:val="0"/>
                <w:sz w:val="24"/>
                <w:szCs w:val="24"/>
              </w:rPr>
              <w:lastRenderedPageBreak/>
              <w:t>Преработка на селскостопански продукти</w:t>
            </w:r>
          </w:p>
        </w:tc>
        <w:tc>
          <w:tcPr>
            <w:tcW w:w="6628" w:type="dxa"/>
            <w:shd w:val="clear" w:color="auto" w:fill="F3F3F3"/>
          </w:tcPr>
          <w:p w:rsidR="00D45B42" w:rsidRPr="008E4D35" w:rsidRDefault="00960116" w:rsidP="00960116">
            <w:pPr>
              <w:spacing w:before="100" w:beforeAutospacing="1" w:after="100" w:afterAutospacing="1" w:line="240" w:lineRule="auto"/>
              <w:jc w:val="both"/>
              <w:rPr>
                <w:rFonts w:eastAsia="Times New Roman" w:cstheme="minorHAnsi"/>
                <w:snapToGrid w:val="0"/>
                <w:sz w:val="24"/>
                <w:szCs w:val="24"/>
              </w:rPr>
            </w:pPr>
            <w:r>
              <w:rPr>
                <w:rFonts w:eastAsia="Times New Roman" w:cstheme="minorHAnsi"/>
                <w:snapToGrid w:val="0"/>
                <w:sz w:val="24"/>
                <w:szCs w:val="24"/>
              </w:rPr>
              <w:t xml:space="preserve">Съгласно чл. 2, </w:t>
            </w:r>
            <w:proofErr w:type="spellStart"/>
            <w:r>
              <w:rPr>
                <w:rFonts w:eastAsia="Times New Roman" w:cstheme="minorHAnsi"/>
                <w:snapToGrid w:val="0"/>
                <w:sz w:val="24"/>
                <w:szCs w:val="24"/>
              </w:rPr>
              <w:t>пар</w:t>
            </w:r>
            <w:proofErr w:type="spellEnd"/>
            <w:r>
              <w:rPr>
                <w:rFonts w:eastAsia="Times New Roman" w:cstheme="minorHAnsi"/>
                <w:snapToGrid w:val="0"/>
                <w:sz w:val="24"/>
                <w:szCs w:val="24"/>
              </w:rPr>
              <w:t>. 11 от Регламент (ЕО) № 651/2014</w:t>
            </w:r>
            <w:r>
              <w:t xml:space="preserve"> </w:t>
            </w:r>
            <w:r w:rsidRPr="00960116">
              <w:rPr>
                <w:rFonts w:eastAsia="Times New Roman" w:cstheme="minorHAnsi"/>
                <w:snapToGrid w:val="0"/>
                <w:sz w:val="24"/>
                <w:szCs w:val="24"/>
              </w:rPr>
              <w:t>това е</w:t>
            </w:r>
            <w:r>
              <w:t xml:space="preserve"> </w:t>
            </w:r>
            <w:r>
              <w:rPr>
                <w:rFonts w:eastAsia="Times New Roman" w:cstheme="minorHAnsi"/>
                <w:snapToGrid w:val="0"/>
                <w:sz w:val="24"/>
                <w:szCs w:val="24"/>
              </w:rPr>
              <w:t>в</w:t>
            </w:r>
            <w:r w:rsidRPr="00D45B42">
              <w:rPr>
                <w:rFonts w:eastAsia="Times New Roman" w:cstheme="minorHAnsi"/>
                <w:snapToGrid w:val="0"/>
                <w:sz w:val="24"/>
                <w:szCs w:val="24"/>
              </w:rPr>
              <w:t xml:space="preserve">сяка </w:t>
            </w:r>
            <w:r w:rsidR="00D45B42" w:rsidRPr="00D45B42">
              <w:rPr>
                <w:rFonts w:eastAsia="Times New Roman" w:cstheme="minorHAnsi"/>
                <w:snapToGrid w:val="0"/>
                <w:sz w:val="24"/>
                <w:szCs w:val="24"/>
              </w:rPr>
              <w:t>една операция върху селскостопански продукт, от която се получава също селскостопански продукт, с изключение на дейностите, осъществявани на място в земеделското стопанство, които са необходими за подготовката на животински или растителен</w:t>
            </w:r>
            <w:r w:rsidR="00D45B42">
              <w:rPr>
                <w:rFonts w:eastAsia="Times New Roman" w:cstheme="minorHAnsi"/>
                <w:snapToGrid w:val="0"/>
                <w:sz w:val="24"/>
                <w:szCs w:val="24"/>
              </w:rPr>
              <w:t xml:space="preserve"> продукт за първата му продажба.</w:t>
            </w:r>
          </w:p>
        </w:tc>
      </w:tr>
      <w:tr w:rsidR="00EA1E54" w:rsidRPr="008E4D35" w:rsidTr="0048471A">
        <w:tc>
          <w:tcPr>
            <w:tcW w:w="2660" w:type="dxa"/>
            <w:shd w:val="clear" w:color="auto" w:fill="E6E6E6"/>
          </w:tcPr>
          <w:p w:rsidR="00EA1E54" w:rsidRPr="008E4D35" w:rsidRDefault="00EA1E54" w:rsidP="00F14642">
            <w:pPr>
              <w:spacing w:before="100" w:beforeAutospacing="1" w:after="100" w:afterAutospacing="1" w:line="240" w:lineRule="auto"/>
              <w:rPr>
                <w:rFonts w:eastAsia="Times New Roman" w:cstheme="minorHAnsi"/>
                <w:b/>
                <w:snapToGrid w:val="0"/>
                <w:sz w:val="24"/>
                <w:szCs w:val="24"/>
              </w:rPr>
            </w:pPr>
            <w:r w:rsidRPr="008E4D35">
              <w:rPr>
                <w:rFonts w:eastAsia="Times New Roman" w:cstheme="minorHAnsi"/>
                <w:b/>
                <w:snapToGrid w:val="0"/>
                <w:sz w:val="24"/>
                <w:szCs w:val="24"/>
              </w:rPr>
              <w:t>Проект</w:t>
            </w:r>
          </w:p>
        </w:tc>
        <w:tc>
          <w:tcPr>
            <w:tcW w:w="6628" w:type="dxa"/>
            <w:shd w:val="clear" w:color="auto" w:fill="F3F3F3"/>
          </w:tcPr>
          <w:p w:rsidR="00EA1E54" w:rsidRPr="008E4D35" w:rsidRDefault="00EA1E54" w:rsidP="00F14642">
            <w:pPr>
              <w:spacing w:before="100" w:beforeAutospacing="1" w:after="100" w:afterAutospacing="1" w:line="240" w:lineRule="auto"/>
              <w:jc w:val="both"/>
              <w:rPr>
                <w:rFonts w:eastAsia="Times New Roman" w:cstheme="minorHAnsi"/>
                <w:snapToGrid w:val="0"/>
                <w:sz w:val="24"/>
                <w:szCs w:val="24"/>
              </w:rPr>
            </w:pPr>
            <w:r w:rsidRPr="008E4D35">
              <w:rPr>
                <w:rFonts w:eastAsia="Times New Roman" w:cstheme="minorHAnsi"/>
                <w:snapToGrid w:val="0"/>
                <w:sz w:val="24"/>
                <w:szCs w:val="24"/>
              </w:rPr>
              <w:t xml:space="preserve">Съвкупност от взаимосвързани и </w:t>
            </w:r>
            <w:proofErr w:type="spellStart"/>
            <w:r w:rsidRPr="008E4D35">
              <w:rPr>
                <w:rFonts w:eastAsia="Times New Roman" w:cstheme="minorHAnsi"/>
                <w:snapToGrid w:val="0"/>
                <w:sz w:val="24"/>
                <w:szCs w:val="24"/>
              </w:rPr>
              <w:t>взаимодопълващи</w:t>
            </w:r>
            <w:proofErr w:type="spellEnd"/>
            <w:r w:rsidRPr="008E4D35">
              <w:rPr>
                <w:rFonts w:eastAsia="Times New Roman" w:cstheme="minorHAnsi"/>
                <w:snapToGrid w:val="0"/>
                <w:sz w:val="24"/>
                <w:szCs w:val="24"/>
              </w:rPr>
              <w:t xml:space="preserve"> се дейности с предварително определена/и цел/и, необходими ресурси и времева рамка за изпълнение, водещи до постигането на конкретни количествено-измерими резултати.</w:t>
            </w:r>
          </w:p>
        </w:tc>
      </w:tr>
      <w:tr w:rsidR="00EA1E54" w:rsidRPr="008E4D35" w:rsidTr="0048471A">
        <w:tc>
          <w:tcPr>
            <w:tcW w:w="2660" w:type="dxa"/>
            <w:shd w:val="clear" w:color="auto" w:fill="E6E6E6"/>
          </w:tcPr>
          <w:p w:rsidR="00EA1E54" w:rsidRPr="008E4D35" w:rsidRDefault="00EA1E54" w:rsidP="00F14642">
            <w:pPr>
              <w:spacing w:before="100" w:beforeAutospacing="1" w:after="100" w:afterAutospacing="1" w:line="240" w:lineRule="auto"/>
              <w:rPr>
                <w:rFonts w:eastAsia="Times New Roman" w:cstheme="minorHAnsi"/>
                <w:b/>
                <w:snapToGrid w:val="0"/>
                <w:sz w:val="24"/>
                <w:szCs w:val="24"/>
              </w:rPr>
            </w:pPr>
            <w:r w:rsidRPr="008E4D35">
              <w:rPr>
                <w:rFonts w:eastAsia="Times New Roman" w:cstheme="minorHAnsi"/>
                <w:b/>
                <w:snapToGrid w:val="0"/>
                <w:sz w:val="24"/>
                <w:szCs w:val="24"/>
              </w:rPr>
              <w:t xml:space="preserve">Проектно предложение </w:t>
            </w:r>
          </w:p>
        </w:tc>
        <w:tc>
          <w:tcPr>
            <w:tcW w:w="6628" w:type="dxa"/>
            <w:shd w:val="clear" w:color="auto" w:fill="F3F3F3"/>
          </w:tcPr>
          <w:p w:rsidR="00EA1E54" w:rsidRPr="008E4D35" w:rsidRDefault="00EA1E54" w:rsidP="00F14642">
            <w:pPr>
              <w:spacing w:before="100" w:beforeAutospacing="1" w:after="100" w:afterAutospacing="1" w:line="240" w:lineRule="auto"/>
              <w:jc w:val="both"/>
              <w:rPr>
                <w:rFonts w:eastAsia="Times New Roman" w:cstheme="minorHAnsi"/>
                <w:snapToGrid w:val="0"/>
                <w:sz w:val="24"/>
                <w:szCs w:val="24"/>
              </w:rPr>
            </w:pPr>
            <w:r w:rsidRPr="008E4D35">
              <w:rPr>
                <w:rFonts w:eastAsia="Times New Roman" w:cstheme="minorHAnsi"/>
                <w:snapToGrid w:val="0"/>
                <w:sz w:val="24"/>
                <w:szCs w:val="24"/>
              </w:rPr>
              <w:t xml:space="preserve">Предложение, подадено от кандидат, за предоставяне на безвъзмездна финансова помощ за изпълнението на определен проект, включващо формуляр за кандидатстване и други </w:t>
            </w:r>
            <w:proofErr w:type="spellStart"/>
            <w:r w:rsidRPr="008E4D35">
              <w:rPr>
                <w:rFonts w:eastAsia="Times New Roman" w:cstheme="minorHAnsi"/>
                <w:snapToGrid w:val="0"/>
                <w:sz w:val="24"/>
                <w:szCs w:val="24"/>
              </w:rPr>
              <w:t>придружителни</w:t>
            </w:r>
            <w:proofErr w:type="spellEnd"/>
            <w:r w:rsidRPr="008E4D35">
              <w:rPr>
                <w:rFonts w:eastAsia="Times New Roman" w:cstheme="minorHAnsi"/>
                <w:snapToGrid w:val="0"/>
                <w:sz w:val="24"/>
                <w:szCs w:val="24"/>
              </w:rPr>
              <w:t xml:space="preserve"> документи.</w:t>
            </w:r>
          </w:p>
        </w:tc>
      </w:tr>
      <w:tr w:rsidR="00E17783" w:rsidRPr="008E4D35" w:rsidTr="0048471A">
        <w:tc>
          <w:tcPr>
            <w:tcW w:w="2660" w:type="dxa"/>
            <w:shd w:val="clear" w:color="auto" w:fill="E6E6E6"/>
          </w:tcPr>
          <w:p w:rsidR="00E17783" w:rsidRPr="002A6026" w:rsidRDefault="00E17783" w:rsidP="00E17783">
            <w:pPr>
              <w:spacing w:before="100" w:beforeAutospacing="1" w:after="100" w:afterAutospacing="1" w:line="240" w:lineRule="auto"/>
              <w:rPr>
                <w:rFonts w:eastAsia="Times New Roman" w:cstheme="minorHAnsi"/>
                <w:b/>
                <w:snapToGrid w:val="0"/>
                <w:sz w:val="24"/>
                <w:szCs w:val="24"/>
              </w:rPr>
            </w:pPr>
            <w:r>
              <w:rPr>
                <w:rFonts w:eastAsia="Times New Roman" w:cstheme="minorHAnsi"/>
                <w:b/>
                <w:snapToGrid w:val="0"/>
                <w:sz w:val="24"/>
                <w:szCs w:val="24"/>
              </w:rPr>
              <w:lastRenderedPageBreak/>
              <w:t>П</w:t>
            </w:r>
            <w:r w:rsidRPr="0012614C">
              <w:rPr>
                <w:rFonts w:eastAsia="Times New Roman" w:cstheme="minorHAnsi"/>
                <w:b/>
                <w:snapToGrid w:val="0"/>
                <w:sz w:val="24"/>
                <w:szCs w:val="24"/>
              </w:rPr>
              <w:t>роизводство и дистрибуция на електроенергия и енергийните инфраструктури</w:t>
            </w:r>
          </w:p>
        </w:tc>
        <w:tc>
          <w:tcPr>
            <w:tcW w:w="6628" w:type="dxa"/>
            <w:shd w:val="clear" w:color="auto" w:fill="F3F3F3"/>
          </w:tcPr>
          <w:p w:rsidR="00E17783" w:rsidRPr="00FD2BCA" w:rsidRDefault="00E17783" w:rsidP="00E17783">
            <w:pPr>
              <w:pStyle w:val="FootnoteText"/>
              <w:spacing w:after="60"/>
              <w:jc w:val="both"/>
              <w:rPr>
                <w:sz w:val="24"/>
                <w:szCs w:val="24"/>
              </w:rPr>
            </w:pPr>
            <w:r>
              <w:rPr>
                <w:sz w:val="24"/>
                <w:szCs w:val="24"/>
              </w:rPr>
              <w:t xml:space="preserve">Сектор </w:t>
            </w:r>
            <w:r>
              <w:rPr>
                <w:sz w:val="24"/>
                <w:szCs w:val="24"/>
                <w:lang w:val="en-US"/>
              </w:rPr>
              <w:t>D “</w:t>
            </w:r>
            <w:r>
              <w:rPr>
                <w:sz w:val="24"/>
                <w:szCs w:val="24"/>
              </w:rPr>
              <w:t>Производство и разпределение на електрическа и топлинна енергия и на газообразни горива“ съгласно КИД-2008</w:t>
            </w:r>
          </w:p>
        </w:tc>
      </w:tr>
      <w:tr w:rsidR="00EA1E54" w:rsidRPr="008E4D35" w:rsidTr="0048471A">
        <w:tc>
          <w:tcPr>
            <w:tcW w:w="2660" w:type="dxa"/>
            <w:shd w:val="clear" w:color="auto" w:fill="E6E6E6"/>
          </w:tcPr>
          <w:p w:rsidR="00EA1E54" w:rsidRPr="008E4D35" w:rsidRDefault="00EA1E54" w:rsidP="00F14642">
            <w:pPr>
              <w:spacing w:before="100" w:beforeAutospacing="1" w:after="100" w:afterAutospacing="1" w:line="240" w:lineRule="auto"/>
              <w:rPr>
                <w:rFonts w:eastAsia="Times New Roman" w:cstheme="minorHAnsi"/>
                <w:b/>
                <w:snapToGrid w:val="0"/>
                <w:sz w:val="24"/>
                <w:szCs w:val="24"/>
              </w:rPr>
            </w:pPr>
            <w:r w:rsidRPr="00294A6E">
              <w:rPr>
                <w:rFonts w:eastAsia="Times New Roman" w:cstheme="minorHAnsi"/>
                <w:b/>
                <w:snapToGrid w:val="0"/>
                <w:sz w:val="24"/>
                <w:szCs w:val="24"/>
              </w:rPr>
              <w:t>Първично селскостопанско производство</w:t>
            </w:r>
          </w:p>
        </w:tc>
        <w:tc>
          <w:tcPr>
            <w:tcW w:w="6628" w:type="dxa"/>
            <w:shd w:val="clear" w:color="auto" w:fill="F3F3F3"/>
          </w:tcPr>
          <w:p w:rsidR="00EA1E54" w:rsidRPr="008E4D35" w:rsidRDefault="002B20F2" w:rsidP="00D31E18">
            <w:pPr>
              <w:spacing w:before="100" w:beforeAutospacing="1" w:after="100" w:afterAutospacing="1" w:line="240" w:lineRule="auto"/>
              <w:jc w:val="both"/>
              <w:rPr>
                <w:rFonts w:eastAsia="Times New Roman" w:cstheme="minorHAnsi"/>
                <w:snapToGrid w:val="0"/>
                <w:sz w:val="24"/>
                <w:szCs w:val="24"/>
              </w:rPr>
            </w:pPr>
            <w:r>
              <w:rPr>
                <w:rFonts w:eastAsia="Times New Roman" w:cstheme="minorHAnsi"/>
                <w:snapToGrid w:val="0"/>
                <w:sz w:val="24"/>
                <w:szCs w:val="24"/>
              </w:rPr>
              <w:t xml:space="preserve">Съгласно чл. 2, </w:t>
            </w:r>
            <w:proofErr w:type="spellStart"/>
            <w:r>
              <w:rPr>
                <w:rFonts w:eastAsia="Times New Roman" w:cstheme="minorHAnsi"/>
                <w:snapToGrid w:val="0"/>
                <w:sz w:val="24"/>
                <w:szCs w:val="24"/>
              </w:rPr>
              <w:t>пар</w:t>
            </w:r>
            <w:proofErr w:type="spellEnd"/>
            <w:r>
              <w:rPr>
                <w:rFonts w:eastAsia="Times New Roman" w:cstheme="minorHAnsi"/>
                <w:snapToGrid w:val="0"/>
                <w:sz w:val="24"/>
                <w:szCs w:val="24"/>
              </w:rPr>
              <w:t xml:space="preserve">. 9 от Регламент (ЕО) № 651/2014  това е </w:t>
            </w:r>
            <w:r>
              <w:rPr>
                <w:rFonts w:eastAsia="Times New Roman" w:cstheme="minorHAnsi"/>
                <w:snapToGrid w:val="0"/>
                <w:sz w:val="24"/>
                <w:szCs w:val="24"/>
                <w:lang w:val="bg"/>
              </w:rPr>
              <w:t>п</w:t>
            </w:r>
            <w:r w:rsidR="00294A6E" w:rsidRPr="00294A6E">
              <w:rPr>
                <w:rFonts w:eastAsia="Times New Roman" w:cstheme="minorHAnsi"/>
                <w:snapToGrid w:val="0"/>
                <w:sz w:val="24"/>
                <w:szCs w:val="24"/>
                <w:lang w:val="bg"/>
              </w:rPr>
              <w:t xml:space="preserve">роизводство на продукти на почвата и на животновъдството, изброени в Приложение </w:t>
            </w:r>
            <w:r w:rsidR="00294A6E" w:rsidRPr="00294A6E">
              <w:rPr>
                <w:rFonts w:eastAsia="Times New Roman" w:cstheme="minorHAnsi"/>
                <w:snapToGrid w:val="0"/>
                <w:sz w:val="24"/>
                <w:szCs w:val="24"/>
                <w:lang w:val="en-US"/>
              </w:rPr>
              <w:t xml:space="preserve">I </w:t>
            </w:r>
            <w:r w:rsidR="00294A6E" w:rsidRPr="00294A6E">
              <w:rPr>
                <w:rFonts w:eastAsia="Times New Roman" w:cstheme="minorHAnsi"/>
                <w:snapToGrid w:val="0"/>
                <w:sz w:val="24"/>
                <w:szCs w:val="24"/>
                <w:lang w:val="bg"/>
              </w:rPr>
              <w:t>към Договора</w:t>
            </w:r>
            <w:r w:rsidR="00D31E18" w:rsidRPr="00D31E18">
              <w:rPr>
                <w:sz w:val="24"/>
                <w:szCs w:val="24"/>
              </w:rPr>
              <w:t xml:space="preserve"> </w:t>
            </w:r>
            <w:r w:rsidR="00D31E18" w:rsidRPr="00D31E18">
              <w:rPr>
                <w:rFonts w:eastAsia="Times New Roman" w:cstheme="minorHAnsi"/>
                <w:snapToGrid w:val="0"/>
                <w:sz w:val="24"/>
                <w:szCs w:val="24"/>
              </w:rPr>
              <w:t>за създаване на европейската</w:t>
            </w:r>
            <w:r w:rsidR="00294A6E" w:rsidRPr="00294A6E">
              <w:rPr>
                <w:rFonts w:eastAsia="Times New Roman" w:cstheme="minorHAnsi"/>
                <w:snapToGrid w:val="0"/>
                <w:sz w:val="24"/>
                <w:szCs w:val="24"/>
                <w:lang w:val="bg"/>
              </w:rPr>
              <w:t xml:space="preserve"> (</w:t>
            </w:r>
            <w:r w:rsidR="00294A6E" w:rsidRPr="001826B1">
              <w:rPr>
                <w:rFonts w:eastAsia="Times New Roman" w:cstheme="minorHAnsi"/>
                <w:snapToGrid w:val="0"/>
                <w:sz w:val="24"/>
                <w:szCs w:val="24"/>
                <w:lang w:val="bg"/>
              </w:rPr>
              <w:t xml:space="preserve">Приложение </w:t>
            </w:r>
            <w:r w:rsidR="001826B1" w:rsidRPr="001826B1">
              <w:rPr>
                <w:rFonts w:eastAsia="Times New Roman" w:cstheme="minorHAnsi"/>
                <w:snapToGrid w:val="0"/>
                <w:sz w:val="24"/>
                <w:szCs w:val="24"/>
                <w:lang w:val="bg"/>
              </w:rPr>
              <w:t>С</w:t>
            </w:r>
            <w:r w:rsidR="00294A6E" w:rsidRPr="00294A6E">
              <w:rPr>
                <w:rFonts w:eastAsia="Times New Roman" w:cstheme="minorHAnsi"/>
                <w:snapToGrid w:val="0"/>
                <w:sz w:val="24"/>
                <w:szCs w:val="24"/>
                <w:lang w:val="bg"/>
              </w:rPr>
              <w:t>), без да се извършват никакви по-нататъшни операции, с които се променя естеството на тези продукти.</w:t>
            </w:r>
          </w:p>
        </w:tc>
      </w:tr>
      <w:tr w:rsidR="00EA1E54" w:rsidRPr="008E4D35" w:rsidTr="0048471A">
        <w:tc>
          <w:tcPr>
            <w:tcW w:w="2660" w:type="dxa"/>
            <w:shd w:val="clear" w:color="auto" w:fill="E6E6E6"/>
          </w:tcPr>
          <w:p w:rsidR="00EA1E54" w:rsidRPr="008E4D35" w:rsidRDefault="00EA1E54" w:rsidP="00F14642">
            <w:pPr>
              <w:spacing w:before="100" w:beforeAutospacing="1" w:after="100" w:afterAutospacing="1" w:line="240" w:lineRule="auto"/>
              <w:rPr>
                <w:rFonts w:eastAsia="Times New Roman" w:cstheme="minorHAnsi"/>
                <w:b/>
                <w:snapToGrid w:val="0"/>
                <w:sz w:val="24"/>
                <w:szCs w:val="24"/>
              </w:rPr>
            </w:pPr>
            <w:r w:rsidRPr="009944A0">
              <w:rPr>
                <w:rFonts w:eastAsia="Times New Roman" w:cstheme="minorHAnsi"/>
                <w:b/>
                <w:snapToGrid w:val="0"/>
                <w:sz w:val="24"/>
                <w:szCs w:val="24"/>
              </w:rPr>
              <w:t>Първоначална инвестиция</w:t>
            </w:r>
          </w:p>
        </w:tc>
        <w:tc>
          <w:tcPr>
            <w:tcW w:w="6628" w:type="dxa"/>
            <w:shd w:val="clear" w:color="auto" w:fill="F3F3F3"/>
          </w:tcPr>
          <w:p w:rsidR="009944A0" w:rsidRPr="009944A0" w:rsidRDefault="00F27621" w:rsidP="009944A0">
            <w:pPr>
              <w:spacing w:after="0" w:line="240" w:lineRule="auto"/>
              <w:jc w:val="both"/>
              <w:rPr>
                <w:rFonts w:eastAsia="Times New Roman" w:cstheme="minorHAnsi"/>
                <w:snapToGrid w:val="0"/>
                <w:sz w:val="24"/>
                <w:szCs w:val="24"/>
              </w:rPr>
            </w:pPr>
            <w:r>
              <w:rPr>
                <w:rFonts w:eastAsia="Times New Roman" w:cstheme="minorHAnsi"/>
                <w:snapToGrid w:val="0"/>
                <w:sz w:val="24"/>
                <w:szCs w:val="24"/>
              </w:rPr>
              <w:t xml:space="preserve">Съгласно чл. 2, </w:t>
            </w:r>
            <w:proofErr w:type="spellStart"/>
            <w:r>
              <w:rPr>
                <w:rFonts w:eastAsia="Times New Roman" w:cstheme="minorHAnsi"/>
                <w:snapToGrid w:val="0"/>
                <w:sz w:val="24"/>
                <w:szCs w:val="24"/>
              </w:rPr>
              <w:t>пар</w:t>
            </w:r>
            <w:proofErr w:type="spellEnd"/>
            <w:r>
              <w:rPr>
                <w:rFonts w:eastAsia="Times New Roman" w:cstheme="minorHAnsi"/>
                <w:snapToGrid w:val="0"/>
                <w:sz w:val="24"/>
                <w:szCs w:val="24"/>
              </w:rPr>
              <w:t>. 49 от Регламент (ЕО) № 651/2014</w:t>
            </w:r>
            <w:r w:rsidR="005C3A6A">
              <w:t>, п</w:t>
            </w:r>
            <w:r w:rsidR="009944A0" w:rsidRPr="009944A0">
              <w:rPr>
                <w:rFonts w:eastAsia="Times New Roman" w:cstheme="minorHAnsi"/>
                <w:snapToGrid w:val="0"/>
                <w:sz w:val="24"/>
                <w:szCs w:val="24"/>
              </w:rPr>
              <w:t>ървоначална инвестиция означава:</w:t>
            </w:r>
          </w:p>
          <w:p w:rsidR="009944A0" w:rsidRDefault="009944A0" w:rsidP="009944A0">
            <w:pPr>
              <w:spacing w:after="0" w:line="240" w:lineRule="auto"/>
              <w:jc w:val="both"/>
              <w:rPr>
                <w:rFonts w:eastAsia="Times New Roman" w:cstheme="minorHAnsi"/>
                <w:snapToGrid w:val="0"/>
                <w:sz w:val="24"/>
                <w:szCs w:val="24"/>
              </w:rPr>
            </w:pPr>
            <w:r w:rsidRPr="009944A0">
              <w:rPr>
                <w:rFonts w:eastAsia="Times New Roman" w:cstheme="minorHAnsi"/>
                <w:snapToGrid w:val="0"/>
                <w:sz w:val="24"/>
                <w:szCs w:val="24"/>
              </w:rPr>
              <w:t xml:space="preserve">а) инвестиция в материални и нематериални активи, свързани със създаването на нов стопански обект, разширяването на капацитета на съществуващ стопански обект, диверсификацията на продукцията на стопански обект с продукти, които не са били произвеждани до момента в стопанския обект, или основна промяна в целия производствен процес на съществуващ стопански обект; или </w:t>
            </w:r>
          </w:p>
          <w:p w:rsidR="00EA1E54" w:rsidRPr="008E4D35" w:rsidRDefault="009944A0" w:rsidP="009944A0">
            <w:pPr>
              <w:spacing w:after="0" w:line="240" w:lineRule="auto"/>
              <w:jc w:val="both"/>
              <w:rPr>
                <w:rFonts w:eastAsia="Times New Roman" w:cstheme="minorHAnsi"/>
                <w:snapToGrid w:val="0"/>
                <w:sz w:val="24"/>
                <w:szCs w:val="24"/>
              </w:rPr>
            </w:pPr>
            <w:r w:rsidRPr="009944A0">
              <w:rPr>
                <w:rFonts w:eastAsia="Times New Roman" w:cstheme="minorHAnsi"/>
                <w:snapToGrid w:val="0"/>
                <w:sz w:val="24"/>
                <w:szCs w:val="24"/>
              </w:rPr>
              <w:t>б) придобиване на активи, принадлежащи на стопански обект, който е закрит или е щял да бъде закрит, ако не е бил закупен, и е закупен от инвеститор, който не е свързан с продавача, и изключва простото изкупуване на акциите или</w:t>
            </w:r>
            <w:r>
              <w:rPr>
                <w:rFonts w:eastAsia="Times New Roman" w:cstheme="minorHAnsi"/>
                <w:snapToGrid w:val="0"/>
                <w:sz w:val="24"/>
                <w:szCs w:val="24"/>
              </w:rPr>
              <w:t xml:space="preserve"> дяловете на дадено предприятие.</w:t>
            </w:r>
          </w:p>
        </w:tc>
      </w:tr>
      <w:tr w:rsidR="00486046" w:rsidRPr="008E4D35" w:rsidTr="0048471A">
        <w:tc>
          <w:tcPr>
            <w:tcW w:w="2660" w:type="dxa"/>
            <w:shd w:val="clear" w:color="auto" w:fill="E6E6E6"/>
          </w:tcPr>
          <w:p w:rsidR="00486046" w:rsidRPr="009944A0" w:rsidRDefault="00486046" w:rsidP="00F14642">
            <w:pPr>
              <w:spacing w:before="100" w:beforeAutospacing="1" w:after="100" w:afterAutospacing="1" w:line="240" w:lineRule="auto"/>
              <w:rPr>
                <w:rFonts w:eastAsia="Times New Roman" w:cstheme="minorHAnsi"/>
                <w:b/>
                <w:snapToGrid w:val="0"/>
                <w:sz w:val="24"/>
                <w:szCs w:val="24"/>
              </w:rPr>
            </w:pPr>
            <w:r w:rsidRPr="00486046">
              <w:rPr>
                <w:rFonts w:eastAsia="Times New Roman" w:cstheme="minorHAnsi"/>
                <w:b/>
                <w:snapToGrid w:val="0"/>
                <w:sz w:val="24"/>
                <w:szCs w:val="24"/>
              </w:rPr>
              <w:t>Ресурсна ефективност/ ефикасност</w:t>
            </w:r>
          </w:p>
        </w:tc>
        <w:tc>
          <w:tcPr>
            <w:tcW w:w="6628" w:type="dxa"/>
            <w:shd w:val="clear" w:color="auto" w:fill="F3F3F3"/>
          </w:tcPr>
          <w:p w:rsidR="00486046" w:rsidRPr="00486046" w:rsidRDefault="00486046" w:rsidP="00486046">
            <w:pPr>
              <w:spacing w:after="0" w:line="240" w:lineRule="auto"/>
              <w:jc w:val="both"/>
              <w:rPr>
                <w:rFonts w:eastAsia="Times New Roman" w:cstheme="minorHAnsi"/>
                <w:snapToGrid w:val="0"/>
                <w:sz w:val="24"/>
                <w:szCs w:val="24"/>
              </w:rPr>
            </w:pPr>
            <w:r w:rsidRPr="00486046">
              <w:rPr>
                <w:rFonts w:eastAsia="Times New Roman" w:cstheme="minorHAnsi"/>
                <w:snapToGrid w:val="0"/>
                <w:sz w:val="24"/>
                <w:szCs w:val="24"/>
              </w:rPr>
              <w:t xml:space="preserve">а) мерки за подобряване на ресурсната ефективност и устойчиво използване на суровините, вкл. внедряване на високо-технологични решения за оптимизиране на производствените процеси и намаляване използването на суровини; внедряване на съвременни технологии за влагане на отпадъците като суровина в ново производство и/или други алтернативни приложения; внедряване на съвременни безотпадни технологии; внедряване на иновационни производствени материали и повишаване използването на </w:t>
            </w:r>
            <w:proofErr w:type="spellStart"/>
            <w:r w:rsidRPr="00486046">
              <w:rPr>
                <w:rFonts w:eastAsia="Times New Roman" w:cstheme="minorHAnsi"/>
                <w:snapToGrid w:val="0"/>
                <w:sz w:val="24"/>
                <w:szCs w:val="24"/>
              </w:rPr>
              <w:t>рециклируеми</w:t>
            </w:r>
            <w:proofErr w:type="spellEnd"/>
            <w:r w:rsidRPr="00486046">
              <w:rPr>
                <w:rFonts w:eastAsia="Times New Roman" w:cstheme="minorHAnsi"/>
                <w:snapToGrid w:val="0"/>
                <w:sz w:val="24"/>
                <w:szCs w:val="24"/>
              </w:rPr>
              <w:t xml:space="preserve"> материали;</w:t>
            </w:r>
          </w:p>
          <w:p w:rsidR="00486046" w:rsidRDefault="00486046" w:rsidP="00486046">
            <w:pPr>
              <w:spacing w:after="0" w:line="240" w:lineRule="auto"/>
              <w:jc w:val="both"/>
              <w:rPr>
                <w:rFonts w:eastAsia="Times New Roman" w:cstheme="minorHAnsi"/>
                <w:snapToGrid w:val="0"/>
                <w:sz w:val="24"/>
                <w:szCs w:val="24"/>
              </w:rPr>
            </w:pPr>
            <w:r w:rsidRPr="00486046">
              <w:rPr>
                <w:rFonts w:eastAsia="Times New Roman" w:cstheme="minorHAnsi"/>
                <w:snapToGrid w:val="0"/>
                <w:sz w:val="24"/>
                <w:szCs w:val="24"/>
              </w:rPr>
              <w:t>2) дейности за намаляване използването на суровини, намаляване на отпадъците, производство на нови устойчиви продукти и услуги; дейности, които имат пряк екологичен ефект върху природните ресурси като въздух, вода, почви, метали и минерали, биоразнообразието.</w:t>
            </w:r>
          </w:p>
        </w:tc>
      </w:tr>
      <w:tr w:rsidR="00EA1E54" w:rsidRPr="008E4D35" w:rsidTr="0048471A">
        <w:tc>
          <w:tcPr>
            <w:tcW w:w="2660" w:type="dxa"/>
            <w:shd w:val="clear" w:color="auto" w:fill="E6E6E6"/>
          </w:tcPr>
          <w:p w:rsidR="00EA1E54" w:rsidRPr="008E4D35" w:rsidRDefault="00EA1E54" w:rsidP="00A32D97">
            <w:pPr>
              <w:spacing w:before="100" w:beforeAutospacing="1" w:after="100" w:afterAutospacing="1" w:line="240" w:lineRule="auto"/>
              <w:rPr>
                <w:rFonts w:eastAsia="Times New Roman" w:cstheme="minorHAnsi"/>
                <w:b/>
                <w:snapToGrid w:val="0"/>
                <w:sz w:val="24"/>
                <w:szCs w:val="24"/>
              </w:rPr>
            </w:pPr>
            <w:r w:rsidRPr="008E4D35">
              <w:rPr>
                <w:rFonts w:eastAsia="Times New Roman" w:cstheme="minorHAnsi"/>
                <w:b/>
                <w:snapToGrid w:val="0"/>
                <w:sz w:val="24"/>
                <w:szCs w:val="24"/>
              </w:rPr>
              <w:t xml:space="preserve">Ръководител на </w:t>
            </w:r>
            <w:r w:rsidR="00A32D97">
              <w:rPr>
                <w:rFonts w:eastAsia="Times New Roman" w:cstheme="minorHAnsi"/>
                <w:b/>
                <w:snapToGrid w:val="0"/>
                <w:sz w:val="24"/>
                <w:szCs w:val="24"/>
              </w:rPr>
              <w:t xml:space="preserve">Управляващия </w:t>
            </w:r>
            <w:r w:rsidRPr="008E4D35">
              <w:rPr>
                <w:rFonts w:eastAsia="Times New Roman" w:cstheme="minorHAnsi"/>
                <w:b/>
                <w:snapToGrid w:val="0"/>
                <w:sz w:val="24"/>
                <w:szCs w:val="24"/>
              </w:rPr>
              <w:t>орган</w:t>
            </w:r>
          </w:p>
        </w:tc>
        <w:tc>
          <w:tcPr>
            <w:tcW w:w="6628" w:type="dxa"/>
            <w:shd w:val="clear" w:color="auto" w:fill="F3F3F3"/>
          </w:tcPr>
          <w:p w:rsidR="00EA1E54" w:rsidRPr="008E4D35" w:rsidRDefault="00EA1E54" w:rsidP="00A32D97">
            <w:pPr>
              <w:spacing w:before="100" w:beforeAutospacing="1" w:after="100" w:afterAutospacing="1" w:line="240" w:lineRule="auto"/>
              <w:jc w:val="both"/>
              <w:rPr>
                <w:rFonts w:eastAsia="Times New Roman" w:cstheme="minorHAnsi"/>
                <w:snapToGrid w:val="0"/>
                <w:sz w:val="24"/>
                <w:szCs w:val="24"/>
              </w:rPr>
            </w:pPr>
            <w:r w:rsidRPr="008E4D35">
              <w:rPr>
                <w:rFonts w:eastAsia="Times New Roman" w:cstheme="minorHAnsi"/>
                <w:snapToGrid w:val="0"/>
                <w:sz w:val="24"/>
                <w:szCs w:val="24"/>
              </w:rPr>
              <w:t xml:space="preserve">Ръководителят на администрацията, в рамките на чиято структура се намира </w:t>
            </w:r>
            <w:r w:rsidR="00A32D97">
              <w:rPr>
                <w:rFonts w:eastAsia="Times New Roman" w:cstheme="minorHAnsi"/>
                <w:snapToGrid w:val="0"/>
                <w:sz w:val="24"/>
                <w:szCs w:val="24"/>
              </w:rPr>
              <w:t>Управляващия</w:t>
            </w:r>
            <w:r w:rsidRPr="008E4D35">
              <w:rPr>
                <w:rFonts w:eastAsia="Times New Roman" w:cstheme="minorHAnsi"/>
                <w:snapToGrid w:val="0"/>
                <w:sz w:val="24"/>
                <w:szCs w:val="24"/>
              </w:rPr>
              <w:t xml:space="preserve"> орган или упълномощеното от него длъжностно лице.</w:t>
            </w:r>
          </w:p>
        </w:tc>
      </w:tr>
      <w:tr w:rsidR="00EA1E54" w:rsidRPr="008E4D35" w:rsidTr="0048471A">
        <w:tc>
          <w:tcPr>
            <w:tcW w:w="2660" w:type="dxa"/>
            <w:shd w:val="clear" w:color="auto" w:fill="E6E6E6"/>
          </w:tcPr>
          <w:p w:rsidR="00EA1E54" w:rsidRPr="008E4D35" w:rsidRDefault="00EA1E54" w:rsidP="00F14642">
            <w:pPr>
              <w:spacing w:before="100" w:beforeAutospacing="1" w:after="100" w:afterAutospacing="1" w:line="240" w:lineRule="auto"/>
              <w:rPr>
                <w:rFonts w:eastAsia="Times New Roman" w:cstheme="minorHAnsi"/>
                <w:b/>
                <w:snapToGrid w:val="0"/>
                <w:sz w:val="24"/>
                <w:szCs w:val="24"/>
              </w:rPr>
            </w:pPr>
            <w:r w:rsidRPr="008E4D35">
              <w:rPr>
                <w:rFonts w:eastAsia="Times New Roman" w:cstheme="minorHAnsi"/>
                <w:b/>
                <w:snapToGrid w:val="0"/>
                <w:sz w:val="24"/>
                <w:szCs w:val="24"/>
              </w:rPr>
              <w:lastRenderedPageBreak/>
              <w:t>Свързани лица</w:t>
            </w:r>
          </w:p>
        </w:tc>
        <w:tc>
          <w:tcPr>
            <w:tcW w:w="6628" w:type="dxa"/>
            <w:shd w:val="clear" w:color="auto" w:fill="F3F3F3"/>
          </w:tcPr>
          <w:p w:rsidR="00EA1E54" w:rsidRPr="008E4D35" w:rsidRDefault="000E43C4" w:rsidP="00F14642">
            <w:pPr>
              <w:spacing w:before="100" w:beforeAutospacing="1" w:after="100" w:afterAutospacing="1" w:line="240" w:lineRule="auto"/>
              <w:jc w:val="both"/>
              <w:rPr>
                <w:rFonts w:eastAsia="Times New Roman" w:cstheme="minorHAnsi"/>
                <w:snapToGrid w:val="0"/>
                <w:sz w:val="24"/>
                <w:szCs w:val="24"/>
              </w:rPr>
            </w:pPr>
            <w:r>
              <w:rPr>
                <w:rFonts w:eastAsia="Times New Roman" w:cstheme="minorHAnsi"/>
                <w:snapToGrid w:val="0"/>
                <w:sz w:val="24"/>
                <w:szCs w:val="24"/>
              </w:rPr>
              <w:t>С</w:t>
            </w:r>
            <w:r w:rsidRPr="000E43C4">
              <w:rPr>
                <w:rFonts w:eastAsia="Times New Roman" w:cstheme="minorHAnsi"/>
                <w:snapToGrid w:val="0"/>
                <w:sz w:val="24"/>
                <w:szCs w:val="24"/>
              </w:rPr>
              <w:t>ъпрузите или лицата, които се намират във фактическо съжителство, роднините по права линия, по съребрена линия - до четвърта степен включително, и роднините по сватовство - до втора степен включително, както и физически и юридически лица, с които лицето, заемащо публична длъжност, се намира в икономически или политически зависимости, които пораждат основателни съмнения в неговата безпристрастност и обективност.</w:t>
            </w:r>
          </w:p>
        </w:tc>
      </w:tr>
      <w:tr w:rsidR="00A24C36" w:rsidRPr="008E4D35" w:rsidTr="0048471A">
        <w:tc>
          <w:tcPr>
            <w:tcW w:w="2660" w:type="dxa"/>
            <w:shd w:val="clear" w:color="auto" w:fill="E6E6E6"/>
          </w:tcPr>
          <w:p w:rsidR="00A24C36" w:rsidRPr="00A3057D" w:rsidRDefault="00A24C36" w:rsidP="00F6168F">
            <w:pPr>
              <w:spacing w:before="100" w:beforeAutospacing="1" w:after="100" w:afterAutospacing="1" w:line="240" w:lineRule="auto"/>
              <w:rPr>
                <w:rFonts w:eastAsia="Times New Roman" w:cstheme="minorHAnsi"/>
                <w:b/>
                <w:snapToGrid w:val="0"/>
                <w:sz w:val="24"/>
                <w:szCs w:val="24"/>
              </w:rPr>
            </w:pPr>
            <w:r w:rsidRPr="00A3057D">
              <w:rPr>
                <w:rFonts w:eastAsia="Times New Roman" w:cstheme="minorHAnsi"/>
                <w:b/>
                <w:snapToGrid w:val="0"/>
                <w:sz w:val="24"/>
                <w:szCs w:val="24"/>
              </w:rPr>
              <w:t>Селскостопански продукт</w:t>
            </w:r>
          </w:p>
        </w:tc>
        <w:tc>
          <w:tcPr>
            <w:tcW w:w="6628" w:type="dxa"/>
            <w:shd w:val="clear" w:color="auto" w:fill="F3F3F3"/>
          </w:tcPr>
          <w:p w:rsidR="00A24C36" w:rsidRDefault="00A24C36" w:rsidP="00F6168F">
            <w:pPr>
              <w:spacing w:before="100" w:beforeAutospacing="1" w:after="100" w:afterAutospacing="1" w:line="240" w:lineRule="auto"/>
              <w:jc w:val="both"/>
              <w:rPr>
                <w:rFonts w:eastAsia="Times New Roman" w:cstheme="minorHAnsi"/>
                <w:snapToGrid w:val="0"/>
                <w:sz w:val="24"/>
                <w:szCs w:val="24"/>
              </w:rPr>
            </w:pPr>
            <w:r w:rsidRPr="003D5F84">
              <w:rPr>
                <w:rFonts w:eastAsia="Times New Roman" w:cstheme="minorHAnsi"/>
                <w:snapToGrid w:val="0"/>
                <w:sz w:val="24"/>
                <w:szCs w:val="24"/>
              </w:rPr>
              <w:t xml:space="preserve">Съгласно чл. 2, </w:t>
            </w:r>
            <w:proofErr w:type="spellStart"/>
            <w:r w:rsidRPr="003D5F84">
              <w:rPr>
                <w:rFonts w:eastAsia="Times New Roman" w:cstheme="minorHAnsi"/>
                <w:snapToGrid w:val="0"/>
                <w:sz w:val="24"/>
                <w:szCs w:val="24"/>
              </w:rPr>
              <w:t>пар</w:t>
            </w:r>
            <w:proofErr w:type="spellEnd"/>
            <w:r w:rsidRPr="003D5F84">
              <w:rPr>
                <w:rFonts w:eastAsia="Times New Roman" w:cstheme="minorHAnsi"/>
                <w:snapToGrid w:val="0"/>
                <w:sz w:val="24"/>
                <w:szCs w:val="24"/>
              </w:rPr>
              <w:t xml:space="preserve">. 11 от Регламент (ЕС) № 651/2014 </w:t>
            </w:r>
            <w:r>
              <w:rPr>
                <w:rFonts w:eastAsia="Times New Roman" w:cstheme="minorHAnsi"/>
                <w:snapToGrid w:val="0"/>
                <w:sz w:val="24"/>
                <w:szCs w:val="24"/>
              </w:rPr>
              <w:t>„селскостопански продукт“</w:t>
            </w:r>
            <w:r w:rsidRPr="003D5F84">
              <w:rPr>
                <w:rFonts w:eastAsia="Times New Roman" w:cstheme="minorHAnsi"/>
                <w:snapToGrid w:val="0"/>
                <w:sz w:val="24"/>
                <w:szCs w:val="24"/>
              </w:rPr>
              <w:t xml:space="preserve"> означава продукти, изброени в приложение I към Дог</w:t>
            </w:r>
            <w:r>
              <w:rPr>
                <w:rFonts w:eastAsia="Times New Roman" w:cstheme="minorHAnsi"/>
                <w:snapToGrid w:val="0"/>
                <w:sz w:val="24"/>
                <w:szCs w:val="24"/>
              </w:rPr>
              <w:t xml:space="preserve">овора, с изключение на продукти </w:t>
            </w:r>
            <w:r w:rsidRPr="003D5F84">
              <w:rPr>
                <w:rFonts w:eastAsia="Times New Roman" w:cstheme="minorHAnsi"/>
                <w:snapToGrid w:val="0"/>
                <w:sz w:val="24"/>
                <w:szCs w:val="24"/>
              </w:rPr>
              <w:t xml:space="preserve">на рибарството и </w:t>
            </w:r>
            <w:proofErr w:type="spellStart"/>
            <w:r w:rsidRPr="003D5F84">
              <w:rPr>
                <w:rFonts w:eastAsia="Times New Roman" w:cstheme="minorHAnsi"/>
                <w:snapToGrid w:val="0"/>
                <w:sz w:val="24"/>
                <w:szCs w:val="24"/>
              </w:rPr>
              <w:t>аквакултурите</w:t>
            </w:r>
            <w:proofErr w:type="spellEnd"/>
            <w:r w:rsidRPr="003D5F84">
              <w:rPr>
                <w:rFonts w:eastAsia="Times New Roman" w:cstheme="minorHAnsi"/>
                <w:snapToGrid w:val="0"/>
                <w:sz w:val="24"/>
                <w:szCs w:val="24"/>
              </w:rPr>
              <w:t xml:space="preserve">, изброени в приложение I към Регламент </w:t>
            </w:r>
            <w:r>
              <w:rPr>
                <w:rFonts w:eastAsia="Times New Roman" w:cstheme="minorHAnsi"/>
                <w:snapToGrid w:val="0"/>
                <w:sz w:val="24"/>
                <w:szCs w:val="24"/>
              </w:rPr>
              <w:t xml:space="preserve">(ЕС) № 1379/2013 на Европейския </w:t>
            </w:r>
            <w:r w:rsidRPr="003D5F84">
              <w:rPr>
                <w:rFonts w:eastAsia="Times New Roman" w:cstheme="minorHAnsi"/>
                <w:snapToGrid w:val="0"/>
                <w:sz w:val="24"/>
                <w:szCs w:val="24"/>
              </w:rPr>
              <w:t>парламент и на Съвета от 11 декември 2013 г.;</w:t>
            </w:r>
          </w:p>
        </w:tc>
      </w:tr>
      <w:tr w:rsidR="00EA1E54" w:rsidRPr="008E4D35" w:rsidTr="0048471A">
        <w:tc>
          <w:tcPr>
            <w:tcW w:w="2660" w:type="dxa"/>
            <w:shd w:val="clear" w:color="auto" w:fill="E6E6E6"/>
          </w:tcPr>
          <w:p w:rsidR="00EA1E54" w:rsidRPr="008E4D35" w:rsidRDefault="00EA1E54" w:rsidP="00F14642">
            <w:pPr>
              <w:spacing w:before="100" w:beforeAutospacing="1" w:after="100" w:afterAutospacing="1" w:line="240" w:lineRule="auto"/>
              <w:rPr>
                <w:rFonts w:eastAsia="Times New Roman" w:cstheme="minorHAnsi"/>
                <w:b/>
                <w:snapToGrid w:val="0"/>
                <w:sz w:val="24"/>
                <w:szCs w:val="24"/>
              </w:rPr>
            </w:pPr>
            <w:r w:rsidRPr="00C64722">
              <w:rPr>
                <w:rFonts w:eastAsia="Times New Roman" w:cstheme="minorHAnsi"/>
                <w:b/>
                <w:snapToGrid w:val="0"/>
                <w:sz w:val="24"/>
                <w:szCs w:val="24"/>
              </w:rPr>
              <w:t>Сектор за производство на синтетични влакна</w:t>
            </w:r>
          </w:p>
        </w:tc>
        <w:tc>
          <w:tcPr>
            <w:tcW w:w="6628" w:type="dxa"/>
            <w:shd w:val="clear" w:color="auto" w:fill="F3F3F3"/>
          </w:tcPr>
          <w:p w:rsidR="009B112E" w:rsidRDefault="00AA5F85" w:rsidP="00C64722">
            <w:pPr>
              <w:spacing w:after="60" w:line="240" w:lineRule="auto"/>
              <w:jc w:val="both"/>
              <w:rPr>
                <w:rFonts w:eastAsia="Times New Roman" w:cstheme="minorHAnsi"/>
                <w:snapToGrid w:val="0"/>
                <w:sz w:val="24"/>
                <w:szCs w:val="24"/>
              </w:rPr>
            </w:pPr>
            <w:r>
              <w:rPr>
                <w:rFonts w:eastAsia="Times New Roman" w:cstheme="minorHAnsi"/>
                <w:snapToGrid w:val="0"/>
                <w:sz w:val="24"/>
                <w:szCs w:val="24"/>
              </w:rPr>
              <w:t xml:space="preserve">Съгласно чл. 2, </w:t>
            </w:r>
            <w:proofErr w:type="spellStart"/>
            <w:r>
              <w:rPr>
                <w:rFonts w:eastAsia="Times New Roman" w:cstheme="minorHAnsi"/>
                <w:snapToGrid w:val="0"/>
                <w:sz w:val="24"/>
                <w:szCs w:val="24"/>
              </w:rPr>
              <w:t>пар</w:t>
            </w:r>
            <w:proofErr w:type="spellEnd"/>
            <w:r>
              <w:rPr>
                <w:rFonts w:eastAsia="Times New Roman" w:cstheme="minorHAnsi"/>
                <w:snapToGrid w:val="0"/>
                <w:sz w:val="24"/>
                <w:szCs w:val="24"/>
              </w:rPr>
              <w:t>. 44 от Регламент (ЕО) № 651/2014</w:t>
            </w:r>
            <w:r>
              <w:t xml:space="preserve"> </w:t>
            </w:r>
            <w:r w:rsidR="009B112E" w:rsidRPr="009B112E">
              <w:rPr>
                <w:rFonts w:eastAsia="Times New Roman" w:cstheme="minorHAnsi"/>
                <w:snapToGrid w:val="0"/>
                <w:sz w:val="24"/>
                <w:szCs w:val="24"/>
              </w:rPr>
              <w:t>„сектор за производство на синтетични влакна“ означава:</w:t>
            </w:r>
          </w:p>
          <w:p w:rsidR="00C64722" w:rsidRPr="00C64722" w:rsidRDefault="00C64722" w:rsidP="00C64722">
            <w:pPr>
              <w:spacing w:after="60" w:line="240" w:lineRule="auto"/>
              <w:jc w:val="both"/>
              <w:rPr>
                <w:rFonts w:eastAsia="Times New Roman" w:cstheme="minorHAnsi"/>
                <w:snapToGrid w:val="0"/>
                <w:sz w:val="24"/>
                <w:szCs w:val="24"/>
              </w:rPr>
            </w:pPr>
            <w:r w:rsidRPr="00C64722">
              <w:rPr>
                <w:rFonts w:eastAsia="Times New Roman" w:cstheme="minorHAnsi"/>
                <w:snapToGrid w:val="0"/>
                <w:sz w:val="24"/>
                <w:szCs w:val="24"/>
              </w:rPr>
              <w:t xml:space="preserve">а) </w:t>
            </w:r>
            <w:proofErr w:type="spellStart"/>
            <w:r w:rsidRPr="00C64722">
              <w:rPr>
                <w:rFonts w:eastAsia="Times New Roman" w:cstheme="minorHAnsi"/>
                <w:snapToGrid w:val="0"/>
                <w:sz w:val="24"/>
                <w:szCs w:val="24"/>
              </w:rPr>
              <w:t>екструдиране</w:t>
            </w:r>
            <w:proofErr w:type="spellEnd"/>
            <w:r w:rsidRPr="00C64722">
              <w:rPr>
                <w:rFonts w:eastAsia="Times New Roman" w:cstheme="minorHAnsi"/>
                <w:snapToGrid w:val="0"/>
                <w:sz w:val="24"/>
                <w:szCs w:val="24"/>
              </w:rPr>
              <w:t>/</w:t>
            </w:r>
            <w:proofErr w:type="spellStart"/>
            <w:r w:rsidRPr="00C64722">
              <w:rPr>
                <w:rFonts w:eastAsia="Times New Roman" w:cstheme="minorHAnsi"/>
                <w:snapToGrid w:val="0"/>
                <w:sz w:val="24"/>
                <w:szCs w:val="24"/>
              </w:rPr>
              <w:t>текстуриране</w:t>
            </w:r>
            <w:proofErr w:type="spellEnd"/>
            <w:r w:rsidRPr="00C64722">
              <w:rPr>
                <w:rFonts w:eastAsia="Times New Roman" w:cstheme="minorHAnsi"/>
                <w:snapToGrid w:val="0"/>
                <w:sz w:val="24"/>
                <w:szCs w:val="24"/>
              </w:rPr>
              <w:t xml:space="preserve"> на всички основни видове влакна и прежди на база </w:t>
            </w:r>
            <w:proofErr w:type="spellStart"/>
            <w:r w:rsidRPr="00C64722">
              <w:rPr>
                <w:rFonts w:eastAsia="Times New Roman" w:cstheme="minorHAnsi"/>
                <w:snapToGrid w:val="0"/>
                <w:sz w:val="24"/>
                <w:szCs w:val="24"/>
              </w:rPr>
              <w:t>полиестер</w:t>
            </w:r>
            <w:proofErr w:type="spellEnd"/>
            <w:r w:rsidRPr="00C64722">
              <w:rPr>
                <w:rFonts w:eastAsia="Times New Roman" w:cstheme="minorHAnsi"/>
                <w:snapToGrid w:val="0"/>
                <w:sz w:val="24"/>
                <w:szCs w:val="24"/>
              </w:rPr>
              <w:t xml:space="preserve">, полиамид, </w:t>
            </w:r>
            <w:proofErr w:type="spellStart"/>
            <w:r w:rsidRPr="00C64722">
              <w:rPr>
                <w:rFonts w:eastAsia="Times New Roman" w:cstheme="minorHAnsi"/>
                <w:snapToGrid w:val="0"/>
                <w:sz w:val="24"/>
                <w:szCs w:val="24"/>
              </w:rPr>
              <w:t>акрил</w:t>
            </w:r>
            <w:proofErr w:type="spellEnd"/>
            <w:r w:rsidRPr="00C64722">
              <w:rPr>
                <w:rFonts w:eastAsia="Times New Roman" w:cstheme="minorHAnsi"/>
                <w:snapToGrid w:val="0"/>
                <w:sz w:val="24"/>
                <w:szCs w:val="24"/>
              </w:rPr>
              <w:t xml:space="preserve"> или </w:t>
            </w:r>
            <w:proofErr w:type="spellStart"/>
            <w:r w:rsidRPr="00C64722">
              <w:rPr>
                <w:rFonts w:eastAsia="Times New Roman" w:cstheme="minorHAnsi"/>
                <w:snapToGrid w:val="0"/>
                <w:sz w:val="24"/>
                <w:szCs w:val="24"/>
              </w:rPr>
              <w:t>пропилен</w:t>
            </w:r>
            <w:proofErr w:type="spellEnd"/>
            <w:r w:rsidRPr="00C64722">
              <w:rPr>
                <w:rFonts w:eastAsia="Times New Roman" w:cstheme="minorHAnsi"/>
                <w:snapToGrid w:val="0"/>
                <w:sz w:val="24"/>
                <w:szCs w:val="24"/>
              </w:rPr>
              <w:t>, независимо от предназначението им; или</w:t>
            </w:r>
          </w:p>
          <w:p w:rsidR="00C64722" w:rsidRPr="00C64722" w:rsidRDefault="00C64722" w:rsidP="00C64722">
            <w:pPr>
              <w:spacing w:after="60" w:line="240" w:lineRule="auto"/>
              <w:jc w:val="both"/>
              <w:rPr>
                <w:rFonts w:eastAsia="Times New Roman" w:cstheme="minorHAnsi"/>
                <w:snapToGrid w:val="0"/>
                <w:sz w:val="24"/>
                <w:szCs w:val="24"/>
              </w:rPr>
            </w:pPr>
            <w:r w:rsidRPr="00C64722">
              <w:rPr>
                <w:rFonts w:eastAsia="Times New Roman" w:cstheme="minorHAnsi"/>
                <w:snapToGrid w:val="0"/>
                <w:sz w:val="24"/>
                <w:szCs w:val="24"/>
              </w:rPr>
              <w:t xml:space="preserve">б) полимеризация (включително </w:t>
            </w:r>
            <w:proofErr w:type="spellStart"/>
            <w:r w:rsidRPr="00C64722">
              <w:rPr>
                <w:rFonts w:eastAsia="Times New Roman" w:cstheme="minorHAnsi"/>
                <w:snapToGrid w:val="0"/>
                <w:sz w:val="24"/>
                <w:szCs w:val="24"/>
              </w:rPr>
              <w:t>поликондензация</w:t>
            </w:r>
            <w:proofErr w:type="spellEnd"/>
            <w:r w:rsidRPr="00C64722">
              <w:rPr>
                <w:rFonts w:eastAsia="Times New Roman" w:cstheme="minorHAnsi"/>
                <w:snapToGrid w:val="0"/>
                <w:sz w:val="24"/>
                <w:szCs w:val="24"/>
              </w:rPr>
              <w:t xml:space="preserve">), когато е интегрирана в процеса на </w:t>
            </w:r>
            <w:proofErr w:type="spellStart"/>
            <w:r w:rsidRPr="00C64722">
              <w:rPr>
                <w:rFonts w:eastAsia="Times New Roman" w:cstheme="minorHAnsi"/>
                <w:snapToGrid w:val="0"/>
                <w:sz w:val="24"/>
                <w:szCs w:val="24"/>
              </w:rPr>
              <w:t>екструдиране</w:t>
            </w:r>
            <w:proofErr w:type="spellEnd"/>
            <w:r w:rsidRPr="00C64722">
              <w:rPr>
                <w:rFonts w:eastAsia="Times New Roman" w:cstheme="minorHAnsi"/>
                <w:snapToGrid w:val="0"/>
                <w:sz w:val="24"/>
                <w:szCs w:val="24"/>
              </w:rPr>
              <w:t xml:space="preserve"> предвид използваното оборудване; или</w:t>
            </w:r>
          </w:p>
          <w:p w:rsidR="00EA1E54" w:rsidRPr="008E4D35" w:rsidRDefault="00C64722" w:rsidP="00C64722">
            <w:pPr>
              <w:spacing w:after="60" w:line="240" w:lineRule="auto"/>
              <w:jc w:val="both"/>
              <w:rPr>
                <w:rFonts w:cstheme="minorHAnsi"/>
                <w:sz w:val="24"/>
                <w:szCs w:val="24"/>
              </w:rPr>
            </w:pPr>
            <w:r w:rsidRPr="00C64722">
              <w:rPr>
                <w:rFonts w:eastAsia="Times New Roman" w:cstheme="minorHAnsi"/>
                <w:snapToGrid w:val="0"/>
                <w:sz w:val="24"/>
                <w:szCs w:val="24"/>
              </w:rPr>
              <w:t xml:space="preserve">в) всички спомагателни процеси, които са свързани с едновременното инсталиране на мощности за </w:t>
            </w:r>
            <w:proofErr w:type="spellStart"/>
            <w:r w:rsidRPr="00C64722">
              <w:rPr>
                <w:rFonts w:eastAsia="Times New Roman" w:cstheme="minorHAnsi"/>
                <w:snapToGrid w:val="0"/>
                <w:sz w:val="24"/>
                <w:szCs w:val="24"/>
              </w:rPr>
              <w:t>екструдиране</w:t>
            </w:r>
            <w:proofErr w:type="spellEnd"/>
            <w:r w:rsidRPr="00C64722">
              <w:rPr>
                <w:rFonts w:eastAsia="Times New Roman" w:cstheme="minorHAnsi"/>
                <w:snapToGrid w:val="0"/>
                <w:sz w:val="24"/>
                <w:szCs w:val="24"/>
              </w:rPr>
              <w:t xml:space="preserve">/ </w:t>
            </w:r>
            <w:proofErr w:type="spellStart"/>
            <w:r w:rsidRPr="00C64722">
              <w:rPr>
                <w:rFonts w:eastAsia="Times New Roman" w:cstheme="minorHAnsi"/>
                <w:snapToGrid w:val="0"/>
                <w:sz w:val="24"/>
                <w:szCs w:val="24"/>
              </w:rPr>
              <w:t>текстуриране</w:t>
            </w:r>
            <w:proofErr w:type="spellEnd"/>
            <w:r w:rsidRPr="00C64722">
              <w:rPr>
                <w:rFonts w:eastAsia="Times New Roman" w:cstheme="minorHAnsi"/>
                <w:snapToGrid w:val="0"/>
                <w:sz w:val="24"/>
                <w:szCs w:val="24"/>
              </w:rPr>
              <w:t xml:space="preserve"> от потенциалния </w:t>
            </w:r>
            <w:proofErr w:type="spellStart"/>
            <w:r w:rsidRPr="00C64722">
              <w:rPr>
                <w:rFonts w:eastAsia="Times New Roman" w:cstheme="minorHAnsi"/>
                <w:snapToGrid w:val="0"/>
                <w:sz w:val="24"/>
                <w:szCs w:val="24"/>
              </w:rPr>
              <w:t>бенефициер</w:t>
            </w:r>
            <w:proofErr w:type="spellEnd"/>
            <w:r w:rsidRPr="00C64722">
              <w:rPr>
                <w:rFonts w:eastAsia="Times New Roman" w:cstheme="minorHAnsi"/>
                <w:snapToGrid w:val="0"/>
                <w:sz w:val="24"/>
                <w:szCs w:val="24"/>
              </w:rPr>
              <w:t xml:space="preserve"> или от друго дружество, принадлежащо към същата група, и които при конкретния вид стопанска дейност обикновено са интегрирани в тези мощности </w:t>
            </w:r>
            <w:r>
              <w:rPr>
                <w:rFonts w:eastAsia="Times New Roman" w:cstheme="minorHAnsi"/>
                <w:snapToGrid w:val="0"/>
                <w:sz w:val="24"/>
                <w:szCs w:val="24"/>
              </w:rPr>
              <w:t>предвид използваното оборудване.</w:t>
            </w:r>
          </w:p>
        </w:tc>
      </w:tr>
      <w:tr w:rsidR="00EA1E54" w:rsidRPr="008E4D35" w:rsidTr="0048471A">
        <w:tc>
          <w:tcPr>
            <w:tcW w:w="2660" w:type="dxa"/>
            <w:shd w:val="clear" w:color="auto" w:fill="E6E6E6"/>
          </w:tcPr>
          <w:p w:rsidR="00EA1E54" w:rsidRPr="008E4D35" w:rsidRDefault="00EA1E54" w:rsidP="00F14642">
            <w:pPr>
              <w:spacing w:before="100" w:beforeAutospacing="1" w:after="100" w:afterAutospacing="1" w:line="240" w:lineRule="auto"/>
              <w:rPr>
                <w:rFonts w:eastAsia="Times New Roman" w:cstheme="minorHAnsi"/>
                <w:b/>
                <w:snapToGrid w:val="0"/>
                <w:sz w:val="24"/>
                <w:szCs w:val="24"/>
              </w:rPr>
            </w:pPr>
            <w:r w:rsidRPr="00911F09">
              <w:rPr>
                <w:rFonts w:eastAsia="Times New Roman" w:cstheme="minorHAnsi"/>
                <w:b/>
                <w:snapToGrid w:val="0"/>
                <w:sz w:val="24"/>
                <w:szCs w:val="24"/>
              </w:rPr>
              <w:t>Стоманодобивен сектор</w:t>
            </w:r>
          </w:p>
        </w:tc>
        <w:tc>
          <w:tcPr>
            <w:tcW w:w="6628" w:type="dxa"/>
            <w:shd w:val="clear" w:color="auto" w:fill="F3F3F3"/>
          </w:tcPr>
          <w:p w:rsidR="003C0505" w:rsidRDefault="003C0505" w:rsidP="00911F09">
            <w:pPr>
              <w:spacing w:after="60" w:line="240" w:lineRule="auto"/>
              <w:jc w:val="both"/>
              <w:rPr>
                <w:rFonts w:eastAsia="Times New Roman" w:cstheme="minorHAnsi"/>
                <w:snapToGrid w:val="0"/>
                <w:sz w:val="24"/>
                <w:szCs w:val="24"/>
              </w:rPr>
            </w:pPr>
            <w:r>
              <w:rPr>
                <w:rFonts w:eastAsia="Times New Roman" w:cstheme="minorHAnsi"/>
                <w:snapToGrid w:val="0"/>
                <w:sz w:val="24"/>
                <w:szCs w:val="24"/>
              </w:rPr>
              <w:t xml:space="preserve">Съгласно чл. 2, </w:t>
            </w:r>
            <w:proofErr w:type="spellStart"/>
            <w:r>
              <w:rPr>
                <w:rFonts w:eastAsia="Times New Roman" w:cstheme="minorHAnsi"/>
                <w:snapToGrid w:val="0"/>
                <w:sz w:val="24"/>
                <w:szCs w:val="24"/>
              </w:rPr>
              <w:t>пар</w:t>
            </w:r>
            <w:proofErr w:type="spellEnd"/>
            <w:r>
              <w:rPr>
                <w:rFonts w:eastAsia="Times New Roman" w:cstheme="minorHAnsi"/>
                <w:snapToGrid w:val="0"/>
                <w:sz w:val="24"/>
                <w:szCs w:val="24"/>
              </w:rPr>
              <w:t>. 43 от Регламент (ЕО) № 651/2014</w:t>
            </w:r>
            <w:r>
              <w:t xml:space="preserve"> </w:t>
            </w:r>
            <w:r w:rsidRPr="003C0505">
              <w:rPr>
                <w:rFonts w:eastAsia="Times New Roman" w:cstheme="minorHAnsi"/>
                <w:snapToGrid w:val="0"/>
                <w:sz w:val="24"/>
                <w:szCs w:val="24"/>
              </w:rPr>
              <w:t>„стоманодобивен сектор“ означава всички дейности, свързани с производството на един или повече от следните</w:t>
            </w:r>
            <w:r>
              <w:rPr>
                <w:rFonts w:eastAsia="Times New Roman" w:cstheme="minorHAnsi"/>
                <w:snapToGrid w:val="0"/>
                <w:sz w:val="24"/>
                <w:szCs w:val="24"/>
              </w:rPr>
              <w:t xml:space="preserve"> </w:t>
            </w:r>
            <w:r w:rsidRPr="003C0505">
              <w:rPr>
                <w:rFonts w:eastAsia="Times New Roman" w:cstheme="minorHAnsi"/>
                <w:snapToGrid w:val="0"/>
                <w:sz w:val="24"/>
                <w:szCs w:val="24"/>
              </w:rPr>
              <w:t>продукти:</w:t>
            </w:r>
          </w:p>
          <w:p w:rsidR="009200B0" w:rsidRPr="009200B0" w:rsidRDefault="009200B0" w:rsidP="00911F09">
            <w:pPr>
              <w:spacing w:after="60" w:line="240" w:lineRule="auto"/>
              <w:jc w:val="both"/>
              <w:rPr>
                <w:rFonts w:eastAsia="Times New Roman" w:cstheme="minorHAnsi"/>
                <w:snapToGrid w:val="0"/>
                <w:sz w:val="24"/>
                <w:szCs w:val="24"/>
                <w:lang w:val="bg"/>
              </w:rPr>
            </w:pPr>
            <w:r w:rsidRPr="009200B0">
              <w:rPr>
                <w:rFonts w:eastAsia="Times New Roman" w:cstheme="minorHAnsi"/>
                <w:snapToGrid w:val="0"/>
                <w:sz w:val="24"/>
                <w:szCs w:val="24"/>
                <w:lang w:val="bg"/>
              </w:rPr>
              <w:t xml:space="preserve">а) чугун на блокове и </w:t>
            </w:r>
            <w:proofErr w:type="spellStart"/>
            <w:r w:rsidRPr="009200B0">
              <w:rPr>
                <w:rFonts w:eastAsia="Times New Roman" w:cstheme="minorHAnsi"/>
                <w:snapToGrid w:val="0"/>
                <w:sz w:val="24"/>
                <w:szCs w:val="24"/>
                <w:lang w:val="bg"/>
              </w:rPr>
              <w:t>феросплави</w:t>
            </w:r>
            <w:proofErr w:type="spellEnd"/>
            <w:r w:rsidRPr="009200B0">
              <w:rPr>
                <w:rFonts w:eastAsia="Times New Roman" w:cstheme="minorHAnsi"/>
                <w:snapToGrid w:val="0"/>
                <w:sz w:val="24"/>
                <w:szCs w:val="24"/>
                <w:lang w:val="bg"/>
              </w:rPr>
              <w:t xml:space="preserve">: чугун за производство на стомана, леярски чугун и друг чугун за производство на стомана, </w:t>
            </w:r>
            <w:proofErr w:type="spellStart"/>
            <w:r w:rsidRPr="009200B0">
              <w:rPr>
                <w:rFonts w:eastAsia="Times New Roman" w:cstheme="minorHAnsi"/>
                <w:snapToGrid w:val="0"/>
                <w:sz w:val="24"/>
                <w:szCs w:val="24"/>
                <w:lang w:val="bg"/>
              </w:rPr>
              <w:t>шпигелайзен</w:t>
            </w:r>
            <w:proofErr w:type="spellEnd"/>
            <w:r w:rsidRPr="009200B0">
              <w:rPr>
                <w:rFonts w:eastAsia="Times New Roman" w:cstheme="minorHAnsi"/>
                <w:snapToGrid w:val="0"/>
                <w:sz w:val="24"/>
                <w:szCs w:val="24"/>
                <w:lang w:val="bg"/>
              </w:rPr>
              <w:t xml:space="preserve"> (желязно-манганови сплави) и </w:t>
            </w:r>
            <w:proofErr w:type="spellStart"/>
            <w:r w:rsidRPr="009200B0">
              <w:rPr>
                <w:rFonts w:eastAsia="Times New Roman" w:cstheme="minorHAnsi"/>
                <w:snapToGrid w:val="0"/>
                <w:sz w:val="24"/>
                <w:szCs w:val="24"/>
                <w:lang w:val="bg"/>
              </w:rPr>
              <w:t>високовъглеродни</w:t>
            </w:r>
            <w:proofErr w:type="spellEnd"/>
            <w:r w:rsidRPr="009200B0">
              <w:rPr>
                <w:rFonts w:eastAsia="Times New Roman" w:cstheme="minorHAnsi"/>
                <w:snapToGrid w:val="0"/>
                <w:sz w:val="24"/>
                <w:szCs w:val="24"/>
                <w:lang w:val="bg"/>
              </w:rPr>
              <w:t xml:space="preserve"> желязно-манганови сплави, без да се включват други </w:t>
            </w:r>
            <w:proofErr w:type="spellStart"/>
            <w:r w:rsidRPr="009200B0">
              <w:rPr>
                <w:rFonts w:eastAsia="Times New Roman" w:cstheme="minorHAnsi"/>
                <w:snapToGrid w:val="0"/>
                <w:sz w:val="24"/>
                <w:szCs w:val="24"/>
                <w:lang w:val="bg"/>
              </w:rPr>
              <w:t>феросплави</w:t>
            </w:r>
            <w:proofErr w:type="spellEnd"/>
            <w:r w:rsidRPr="009200B0">
              <w:rPr>
                <w:rFonts w:eastAsia="Times New Roman" w:cstheme="minorHAnsi"/>
                <w:snapToGrid w:val="0"/>
                <w:sz w:val="24"/>
                <w:szCs w:val="24"/>
                <w:lang w:val="bg"/>
              </w:rPr>
              <w:t>;</w:t>
            </w:r>
          </w:p>
          <w:p w:rsidR="009200B0" w:rsidRPr="009200B0" w:rsidRDefault="009200B0" w:rsidP="00911F09">
            <w:pPr>
              <w:spacing w:after="60" w:line="240" w:lineRule="auto"/>
              <w:jc w:val="both"/>
              <w:rPr>
                <w:rFonts w:eastAsia="Times New Roman" w:cstheme="minorHAnsi"/>
                <w:snapToGrid w:val="0"/>
                <w:sz w:val="24"/>
                <w:szCs w:val="24"/>
                <w:lang w:val="bg"/>
              </w:rPr>
            </w:pPr>
            <w:r w:rsidRPr="009200B0">
              <w:rPr>
                <w:rFonts w:eastAsia="Times New Roman" w:cstheme="minorHAnsi"/>
                <w:snapToGrid w:val="0"/>
                <w:sz w:val="24"/>
                <w:szCs w:val="24"/>
                <w:lang w:val="bg"/>
              </w:rPr>
              <w:t xml:space="preserve">б) суровини и полуготови продукти от желязо, обикновена стомана или специална стомана: лята стомана, на блокове или не, включително блокове за коване на полуготови изделия: </w:t>
            </w:r>
            <w:proofErr w:type="spellStart"/>
            <w:r w:rsidRPr="009200B0">
              <w:rPr>
                <w:rFonts w:eastAsia="Times New Roman" w:cstheme="minorHAnsi"/>
                <w:snapToGrid w:val="0"/>
                <w:sz w:val="24"/>
                <w:szCs w:val="24"/>
                <w:lang w:val="bg"/>
              </w:rPr>
              <w:t>блуми</w:t>
            </w:r>
            <w:proofErr w:type="spellEnd"/>
            <w:r w:rsidRPr="009200B0">
              <w:rPr>
                <w:rFonts w:eastAsia="Times New Roman" w:cstheme="minorHAnsi"/>
                <w:snapToGrid w:val="0"/>
                <w:sz w:val="24"/>
                <w:szCs w:val="24"/>
                <w:lang w:val="bg"/>
              </w:rPr>
              <w:t xml:space="preserve">, пръти и </w:t>
            </w:r>
            <w:proofErr w:type="spellStart"/>
            <w:r w:rsidRPr="009200B0">
              <w:rPr>
                <w:rFonts w:eastAsia="Times New Roman" w:cstheme="minorHAnsi"/>
                <w:snapToGrid w:val="0"/>
                <w:sz w:val="24"/>
                <w:szCs w:val="24"/>
                <w:lang w:val="bg"/>
              </w:rPr>
              <w:t>сляби</w:t>
            </w:r>
            <w:proofErr w:type="spellEnd"/>
            <w:r w:rsidRPr="009200B0">
              <w:rPr>
                <w:rFonts w:eastAsia="Times New Roman" w:cstheme="minorHAnsi"/>
                <w:snapToGrid w:val="0"/>
                <w:sz w:val="24"/>
                <w:szCs w:val="24"/>
                <w:lang w:val="bg"/>
              </w:rPr>
              <w:t xml:space="preserve">, листове и листове </w:t>
            </w:r>
            <w:proofErr w:type="spellStart"/>
            <w:r w:rsidRPr="009200B0">
              <w:rPr>
                <w:rFonts w:eastAsia="Times New Roman" w:cstheme="minorHAnsi"/>
                <w:snapToGrid w:val="0"/>
                <w:sz w:val="24"/>
                <w:szCs w:val="24"/>
                <w:lang w:val="bg"/>
              </w:rPr>
              <w:t>покалаена</w:t>
            </w:r>
            <w:proofErr w:type="spellEnd"/>
            <w:r w:rsidRPr="009200B0">
              <w:rPr>
                <w:rFonts w:eastAsia="Times New Roman" w:cstheme="minorHAnsi"/>
                <w:snapToGrid w:val="0"/>
                <w:sz w:val="24"/>
                <w:szCs w:val="24"/>
                <w:lang w:val="bg"/>
              </w:rPr>
              <w:t xml:space="preserve"> </w:t>
            </w:r>
            <w:r w:rsidRPr="009200B0">
              <w:rPr>
                <w:rFonts w:eastAsia="Times New Roman" w:cstheme="minorHAnsi"/>
                <w:snapToGrid w:val="0"/>
                <w:sz w:val="24"/>
                <w:szCs w:val="24"/>
                <w:lang w:val="bg"/>
              </w:rPr>
              <w:lastRenderedPageBreak/>
              <w:t xml:space="preserve">ламарина, горещо валцувани </w:t>
            </w:r>
            <w:proofErr w:type="spellStart"/>
            <w:r w:rsidRPr="009200B0">
              <w:rPr>
                <w:rFonts w:eastAsia="Times New Roman" w:cstheme="minorHAnsi"/>
                <w:snapToGrid w:val="0"/>
                <w:sz w:val="24"/>
                <w:szCs w:val="24"/>
                <w:lang w:val="bg"/>
              </w:rPr>
              <w:t>коилси</w:t>
            </w:r>
            <w:proofErr w:type="spellEnd"/>
            <w:r w:rsidRPr="009200B0">
              <w:rPr>
                <w:rFonts w:eastAsia="Times New Roman" w:cstheme="minorHAnsi"/>
                <w:snapToGrid w:val="0"/>
                <w:sz w:val="24"/>
                <w:szCs w:val="24"/>
                <w:lang w:val="bg"/>
              </w:rPr>
              <w:t>, с изключение на производство на лята стомана за леене от малки и средни леярни;</w:t>
            </w:r>
          </w:p>
          <w:p w:rsidR="009200B0" w:rsidRPr="009200B0" w:rsidRDefault="009200B0" w:rsidP="00911F09">
            <w:pPr>
              <w:spacing w:after="60" w:line="240" w:lineRule="auto"/>
              <w:jc w:val="both"/>
              <w:rPr>
                <w:rFonts w:eastAsia="Times New Roman" w:cstheme="minorHAnsi"/>
                <w:snapToGrid w:val="0"/>
                <w:sz w:val="24"/>
                <w:szCs w:val="24"/>
                <w:lang w:val="bg"/>
              </w:rPr>
            </w:pPr>
            <w:r w:rsidRPr="009200B0">
              <w:rPr>
                <w:rFonts w:eastAsia="Times New Roman" w:cstheme="minorHAnsi"/>
                <w:snapToGrid w:val="0"/>
                <w:sz w:val="24"/>
                <w:szCs w:val="24"/>
                <w:lang w:val="bg"/>
              </w:rPr>
              <w:t xml:space="preserve">в) готови продукти след гореща обработка на желязо, обикновена стомана или специална стомана: релси, траверси, сглобяеми плоскости, единични плоскости, профили, тежки секции с дебелина 80 </w:t>
            </w:r>
            <w:r w:rsidRPr="009200B0">
              <w:rPr>
                <w:rFonts w:eastAsia="Times New Roman" w:cstheme="minorHAnsi"/>
                <w:snapToGrid w:val="0"/>
                <w:sz w:val="24"/>
                <w:szCs w:val="24"/>
                <w:lang w:val="en-US"/>
              </w:rPr>
              <w:t xml:space="preserve">mm </w:t>
            </w:r>
            <w:r w:rsidRPr="009200B0">
              <w:rPr>
                <w:rFonts w:eastAsia="Times New Roman" w:cstheme="minorHAnsi"/>
                <w:snapToGrid w:val="0"/>
                <w:sz w:val="24"/>
                <w:szCs w:val="24"/>
                <w:lang w:val="bg"/>
              </w:rPr>
              <w:t xml:space="preserve">и по- голяма, валцувани плоскости, профили и секции с дебелина по-малко от 80 </w:t>
            </w:r>
            <w:r w:rsidRPr="009200B0">
              <w:rPr>
                <w:rFonts w:eastAsia="Times New Roman" w:cstheme="minorHAnsi"/>
                <w:snapToGrid w:val="0"/>
                <w:sz w:val="24"/>
                <w:szCs w:val="24"/>
                <w:lang w:val="en-US"/>
              </w:rPr>
              <w:t xml:space="preserve">mm </w:t>
            </w:r>
            <w:r w:rsidRPr="009200B0">
              <w:rPr>
                <w:rFonts w:eastAsia="Times New Roman" w:cstheme="minorHAnsi"/>
                <w:snapToGrid w:val="0"/>
                <w:sz w:val="24"/>
                <w:szCs w:val="24"/>
                <w:lang w:val="bg"/>
              </w:rPr>
              <w:t xml:space="preserve">и плоскости по-тънки от 150 </w:t>
            </w:r>
            <w:r w:rsidRPr="009200B0">
              <w:rPr>
                <w:rFonts w:eastAsia="Times New Roman" w:cstheme="minorHAnsi"/>
                <w:snapToGrid w:val="0"/>
                <w:sz w:val="24"/>
                <w:szCs w:val="24"/>
                <w:lang w:val="en-US"/>
              </w:rPr>
              <w:t xml:space="preserve">mm, </w:t>
            </w:r>
            <w:r w:rsidRPr="009200B0">
              <w:rPr>
                <w:rFonts w:eastAsia="Times New Roman" w:cstheme="minorHAnsi"/>
                <w:snapToGrid w:val="0"/>
                <w:sz w:val="24"/>
                <w:szCs w:val="24"/>
                <w:lang w:val="bg"/>
              </w:rPr>
              <w:t xml:space="preserve">тел, тръби с кръгло сечение и други профили, горещо валцувани вериги и ленти (включително ленти за тръби), </w:t>
            </w:r>
            <w:proofErr w:type="spellStart"/>
            <w:r w:rsidRPr="009200B0">
              <w:rPr>
                <w:rFonts w:eastAsia="Times New Roman" w:cstheme="minorHAnsi"/>
                <w:snapToGrid w:val="0"/>
                <w:sz w:val="24"/>
                <w:szCs w:val="24"/>
                <w:lang w:val="bg"/>
              </w:rPr>
              <w:t>плосковалцовани</w:t>
            </w:r>
            <w:proofErr w:type="spellEnd"/>
            <w:r w:rsidRPr="009200B0">
              <w:rPr>
                <w:rFonts w:eastAsia="Times New Roman" w:cstheme="minorHAnsi"/>
                <w:snapToGrid w:val="0"/>
                <w:sz w:val="24"/>
                <w:szCs w:val="24"/>
                <w:lang w:val="bg"/>
              </w:rPr>
              <w:t xml:space="preserve"> продукти и листове с дебелина 3 </w:t>
            </w:r>
            <w:r w:rsidRPr="009200B0">
              <w:rPr>
                <w:rFonts w:eastAsia="Times New Roman" w:cstheme="minorHAnsi"/>
                <w:snapToGrid w:val="0"/>
                <w:sz w:val="24"/>
                <w:szCs w:val="24"/>
                <w:lang w:val="en-US"/>
              </w:rPr>
              <w:t xml:space="preserve">mm </w:t>
            </w:r>
            <w:r w:rsidRPr="009200B0">
              <w:rPr>
                <w:rFonts w:eastAsia="Times New Roman" w:cstheme="minorHAnsi"/>
                <w:snapToGrid w:val="0"/>
                <w:sz w:val="24"/>
                <w:szCs w:val="24"/>
                <w:lang w:val="bg"/>
              </w:rPr>
              <w:t xml:space="preserve">или повече, </w:t>
            </w:r>
            <w:proofErr w:type="spellStart"/>
            <w:r w:rsidRPr="009200B0">
              <w:rPr>
                <w:rFonts w:eastAsia="Times New Roman" w:cstheme="minorHAnsi"/>
                <w:snapToGrid w:val="0"/>
                <w:sz w:val="24"/>
                <w:szCs w:val="24"/>
                <w:lang w:val="bg"/>
              </w:rPr>
              <w:t>плосковалцовани</w:t>
            </w:r>
            <w:proofErr w:type="spellEnd"/>
            <w:r w:rsidRPr="009200B0">
              <w:rPr>
                <w:rFonts w:eastAsia="Times New Roman" w:cstheme="minorHAnsi"/>
                <w:snapToGrid w:val="0"/>
                <w:sz w:val="24"/>
                <w:szCs w:val="24"/>
                <w:lang w:val="bg"/>
              </w:rPr>
              <w:t xml:space="preserve"> продукти с универсално предназначение с дебелина 150 </w:t>
            </w:r>
            <w:r w:rsidRPr="009200B0">
              <w:rPr>
                <w:rFonts w:eastAsia="Times New Roman" w:cstheme="minorHAnsi"/>
                <w:snapToGrid w:val="0"/>
                <w:sz w:val="24"/>
                <w:szCs w:val="24"/>
                <w:lang w:val="en-US"/>
              </w:rPr>
              <w:t xml:space="preserve">mm </w:t>
            </w:r>
            <w:r w:rsidRPr="009200B0">
              <w:rPr>
                <w:rFonts w:eastAsia="Times New Roman" w:cstheme="minorHAnsi"/>
                <w:snapToGrid w:val="0"/>
                <w:sz w:val="24"/>
                <w:szCs w:val="24"/>
                <w:lang w:val="bg"/>
              </w:rPr>
              <w:t>или повече, с изключение на тел и продукти от тел, полирани пръти и железни отливки;</w:t>
            </w:r>
          </w:p>
          <w:p w:rsidR="009200B0" w:rsidRPr="009200B0" w:rsidRDefault="009200B0" w:rsidP="00911F09">
            <w:pPr>
              <w:spacing w:after="60" w:line="240" w:lineRule="auto"/>
              <w:jc w:val="both"/>
              <w:rPr>
                <w:rFonts w:eastAsia="Times New Roman" w:cstheme="minorHAnsi"/>
                <w:snapToGrid w:val="0"/>
                <w:sz w:val="24"/>
                <w:szCs w:val="24"/>
                <w:lang w:val="bg"/>
              </w:rPr>
            </w:pPr>
            <w:r w:rsidRPr="009200B0">
              <w:rPr>
                <w:rFonts w:eastAsia="Times New Roman" w:cstheme="minorHAnsi"/>
                <w:snapToGrid w:val="0"/>
                <w:sz w:val="24"/>
                <w:szCs w:val="24"/>
                <w:lang w:val="bg"/>
              </w:rPr>
              <w:t xml:space="preserve">г) готови продукти след студена обработка на желязо: </w:t>
            </w:r>
            <w:proofErr w:type="spellStart"/>
            <w:r w:rsidRPr="009200B0">
              <w:rPr>
                <w:rFonts w:eastAsia="Times New Roman" w:cstheme="minorHAnsi"/>
                <w:snapToGrid w:val="0"/>
                <w:sz w:val="24"/>
                <w:szCs w:val="24"/>
                <w:lang w:val="bg"/>
              </w:rPr>
              <w:t>покалаена</w:t>
            </w:r>
            <w:proofErr w:type="spellEnd"/>
            <w:r w:rsidRPr="009200B0">
              <w:rPr>
                <w:rFonts w:eastAsia="Times New Roman" w:cstheme="minorHAnsi"/>
                <w:snapToGrid w:val="0"/>
                <w:sz w:val="24"/>
                <w:szCs w:val="24"/>
                <w:lang w:val="bg"/>
              </w:rPr>
              <w:t xml:space="preserve"> ламарина, матова ламарина, черна ламарина, галванизирани или с други видове покритие листове ламарина, студено валцувани листове, електролитни листове, ленти за </w:t>
            </w:r>
            <w:proofErr w:type="spellStart"/>
            <w:r w:rsidRPr="009200B0">
              <w:rPr>
                <w:rFonts w:eastAsia="Times New Roman" w:cstheme="minorHAnsi"/>
                <w:snapToGrid w:val="0"/>
                <w:sz w:val="24"/>
                <w:szCs w:val="24"/>
                <w:lang w:val="bg"/>
              </w:rPr>
              <w:t>покалаена</w:t>
            </w:r>
            <w:proofErr w:type="spellEnd"/>
            <w:r w:rsidRPr="009200B0">
              <w:rPr>
                <w:rFonts w:eastAsia="Times New Roman" w:cstheme="minorHAnsi"/>
                <w:snapToGrid w:val="0"/>
                <w:sz w:val="24"/>
                <w:szCs w:val="24"/>
                <w:lang w:val="bg"/>
              </w:rPr>
              <w:t xml:space="preserve"> ламарина, студено валцувани плоскости, във форма на </w:t>
            </w:r>
            <w:proofErr w:type="spellStart"/>
            <w:r w:rsidRPr="009200B0">
              <w:rPr>
                <w:rFonts w:eastAsia="Times New Roman" w:cstheme="minorHAnsi"/>
                <w:snapToGrid w:val="0"/>
                <w:sz w:val="24"/>
                <w:szCs w:val="24"/>
                <w:lang w:val="bg"/>
              </w:rPr>
              <w:t>коилси</w:t>
            </w:r>
            <w:proofErr w:type="spellEnd"/>
            <w:r w:rsidRPr="009200B0">
              <w:rPr>
                <w:rFonts w:eastAsia="Times New Roman" w:cstheme="minorHAnsi"/>
                <w:snapToGrid w:val="0"/>
                <w:sz w:val="24"/>
                <w:szCs w:val="24"/>
                <w:lang w:val="bg"/>
              </w:rPr>
              <w:t xml:space="preserve"> или ленти;</w:t>
            </w:r>
          </w:p>
          <w:p w:rsidR="00EA1E54" w:rsidRPr="008E4D35" w:rsidRDefault="009200B0" w:rsidP="00911F09">
            <w:pPr>
              <w:spacing w:after="60" w:line="240" w:lineRule="auto"/>
              <w:jc w:val="both"/>
              <w:rPr>
                <w:rFonts w:eastAsia="Times New Roman" w:cstheme="minorHAnsi"/>
                <w:snapToGrid w:val="0"/>
                <w:sz w:val="24"/>
                <w:szCs w:val="24"/>
              </w:rPr>
            </w:pPr>
            <w:r w:rsidRPr="009200B0">
              <w:rPr>
                <w:rFonts w:eastAsia="Times New Roman" w:cstheme="minorHAnsi"/>
                <w:snapToGrid w:val="0"/>
                <w:sz w:val="24"/>
                <w:szCs w:val="24"/>
                <w:lang w:val="bg"/>
              </w:rPr>
              <w:t xml:space="preserve">д) тръби: всички безшевни стоманени тръби, запоени стоманени тръби с диаметър, надхвърлящ 406,4 </w:t>
            </w:r>
            <w:r w:rsidRPr="009200B0">
              <w:rPr>
                <w:rFonts w:eastAsia="Times New Roman" w:cstheme="minorHAnsi"/>
                <w:snapToGrid w:val="0"/>
                <w:sz w:val="24"/>
                <w:szCs w:val="24"/>
                <w:lang w:val="en-US"/>
              </w:rPr>
              <w:t>mm;</w:t>
            </w:r>
          </w:p>
        </w:tc>
      </w:tr>
      <w:tr w:rsidR="00EA1E54" w:rsidRPr="008E4D35" w:rsidTr="0048471A">
        <w:tc>
          <w:tcPr>
            <w:tcW w:w="2660" w:type="dxa"/>
            <w:shd w:val="clear" w:color="auto" w:fill="E6E6E6"/>
          </w:tcPr>
          <w:p w:rsidR="00EA1E54" w:rsidRPr="008E4D35" w:rsidRDefault="00EA1E54" w:rsidP="00F14642">
            <w:pPr>
              <w:spacing w:before="100" w:beforeAutospacing="1" w:after="100" w:afterAutospacing="1" w:line="240" w:lineRule="auto"/>
              <w:rPr>
                <w:rFonts w:eastAsia="Times New Roman" w:cstheme="minorHAnsi"/>
                <w:b/>
                <w:snapToGrid w:val="0"/>
                <w:sz w:val="24"/>
                <w:szCs w:val="24"/>
              </w:rPr>
            </w:pPr>
            <w:r w:rsidRPr="005155E4">
              <w:rPr>
                <w:rFonts w:eastAsia="Times New Roman" w:cstheme="minorHAnsi"/>
                <w:b/>
                <w:snapToGrid w:val="0"/>
                <w:sz w:val="24"/>
                <w:szCs w:val="24"/>
              </w:rPr>
              <w:lastRenderedPageBreak/>
              <w:t>Транспортен сектор</w:t>
            </w:r>
          </w:p>
        </w:tc>
        <w:tc>
          <w:tcPr>
            <w:tcW w:w="6628" w:type="dxa"/>
            <w:shd w:val="clear" w:color="auto" w:fill="F3F3F3"/>
          </w:tcPr>
          <w:p w:rsidR="005155E4" w:rsidRPr="005155E4" w:rsidRDefault="00392471" w:rsidP="005155E4">
            <w:pPr>
              <w:spacing w:after="60" w:line="240" w:lineRule="auto"/>
              <w:jc w:val="both"/>
              <w:rPr>
                <w:rFonts w:eastAsia="Times New Roman" w:cstheme="minorHAnsi"/>
                <w:snapToGrid w:val="0"/>
                <w:sz w:val="24"/>
                <w:szCs w:val="24"/>
              </w:rPr>
            </w:pPr>
            <w:r>
              <w:rPr>
                <w:rFonts w:eastAsia="Times New Roman" w:cstheme="minorHAnsi"/>
                <w:snapToGrid w:val="0"/>
                <w:sz w:val="24"/>
                <w:szCs w:val="24"/>
              </w:rPr>
              <w:t xml:space="preserve">Съгласно чл. 2, </w:t>
            </w:r>
            <w:proofErr w:type="spellStart"/>
            <w:r>
              <w:rPr>
                <w:rFonts w:eastAsia="Times New Roman" w:cstheme="minorHAnsi"/>
                <w:snapToGrid w:val="0"/>
                <w:sz w:val="24"/>
                <w:szCs w:val="24"/>
              </w:rPr>
              <w:t>пар</w:t>
            </w:r>
            <w:proofErr w:type="spellEnd"/>
            <w:r>
              <w:rPr>
                <w:rFonts w:eastAsia="Times New Roman" w:cstheme="minorHAnsi"/>
                <w:snapToGrid w:val="0"/>
                <w:sz w:val="24"/>
                <w:szCs w:val="24"/>
              </w:rPr>
              <w:t>. 45 от Регламент (ЕО) № 651/2014</w:t>
            </w:r>
            <w:r>
              <w:t xml:space="preserve"> </w:t>
            </w:r>
            <w:r w:rsidRPr="00392471">
              <w:rPr>
                <w:rFonts w:eastAsia="Times New Roman" w:cstheme="minorHAnsi"/>
                <w:snapToGrid w:val="0"/>
                <w:sz w:val="24"/>
                <w:szCs w:val="24"/>
              </w:rPr>
              <w:t xml:space="preserve">„транспортен сектор“ означава </w:t>
            </w:r>
            <w:r>
              <w:rPr>
                <w:rFonts w:eastAsia="Times New Roman" w:cstheme="minorHAnsi"/>
                <w:snapToGrid w:val="0"/>
                <w:sz w:val="24"/>
                <w:szCs w:val="24"/>
              </w:rPr>
              <w:t>п</w:t>
            </w:r>
            <w:r w:rsidR="005155E4" w:rsidRPr="005155E4">
              <w:rPr>
                <w:rFonts w:eastAsia="Times New Roman" w:cstheme="minorHAnsi"/>
                <w:snapToGrid w:val="0"/>
                <w:sz w:val="24"/>
                <w:szCs w:val="24"/>
              </w:rPr>
              <w:t xml:space="preserve">ревоз на пътници с въздушен, морски, автомобилен или железопътен транспорт и транспорт по вътрешни водни пътища или услугите по товарен превоз за чужда </w:t>
            </w:r>
            <w:r w:rsidR="005155E4">
              <w:rPr>
                <w:rFonts w:eastAsia="Times New Roman" w:cstheme="minorHAnsi"/>
                <w:snapToGrid w:val="0"/>
                <w:sz w:val="24"/>
                <w:szCs w:val="24"/>
              </w:rPr>
              <w:t>сметка или срещу възнаграждение. П</w:t>
            </w:r>
            <w:r w:rsidR="005155E4" w:rsidRPr="005155E4">
              <w:rPr>
                <w:rFonts w:eastAsia="Times New Roman" w:cstheme="minorHAnsi"/>
                <w:snapToGrid w:val="0"/>
                <w:sz w:val="24"/>
                <w:szCs w:val="24"/>
              </w:rPr>
              <w:t>о-конкретно „транспортен сектор" означава следните дейности по КИД-2008:</w:t>
            </w:r>
          </w:p>
          <w:p w:rsidR="005155E4" w:rsidRPr="005155E4" w:rsidRDefault="005155E4" w:rsidP="005155E4">
            <w:pPr>
              <w:spacing w:after="60" w:line="240" w:lineRule="auto"/>
              <w:jc w:val="both"/>
              <w:rPr>
                <w:rFonts w:eastAsia="Times New Roman" w:cstheme="minorHAnsi"/>
                <w:snapToGrid w:val="0"/>
                <w:sz w:val="24"/>
                <w:szCs w:val="24"/>
              </w:rPr>
            </w:pPr>
            <w:r w:rsidRPr="005155E4">
              <w:rPr>
                <w:rFonts w:eastAsia="Times New Roman" w:cstheme="minorHAnsi"/>
                <w:snapToGrid w:val="0"/>
                <w:sz w:val="24"/>
                <w:szCs w:val="24"/>
              </w:rPr>
              <w:t>а) Н49 „Сухопътен транспорт“, с изключение на Н49.32 „Пътнически таксиметров транспорт“, Н49.42 „Услуги по преместване“, Н49.5 „Тръбопроводен транспорт“;</w:t>
            </w:r>
          </w:p>
          <w:p w:rsidR="005155E4" w:rsidRPr="005155E4" w:rsidRDefault="005155E4" w:rsidP="005155E4">
            <w:pPr>
              <w:spacing w:after="60" w:line="240" w:lineRule="auto"/>
              <w:jc w:val="both"/>
              <w:rPr>
                <w:rFonts w:eastAsia="Times New Roman" w:cstheme="minorHAnsi"/>
                <w:snapToGrid w:val="0"/>
                <w:sz w:val="24"/>
                <w:szCs w:val="24"/>
              </w:rPr>
            </w:pPr>
            <w:r w:rsidRPr="005155E4">
              <w:rPr>
                <w:rFonts w:eastAsia="Times New Roman" w:cstheme="minorHAnsi"/>
                <w:snapToGrid w:val="0"/>
                <w:sz w:val="24"/>
                <w:szCs w:val="24"/>
              </w:rPr>
              <w:t>б) Н50 „Воден транспорт“;</w:t>
            </w:r>
          </w:p>
          <w:p w:rsidR="00EA1E54" w:rsidRPr="008E4D35" w:rsidRDefault="005155E4" w:rsidP="005155E4">
            <w:pPr>
              <w:spacing w:after="60" w:line="240" w:lineRule="auto"/>
              <w:jc w:val="both"/>
              <w:rPr>
                <w:rFonts w:eastAsia="Times New Roman" w:cstheme="minorHAnsi"/>
                <w:snapToGrid w:val="0"/>
                <w:sz w:val="24"/>
                <w:szCs w:val="24"/>
              </w:rPr>
            </w:pPr>
            <w:r w:rsidRPr="005155E4">
              <w:rPr>
                <w:rFonts w:eastAsia="Times New Roman" w:cstheme="minorHAnsi"/>
                <w:snapToGrid w:val="0"/>
                <w:sz w:val="24"/>
                <w:szCs w:val="24"/>
              </w:rPr>
              <w:t>в) Н51 „Въздушен транспорт“, с изключение на Н51.22 „Космически транспорт“.</w:t>
            </w:r>
          </w:p>
        </w:tc>
      </w:tr>
      <w:tr w:rsidR="00EA1E54" w:rsidRPr="008E4D35" w:rsidTr="0048471A">
        <w:tc>
          <w:tcPr>
            <w:tcW w:w="2660" w:type="dxa"/>
            <w:shd w:val="clear" w:color="auto" w:fill="E6E6E6"/>
          </w:tcPr>
          <w:p w:rsidR="00EA1E54" w:rsidRPr="00F15327" w:rsidRDefault="00EA1E54" w:rsidP="00F14642">
            <w:pPr>
              <w:spacing w:before="100" w:beforeAutospacing="1" w:after="100" w:afterAutospacing="1" w:line="240" w:lineRule="auto"/>
              <w:rPr>
                <w:rFonts w:eastAsia="Times New Roman" w:cstheme="minorHAnsi"/>
                <w:b/>
                <w:snapToGrid w:val="0"/>
                <w:sz w:val="24"/>
                <w:szCs w:val="24"/>
              </w:rPr>
            </w:pPr>
            <w:r w:rsidRPr="00F15327">
              <w:rPr>
                <w:rFonts w:eastAsia="Times New Roman" w:cstheme="minorHAnsi"/>
                <w:b/>
                <w:snapToGrid w:val="0"/>
                <w:sz w:val="24"/>
                <w:szCs w:val="24"/>
              </w:rPr>
              <w:t>Транспортни средства</w:t>
            </w:r>
          </w:p>
        </w:tc>
        <w:tc>
          <w:tcPr>
            <w:tcW w:w="6628" w:type="dxa"/>
            <w:shd w:val="clear" w:color="auto" w:fill="F3F3F3"/>
          </w:tcPr>
          <w:p w:rsidR="002A6026" w:rsidRPr="00F15327" w:rsidRDefault="002A6026" w:rsidP="002A6026">
            <w:pPr>
              <w:pStyle w:val="FootnoteText"/>
              <w:spacing w:after="60"/>
              <w:jc w:val="both"/>
              <w:rPr>
                <w:sz w:val="24"/>
                <w:szCs w:val="24"/>
              </w:rPr>
            </w:pPr>
            <w:r w:rsidRPr="00F15327">
              <w:rPr>
                <w:sz w:val="24"/>
                <w:szCs w:val="24"/>
              </w:rPr>
              <w:t>Включва следните дефиниции:</w:t>
            </w:r>
          </w:p>
          <w:p w:rsidR="002A6026" w:rsidRPr="00F15327" w:rsidRDefault="002A6026" w:rsidP="002A6026">
            <w:pPr>
              <w:pStyle w:val="FootnoteText"/>
              <w:spacing w:after="60"/>
              <w:jc w:val="both"/>
              <w:rPr>
                <w:sz w:val="24"/>
                <w:szCs w:val="24"/>
              </w:rPr>
            </w:pPr>
            <w:r w:rsidRPr="00F15327">
              <w:rPr>
                <w:sz w:val="24"/>
                <w:szCs w:val="24"/>
              </w:rPr>
              <w:t xml:space="preserve"> - </w:t>
            </w:r>
            <w:r w:rsidRPr="00F15327">
              <w:rPr>
                <w:i/>
                <w:sz w:val="24"/>
                <w:szCs w:val="24"/>
              </w:rPr>
              <w:t>Съгласно Закона за движението по пътищата:</w:t>
            </w:r>
          </w:p>
          <w:p w:rsidR="002A6026" w:rsidRPr="00F15327" w:rsidRDefault="002A6026" w:rsidP="002A6026">
            <w:pPr>
              <w:pStyle w:val="FootnoteText"/>
              <w:spacing w:after="60"/>
              <w:jc w:val="both"/>
              <w:rPr>
                <w:sz w:val="24"/>
                <w:szCs w:val="24"/>
              </w:rPr>
            </w:pPr>
            <w:r w:rsidRPr="00F15327">
              <w:rPr>
                <w:sz w:val="24"/>
                <w:szCs w:val="24"/>
              </w:rPr>
              <w:t xml:space="preserve">1. "Пътно превозно средство" е съоръжение, придвижвано по пътя на колела и използвано за превозване на хора и/или товари. Към пътните превозни средства се приравняват </w:t>
            </w:r>
            <w:r w:rsidRPr="00F15327">
              <w:rPr>
                <w:sz w:val="24"/>
                <w:szCs w:val="24"/>
              </w:rPr>
              <w:lastRenderedPageBreak/>
              <w:t>трамваите и самоходните машини, когато се придвижват по пътищата.</w:t>
            </w:r>
          </w:p>
          <w:p w:rsidR="002A6026" w:rsidRDefault="002A6026" w:rsidP="002A6026">
            <w:pPr>
              <w:pStyle w:val="FootnoteText"/>
              <w:spacing w:after="60"/>
              <w:jc w:val="both"/>
              <w:rPr>
                <w:sz w:val="24"/>
                <w:szCs w:val="24"/>
              </w:rPr>
            </w:pPr>
            <w:r w:rsidRPr="00F15327">
              <w:rPr>
                <w:sz w:val="24"/>
                <w:szCs w:val="24"/>
              </w:rPr>
              <w:t>2. "Моторно превозно средство" е пътно превозно средство, снабдено с двигател за придвижване, с изключение на релсовите превозни средства.</w:t>
            </w:r>
          </w:p>
          <w:p w:rsidR="00A00FBE" w:rsidRPr="002A6026" w:rsidRDefault="00A00FBE" w:rsidP="00A00FBE">
            <w:pPr>
              <w:pStyle w:val="FootnoteText"/>
              <w:spacing w:after="60"/>
              <w:jc w:val="both"/>
              <w:rPr>
                <w:b/>
                <w:sz w:val="24"/>
                <w:szCs w:val="24"/>
              </w:rPr>
            </w:pPr>
            <w:r w:rsidRPr="002A6026">
              <w:rPr>
                <w:b/>
                <w:sz w:val="24"/>
                <w:szCs w:val="24"/>
              </w:rPr>
              <w:t>За целите на настоящата процедура не представляват транспортни средства машини и съоръжения, които се придвижват само на територията на предприятието или се използват за вътрешно технологичен транспорт, при условие, че не се придвижват по пътищата.</w:t>
            </w:r>
          </w:p>
          <w:p w:rsidR="002A6026" w:rsidRPr="00F15327" w:rsidRDefault="002A6026" w:rsidP="002A6026">
            <w:pPr>
              <w:pStyle w:val="FootnoteText"/>
              <w:spacing w:after="60"/>
              <w:jc w:val="both"/>
              <w:rPr>
                <w:i/>
                <w:sz w:val="24"/>
                <w:szCs w:val="24"/>
              </w:rPr>
            </w:pPr>
            <w:r w:rsidRPr="00F15327">
              <w:rPr>
                <w:sz w:val="24"/>
                <w:szCs w:val="24"/>
              </w:rPr>
              <w:t xml:space="preserve">- </w:t>
            </w:r>
            <w:r w:rsidRPr="00F15327">
              <w:rPr>
                <w:i/>
                <w:sz w:val="24"/>
                <w:szCs w:val="24"/>
              </w:rPr>
              <w:t>Съгласно Закона за гражданското въздухоплаване:</w:t>
            </w:r>
          </w:p>
          <w:p w:rsidR="002A6026" w:rsidRPr="00F15327" w:rsidRDefault="002A6026" w:rsidP="002A6026">
            <w:pPr>
              <w:pStyle w:val="FootnoteText"/>
              <w:spacing w:after="60"/>
              <w:jc w:val="both"/>
              <w:rPr>
                <w:sz w:val="24"/>
                <w:szCs w:val="24"/>
              </w:rPr>
            </w:pPr>
            <w:r w:rsidRPr="00F15327">
              <w:rPr>
                <w:sz w:val="24"/>
                <w:szCs w:val="24"/>
              </w:rPr>
              <w:t>1. "Въздухоплавателно средство" е всяко средство,  което може да получи поддържане в атмосферата за сметка на реакцията на въздуха, освен реакцията на въздуха от земната повърхност.</w:t>
            </w:r>
          </w:p>
          <w:p w:rsidR="002A6026" w:rsidRPr="00F15327" w:rsidRDefault="002A6026" w:rsidP="002A6026">
            <w:pPr>
              <w:pStyle w:val="FootnoteText"/>
              <w:spacing w:after="60"/>
              <w:jc w:val="both"/>
              <w:rPr>
                <w:sz w:val="24"/>
                <w:szCs w:val="24"/>
              </w:rPr>
            </w:pPr>
            <w:r w:rsidRPr="00F15327">
              <w:rPr>
                <w:sz w:val="24"/>
                <w:szCs w:val="24"/>
              </w:rPr>
              <w:t xml:space="preserve"> - </w:t>
            </w:r>
            <w:r w:rsidRPr="00F15327">
              <w:rPr>
                <w:i/>
                <w:sz w:val="24"/>
                <w:szCs w:val="24"/>
              </w:rPr>
              <w:t>Съгласно Закона за железопътния транспорт:</w:t>
            </w:r>
          </w:p>
          <w:p w:rsidR="002A6026" w:rsidRPr="00F15327" w:rsidRDefault="002A6026" w:rsidP="002A6026">
            <w:pPr>
              <w:pStyle w:val="FootnoteText"/>
              <w:spacing w:after="60"/>
              <w:jc w:val="both"/>
              <w:rPr>
                <w:sz w:val="24"/>
                <w:szCs w:val="24"/>
              </w:rPr>
            </w:pPr>
            <w:r w:rsidRPr="00F15327">
              <w:rPr>
                <w:sz w:val="24"/>
                <w:szCs w:val="24"/>
              </w:rPr>
              <w:t xml:space="preserve">1. „Влак” е подреден и скачен състав от вагони с един или повече локомотиви в работно състояние, снабден със сигнали и влакови документи. Локомотиви, </w:t>
            </w:r>
            <w:proofErr w:type="spellStart"/>
            <w:r w:rsidRPr="00F15327">
              <w:rPr>
                <w:sz w:val="24"/>
                <w:szCs w:val="24"/>
              </w:rPr>
              <w:t>мотрисни</w:t>
            </w:r>
            <w:proofErr w:type="spellEnd"/>
            <w:r w:rsidRPr="00F15327">
              <w:rPr>
                <w:sz w:val="24"/>
                <w:szCs w:val="24"/>
              </w:rPr>
              <w:t xml:space="preserve"> влакове, мотриси, моторни дрезини и други моторни возила, </w:t>
            </w:r>
            <w:proofErr w:type="spellStart"/>
            <w:r w:rsidRPr="00F15327">
              <w:rPr>
                <w:sz w:val="24"/>
                <w:szCs w:val="24"/>
              </w:rPr>
              <w:t>несваляеми</w:t>
            </w:r>
            <w:proofErr w:type="spellEnd"/>
            <w:r w:rsidRPr="00F15327">
              <w:rPr>
                <w:sz w:val="24"/>
                <w:szCs w:val="24"/>
              </w:rPr>
              <w:t xml:space="preserve"> от пътя, отправени на </w:t>
            </w:r>
            <w:proofErr w:type="spellStart"/>
            <w:r w:rsidRPr="00F15327">
              <w:rPr>
                <w:sz w:val="24"/>
                <w:szCs w:val="24"/>
              </w:rPr>
              <w:t>междугарие</w:t>
            </w:r>
            <w:proofErr w:type="spellEnd"/>
            <w:r w:rsidRPr="00F15327">
              <w:rPr>
                <w:sz w:val="24"/>
                <w:szCs w:val="24"/>
              </w:rPr>
              <w:t>, се смятат за влакове.</w:t>
            </w:r>
          </w:p>
          <w:p w:rsidR="002A6026" w:rsidRPr="00F15327" w:rsidRDefault="002A6026" w:rsidP="002A6026">
            <w:pPr>
              <w:pStyle w:val="FootnoteText"/>
              <w:spacing w:after="60"/>
              <w:jc w:val="both"/>
              <w:rPr>
                <w:sz w:val="24"/>
                <w:szCs w:val="24"/>
              </w:rPr>
            </w:pPr>
            <w:r w:rsidRPr="00F15327">
              <w:rPr>
                <w:sz w:val="24"/>
                <w:szCs w:val="24"/>
              </w:rPr>
              <w:t xml:space="preserve"> - </w:t>
            </w:r>
            <w:r w:rsidRPr="00F15327">
              <w:rPr>
                <w:i/>
                <w:sz w:val="24"/>
                <w:szCs w:val="24"/>
              </w:rPr>
              <w:t>Съгласно Закона за морските пространства, вътрешните водни пътища и пристанищата на Република България:</w:t>
            </w:r>
          </w:p>
          <w:p w:rsidR="002A6026" w:rsidRPr="00F15327" w:rsidRDefault="002A6026" w:rsidP="002A6026">
            <w:pPr>
              <w:pStyle w:val="FootnoteText"/>
              <w:spacing w:after="60"/>
              <w:jc w:val="both"/>
              <w:rPr>
                <w:sz w:val="24"/>
                <w:szCs w:val="24"/>
              </w:rPr>
            </w:pPr>
            <w:r w:rsidRPr="00F15327">
              <w:rPr>
                <w:sz w:val="24"/>
                <w:szCs w:val="24"/>
              </w:rPr>
              <w:t>1. „Яхта”  е кораб, използван за туризъм, спорт, спортен риболов или развлечение.</w:t>
            </w:r>
          </w:p>
          <w:p w:rsidR="00AE2167" w:rsidRPr="00A00FBE" w:rsidRDefault="002A6026" w:rsidP="0076760F">
            <w:pPr>
              <w:pStyle w:val="FootnoteText"/>
              <w:spacing w:after="60"/>
              <w:jc w:val="both"/>
              <w:rPr>
                <w:sz w:val="24"/>
                <w:szCs w:val="24"/>
              </w:rPr>
            </w:pPr>
            <w:r w:rsidRPr="00F15327">
              <w:rPr>
                <w:sz w:val="24"/>
                <w:szCs w:val="24"/>
              </w:rPr>
              <w:t>2. „Кораб</w:t>
            </w:r>
            <w:r w:rsidRPr="00F15327">
              <w:rPr>
                <w:bCs/>
                <w:sz w:val="24"/>
                <w:szCs w:val="24"/>
              </w:rPr>
              <w:t>”</w:t>
            </w:r>
            <w:r w:rsidRPr="00F15327">
              <w:rPr>
                <w:sz w:val="24"/>
                <w:szCs w:val="24"/>
              </w:rPr>
              <w:t xml:space="preserve"> е всяко самоходно или несамоходно плавателно съоръжение от какъвто и да е тип, включително съдове на подводни криле, на въздушна възглавница, подводници, плаващи средства и неподвижни или плаващи платформи, предназначени за плаване по море и/или река, независимо от знамето, под което плава, и което се използва за извършване на една или няколко от следните дейности: превоз на товари, превоз на пътници и багажи; влачене на плавателни съоръжения; извършване на морски услуги и други помощни операции; риболов; експлоатация на други морски богатства, както и други дейности.</w:t>
            </w:r>
          </w:p>
        </w:tc>
      </w:tr>
      <w:tr w:rsidR="00EA1E54" w:rsidRPr="008E4D35" w:rsidTr="0048471A">
        <w:tc>
          <w:tcPr>
            <w:tcW w:w="2660" w:type="dxa"/>
            <w:shd w:val="clear" w:color="auto" w:fill="E6E6E6"/>
          </w:tcPr>
          <w:p w:rsidR="00EA1E54" w:rsidRPr="008E4D35" w:rsidRDefault="00EA1E54" w:rsidP="00F14642">
            <w:pPr>
              <w:spacing w:before="100" w:beforeAutospacing="1" w:after="100" w:afterAutospacing="1" w:line="240" w:lineRule="auto"/>
              <w:rPr>
                <w:rFonts w:cstheme="minorHAnsi"/>
                <w:sz w:val="24"/>
                <w:szCs w:val="24"/>
              </w:rPr>
            </w:pPr>
            <w:r w:rsidRPr="009200B0">
              <w:rPr>
                <w:rFonts w:eastAsia="Times New Roman" w:cstheme="minorHAnsi"/>
                <w:b/>
                <w:snapToGrid w:val="0"/>
                <w:sz w:val="24"/>
                <w:szCs w:val="24"/>
              </w:rPr>
              <w:lastRenderedPageBreak/>
              <w:t>Търговия със селскостопански продукт</w:t>
            </w:r>
          </w:p>
        </w:tc>
        <w:tc>
          <w:tcPr>
            <w:tcW w:w="6628" w:type="dxa"/>
            <w:shd w:val="clear" w:color="auto" w:fill="F3F3F3"/>
          </w:tcPr>
          <w:p w:rsidR="007B5FF0" w:rsidRPr="008E4D35" w:rsidRDefault="007B5FF0" w:rsidP="007B5FF0">
            <w:pPr>
              <w:spacing w:line="240" w:lineRule="auto"/>
              <w:jc w:val="both"/>
              <w:rPr>
                <w:rFonts w:eastAsia="Times New Roman" w:cstheme="minorHAnsi"/>
                <w:snapToGrid w:val="0"/>
                <w:sz w:val="24"/>
                <w:szCs w:val="24"/>
              </w:rPr>
            </w:pPr>
            <w:r>
              <w:rPr>
                <w:rFonts w:eastAsia="Times New Roman" w:cstheme="minorHAnsi"/>
                <w:snapToGrid w:val="0"/>
                <w:sz w:val="24"/>
                <w:szCs w:val="24"/>
              </w:rPr>
              <w:t>Д</w:t>
            </w:r>
            <w:r w:rsidRPr="007B5FF0">
              <w:rPr>
                <w:rFonts w:eastAsia="Times New Roman" w:cstheme="minorHAnsi"/>
                <w:snapToGrid w:val="0"/>
                <w:sz w:val="24"/>
                <w:szCs w:val="24"/>
              </w:rPr>
              <w:t xml:space="preserve">ържане или излагане с цел продажба, предлагане за продажба, доставяне или пускане на пазара по друг начин, с изключение на първата продажба от първичния </w:t>
            </w:r>
            <w:r w:rsidRPr="007B5FF0">
              <w:rPr>
                <w:rFonts w:eastAsia="Times New Roman" w:cstheme="minorHAnsi"/>
                <w:snapToGrid w:val="0"/>
                <w:sz w:val="24"/>
                <w:szCs w:val="24"/>
              </w:rPr>
              <w:lastRenderedPageBreak/>
              <w:t xml:space="preserve">производител на прекупвачи или </w:t>
            </w:r>
            <w:proofErr w:type="spellStart"/>
            <w:r w:rsidRPr="007B5FF0">
              <w:rPr>
                <w:rFonts w:eastAsia="Times New Roman" w:cstheme="minorHAnsi"/>
                <w:snapToGrid w:val="0"/>
                <w:sz w:val="24"/>
                <w:szCs w:val="24"/>
              </w:rPr>
              <w:t>преработватели</w:t>
            </w:r>
            <w:proofErr w:type="spellEnd"/>
            <w:r w:rsidRPr="007B5FF0">
              <w:rPr>
                <w:rFonts w:eastAsia="Times New Roman" w:cstheme="minorHAnsi"/>
                <w:snapToGrid w:val="0"/>
                <w:sz w:val="24"/>
                <w:szCs w:val="24"/>
              </w:rPr>
              <w:t xml:space="preserve">, както и всяка една дейност по подготвяне на продукта за тази първа продажба; продажбата от първичен производител на крайни потребители се счита за търговия, ако се </w:t>
            </w:r>
            <w:proofErr w:type="spellStart"/>
            <w:r w:rsidRPr="007B5FF0">
              <w:rPr>
                <w:rFonts w:eastAsia="Times New Roman" w:cstheme="minorHAnsi"/>
                <w:snapToGrid w:val="0"/>
                <w:sz w:val="24"/>
                <w:szCs w:val="24"/>
              </w:rPr>
              <w:t>осъщестява</w:t>
            </w:r>
            <w:proofErr w:type="spellEnd"/>
            <w:r w:rsidRPr="007B5FF0">
              <w:rPr>
                <w:rFonts w:eastAsia="Times New Roman" w:cstheme="minorHAnsi"/>
                <w:snapToGrid w:val="0"/>
                <w:sz w:val="24"/>
                <w:szCs w:val="24"/>
              </w:rPr>
              <w:t xml:space="preserve"> в отделни по</w:t>
            </w:r>
            <w:r>
              <w:rPr>
                <w:rFonts w:eastAsia="Times New Roman" w:cstheme="minorHAnsi"/>
                <w:snapToGrid w:val="0"/>
                <w:sz w:val="24"/>
                <w:szCs w:val="24"/>
              </w:rPr>
              <w:t>мещения, предвидени за тази цел.</w:t>
            </w:r>
          </w:p>
        </w:tc>
      </w:tr>
      <w:tr w:rsidR="006D243B" w:rsidRPr="008E4D35" w:rsidTr="0048471A">
        <w:tc>
          <w:tcPr>
            <w:tcW w:w="2660" w:type="dxa"/>
            <w:shd w:val="clear" w:color="auto" w:fill="E6E6E6"/>
          </w:tcPr>
          <w:p w:rsidR="006D243B" w:rsidRDefault="006D243B" w:rsidP="006D243B">
            <w:pPr>
              <w:spacing w:before="100" w:beforeAutospacing="1" w:after="100" w:afterAutospacing="1" w:line="240" w:lineRule="auto"/>
              <w:rPr>
                <w:rFonts w:eastAsia="Times New Roman" w:cstheme="minorHAnsi"/>
                <w:b/>
                <w:snapToGrid w:val="0"/>
                <w:sz w:val="24"/>
                <w:szCs w:val="24"/>
              </w:rPr>
            </w:pPr>
            <w:r>
              <w:rPr>
                <w:rFonts w:eastAsia="Times New Roman" w:cstheme="minorHAnsi"/>
                <w:b/>
                <w:snapToGrid w:val="0"/>
                <w:sz w:val="24"/>
                <w:szCs w:val="24"/>
              </w:rPr>
              <w:lastRenderedPageBreak/>
              <w:t>Условия при придобиване на дълготрайния актив чрез лизинг по чл. 1</w:t>
            </w:r>
            <w:r w:rsidR="005D5C12">
              <w:rPr>
                <w:rFonts w:eastAsia="Times New Roman" w:cstheme="minorHAnsi"/>
                <w:b/>
                <w:snapToGrid w:val="0"/>
                <w:sz w:val="24"/>
                <w:szCs w:val="24"/>
              </w:rPr>
              <w:t>8</w:t>
            </w:r>
            <w:r>
              <w:rPr>
                <w:rFonts w:eastAsia="Times New Roman" w:cstheme="minorHAnsi"/>
                <w:b/>
                <w:snapToGrid w:val="0"/>
                <w:sz w:val="24"/>
                <w:szCs w:val="24"/>
              </w:rPr>
              <w:t>, ал. 1 и ал. 3 от ПМС №1</w:t>
            </w:r>
            <w:r w:rsidR="005D5C12">
              <w:rPr>
                <w:rFonts w:eastAsia="Times New Roman" w:cstheme="minorHAnsi"/>
                <w:b/>
                <w:snapToGrid w:val="0"/>
                <w:sz w:val="24"/>
                <w:szCs w:val="24"/>
              </w:rPr>
              <w:t>89</w:t>
            </w:r>
            <w:r>
              <w:rPr>
                <w:rFonts w:eastAsia="Times New Roman" w:cstheme="minorHAnsi"/>
                <w:b/>
                <w:snapToGrid w:val="0"/>
                <w:sz w:val="24"/>
                <w:szCs w:val="24"/>
              </w:rPr>
              <w:t>/201</w:t>
            </w:r>
            <w:r w:rsidR="005D5C12">
              <w:rPr>
                <w:rFonts w:eastAsia="Times New Roman" w:cstheme="minorHAnsi"/>
                <w:b/>
                <w:snapToGrid w:val="0"/>
                <w:sz w:val="24"/>
                <w:szCs w:val="24"/>
              </w:rPr>
              <w:t>6</w:t>
            </w:r>
            <w:r>
              <w:rPr>
                <w:rFonts w:eastAsia="Times New Roman" w:cstheme="minorHAnsi"/>
                <w:b/>
                <w:snapToGrid w:val="0"/>
                <w:sz w:val="24"/>
                <w:szCs w:val="24"/>
              </w:rPr>
              <w:t xml:space="preserve"> г.</w:t>
            </w:r>
          </w:p>
        </w:tc>
        <w:tc>
          <w:tcPr>
            <w:tcW w:w="6628" w:type="dxa"/>
            <w:shd w:val="clear" w:color="auto" w:fill="F3F3F3"/>
          </w:tcPr>
          <w:p w:rsidR="005D5C12" w:rsidRPr="005D5C12" w:rsidRDefault="006D243B" w:rsidP="005D5C12">
            <w:pPr>
              <w:spacing w:after="0" w:line="240" w:lineRule="auto"/>
              <w:jc w:val="both"/>
              <w:rPr>
                <w:rFonts w:eastAsia="Times New Roman" w:cstheme="minorHAnsi"/>
                <w:snapToGrid w:val="0"/>
                <w:sz w:val="24"/>
                <w:szCs w:val="24"/>
              </w:rPr>
            </w:pPr>
            <w:r w:rsidRPr="006D243B">
              <w:rPr>
                <w:rFonts w:eastAsia="Times New Roman" w:cstheme="minorHAnsi"/>
                <w:snapToGrid w:val="0"/>
                <w:sz w:val="24"/>
                <w:szCs w:val="24"/>
              </w:rPr>
              <w:t>Чл. 1</w:t>
            </w:r>
            <w:r w:rsidR="005D5C12">
              <w:rPr>
                <w:rFonts w:eastAsia="Times New Roman" w:cstheme="minorHAnsi"/>
                <w:snapToGrid w:val="0"/>
                <w:sz w:val="24"/>
                <w:szCs w:val="24"/>
              </w:rPr>
              <w:t>8</w:t>
            </w:r>
            <w:r w:rsidRPr="006D243B">
              <w:rPr>
                <w:rFonts w:eastAsia="Times New Roman" w:cstheme="minorHAnsi"/>
                <w:snapToGrid w:val="0"/>
                <w:sz w:val="24"/>
                <w:szCs w:val="24"/>
              </w:rPr>
              <w:t xml:space="preserve">. </w:t>
            </w:r>
            <w:r w:rsidR="005D5C12" w:rsidRPr="005D5C12">
              <w:rPr>
                <w:rFonts w:eastAsia="Times New Roman" w:cstheme="minorHAnsi"/>
                <w:snapToGrid w:val="0"/>
                <w:sz w:val="24"/>
                <w:szCs w:val="24"/>
              </w:rPr>
              <w:t>(1) Допустими разходи, извършени във връзка с лизинг, по проекти, финансирани от програмите по чл. 2, ал. 1, са единствено лизинговите вноски при спазване на следните изисквания:</w:t>
            </w:r>
          </w:p>
          <w:p w:rsidR="005D5C12" w:rsidRPr="005D5C12" w:rsidRDefault="005D5C12" w:rsidP="005D5C12">
            <w:pPr>
              <w:spacing w:after="0" w:line="240" w:lineRule="auto"/>
              <w:jc w:val="both"/>
              <w:rPr>
                <w:rFonts w:eastAsia="Times New Roman" w:cstheme="minorHAnsi"/>
                <w:snapToGrid w:val="0"/>
                <w:sz w:val="24"/>
                <w:szCs w:val="24"/>
              </w:rPr>
            </w:pPr>
            <w:r w:rsidRPr="005D5C12">
              <w:rPr>
                <w:rFonts w:eastAsia="Times New Roman" w:cstheme="minorHAnsi"/>
                <w:snapToGrid w:val="0"/>
                <w:sz w:val="24"/>
                <w:szCs w:val="24"/>
              </w:rPr>
              <w:t>1. лизинговите вноски са дължими и платени до изтичане на срока за изпълнение на проекта, финансиран по оперативната програма;</w:t>
            </w:r>
          </w:p>
          <w:p w:rsidR="005D5C12" w:rsidRPr="005D5C12" w:rsidRDefault="005D5C12" w:rsidP="005D5C12">
            <w:pPr>
              <w:spacing w:after="0" w:line="240" w:lineRule="auto"/>
              <w:jc w:val="both"/>
              <w:rPr>
                <w:rFonts w:eastAsia="Times New Roman" w:cstheme="minorHAnsi"/>
                <w:snapToGrid w:val="0"/>
                <w:sz w:val="24"/>
                <w:szCs w:val="24"/>
              </w:rPr>
            </w:pPr>
            <w:r w:rsidRPr="005D5C12">
              <w:rPr>
                <w:rFonts w:eastAsia="Times New Roman" w:cstheme="minorHAnsi"/>
                <w:snapToGrid w:val="0"/>
                <w:sz w:val="24"/>
                <w:szCs w:val="24"/>
              </w:rPr>
              <w:t xml:space="preserve">2. разходът за лизинговите вноски, както и придобиването на актив посредством лизингов договор се доказва с фактура или със счетоводен документ с еквивалентна </w:t>
            </w:r>
            <w:proofErr w:type="spellStart"/>
            <w:r w:rsidRPr="005D5C12">
              <w:rPr>
                <w:rFonts w:eastAsia="Times New Roman" w:cstheme="minorHAnsi"/>
                <w:snapToGrid w:val="0"/>
                <w:sz w:val="24"/>
                <w:szCs w:val="24"/>
              </w:rPr>
              <w:t>доказателствена</w:t>
            </w:r>
            <w:proofErr w:type="spellEnd"/>
            <w:r w:rsidRPr="005D5C12">
              <w:rPr>
                <w:rFonts w:eastAsia="Times New Roman" w:cstheme="minorHAnsi"/>
                <w:snapToGrid w:val="0"/>
                <w:sz w:val="24"/>
                <w:szCs w:val="24"/>
              </w:rPr>
              <w:t xml:space="preserve"> стойност;</w:t>
            </w:r>
          </w:p>
          <w:p w:rsidR="00E0744A" w:rsidRDefault="005D5C12" w:rsidP="005D5C12">
            <w:pPr>
              <w:spacing w:after="0" w:line="240" w:lineRule="auto"/>
              <w:jc w:val="both"/>
              <w:rPr>
                <w:rFonts w:eastAsia="Times New Roman" w:cstheme="minorHAnsi"/>
                <w:snapToGrid w:val="0"/>
                <w:sz w:val="24"/>
                <w:szCs w:val="24"/>
              </w:rPr>
            </w:pPr>
            <w:r w:rsidRPr="005D5C12">
              <w:rPr>
                <w:rFonts w:eastAsia="Times New Roman" w:cstheme="minorHAnsi"/>
                <w:snapToGrid w:val="0"/>
                <w:sz w:val="24"/>
                <w:szCs w:val="24"/>
              </w:rPr>
              <w:t>3. максималната допустима цена е по-ниска от пазарната цена за закупуване на актива</w:t>
            </w:r>
          </w:p>
          <w:p w:rsidR="006D243B" w:rsidRPr="006D243B" w:rsidRDefault="005D5C12" w:rsidP="005D5C12">
            <w:pPr>
              <w:spacing w:after="0" w:line="240" w:lineRule="auto"/>
              <w:jc w:val="both"/>
              <w:rPr>
                <w:rFonts w:eastAsia="Times New Roman" w:cstheme="minorHAnsi"/>
                <w:snapToGrid w:val="0"/>
                <w:sz w:val="24"/>
                <w:szCs w:val="24"/>
              </w:rPr>
            </w:pPr>
            <w:r w:rsidRPr="005D5C12">
              <w:rPr>
                <w:rFonts w:eastAsia="Times New Roman" w:cstheme="minorHAnsi"/>
                <w:snapToGrid w:val="0"/>
                <w:sz w:val="24"/>
                <w:szCs w:val="24"/>
              </w:rPr>
              <w:t>.</w:t>
            </w:r>
            <w:r w:rsidR="006D243B">
              <w:rPr>
                <w:rFonts w:eastAsia="Times New Roman" w:cstheme="minorHAnsi"/>
                <w:snapToGrid w:val="0"/>
                <w:sz w:val="24"/>
                <w:szCs w:val="24"/>
              </w:rPr>
              <w:t>….</w:t>
            </w:r>
          </w:p>
          <w:p w:rsidR="005D5C12" w:rsidRPr="005D5C12" w:rsidRDefault="005D5C12" w:rsidP="005D5C12">
            <w:pPr>
              <w:spacing w:after="0" w:line="240" w:lineRule="auto"/>
              <w:jc w:val="both"/>
              <w:rPr>
                <w:rFonts w:eastAsia="Times New Roman" w:cstheme="minorHAnsi"/>
                <w:snapToGrid w:val="0"/>
                <w:sz w:val="24"/>
                <w:szCs w:val="24"/>
              </w:rPr>
            </w:pPr>
            <w:r w:rsidRPr="005D5C12">
              <w:rPr>
                <w:rFonts w:eastAsia="Times New Roman" w:cstheme="minorHAnsi"/>
                <w:snapToGrid w:val="0"/>
                <w:sz w:val="24"/>
                <w:szCs w:val="24"/>
              </w:rPr>
              <w:t xml:space="preserve">(3) Финансовата подкрепа може да бъде отпусната на </w:t>
            </w:r>
            <w:proofErr w:type="spellStart"/>
            <w:r w:rsidRPr="005D5C12">
              <w:rPr>
                <w:rFonts w:eastAsia="Times New Roman" w:cstheme="minorHAnsi"/>
                <w:snapToGrid w:val="0"/>
                <w:sz w:val="24"/>
                <w:szCs w:val="24"/>
              </w:rPr>
              <w:t>лизингополучателя</w:t>
            </w:r>
            <w:proofErr w:type="spellEnd"/>
            <w:r w:rsidRPr="005D5C12">
              <w:rPr>
                <w:rFonts w:eastAsia="Times New Roman" w:cstheme="minorHAnsi"/>
                <w:snapToGrid w:val="0"/>
                <w:sz w:val="24"/>
                <w:szCs w:val="24"/>
              </w:rPr>
              <w:t>. В този случай са допустими разходите за лизинг при спазване на следните условия:</w:t>
            </w:r>
          </w:p>
          <w:p w:rsidR="005D5C12" w:rsidRPr="005D5C12" w:rsidRDefault="005D5C12" w:rsidP="005D5C12">
            <w:pPr>
              <w:spacing w:after="0" w:line="240" w:lineRule="auto"/>
              <w:jc w:val="both"/>
              <w:rPr>
                <w:rFonts w:eastAsia="Times New Roman" w:cstheme="minorHAnsi"/>
                <w:snapToGrid w:val="0"/>
                <w:sz w:val="24"/>
                <w:szCs w:val="24"/>
              </w:rPr>
            </w:pPr>
            <w:r w:rsidRPr="005D5C12">
              <w:rPr>
                <w:rFonts w:eastAsia="Times New Roman" w:cstheme="minorHAnsi"/>
                <w:snapToGrid w:val="0"/>
                <w:sz w:val="24"/>
                <w:szCs w:val="24"/>
              </w:rPr>
              <w:t>1. пряк получател на финансирането от оперативната</w:t>
            </w:r>
            <w:r>
              <w:rPr>
                <w:rFonts w:eastAsia="Times New Roman" w:cstheme="minorHAnsi"/>
                <w:snapToGrid w:val="0"/>
                <w:sz w:val="24"/>
                <w:szCs w:val="24"/>
              </w:rPr>
              <w:t xml:space="preserve"> програма е </w:t>
            </w:r>
            <w:proofErr w:type="spellStart"/>
            <w:r>
              <w:rPr>
                <w:rFonts w:eastAsia="Times New Roman" w:cstheme="minorHAnsi"/>
                <w:snapToGrid w:val="0"/>
                <w:sz w:val="24"/>
                <w:szCs w:val="24"/>
              </w:rPr>
              <w:t>лизингополучателят</w:t>
            </w:r>
            <w:proofErr w:type="spellEnd"/>
            <w:r>
              <w:rPr>
                <w:rFonts w:eastAsia="Times New Roman" w:cstheme="minorHAnsi"/>
                <w:snapToGrid w:val="0"/>
                <w:sz w:val="24"/>
                <w:szCs w:val="24"/>
              </w:rPr>
              <w:t>;</w:t>
            </w:r>
          </w:p>
          <w:p w:rsidR="005D5C12" w:rsidRPr="005D5C12" w:rsidRDefault="005D5C12" w:rsidP="005D5C12">
            <w:pPr>
              <w:spacing w:after="0" w:line="240" w:lineRule="auto"/>
              <w:jc w:val="both"/>
              <w:rPr>
                <w:rFonts w:eastAsia="Times New Roman" w:cstheme="minorHAnsi"/>
                <w:snapToGrid w:val="0"/>
                <w:sz w:val="24"/>
                <w:szCs w:val="24"/>
              </w:rPr>
            </w:pPr>
            <w:r w:rsidRPr="005D5C12">
              <w:rPr>
                <w:rFonts w:eastAsia="Times New Roman" w:cstheme="minorHAnsi"/>
                <w:snapToGrid w:val="0"/>
                <w:sz w:val="24"/>
                <w:szCs w:val="24"/>
              </w:rPr>
              <w:t xml:space="preserve">2. при лизингови договори, които включват опция за покупка или предвиждат минимален лизингов период, равен на полезния срок на наетия актив, максималната сума, допустима за </w:t>
            </w:r>
            <w:proofErr w:type="spellStart"/>
            <w:r w:rsidRPr="005D5C12">
              <w:rPr>
                <w:rFonts w:eastAsia="Times New Roman" w:cstheme="minorHAnsi"/>
                <w:snapToGrid w:val="0"/>
                <w:sz w:val="24"/>
                <w:szCs w:val="24"/>
              </w:rPr>
              <w:t>съфинансиране</w:t>
            </w:r>
            <w:proofErr w:type="spellEnd"/>
            <w:r w:rsidRPr="005D5C12">
              <w:rPr>
                <w:rFonts w:eastAsia="Times New Roman" w:cstheme="minorHAnsi"/>
                <w:snapToGrid w:val="0"/>
                <w:sz w:val="24"/>
                <w:szCs w:val="24"/>
              </w:rPr>
              <w:t xml:space="preserve"> от оперативната програма, не може да надвишава пазарната стойност на наетия актив;</w:t>
            </w:r>
          </w:p>
          <w:p w:rsidR="005D5C12" w:rsidRPr="005D5C12" w:rsidRDefault="005D5C12" w:rsidP="005D5C12">
            <w:pPr>
              <w:spacing w:after="0" w:line="240" w:lineRule="auto"/>
              <w:jc w:val="both"/>
              <w:rPr>
                <w:rFonts w:eastAsia="Times New Roman" w:cstheme="minorHAnsi"/>
                <w:snapToGrid w:val="0"/>
                <w:sz w:val="24"/>
                <w:szCs w:val="24"/>
              </w:rPr>
            </w:pPr>
            <w:r w:rsidRPr="005D5C12">
              <w:rPr>
                <w:rFonts w:eastAsia="Times New Roman" w:cstheme="minorHAnsi"/>
                <w:snapToGrid w:val="0"/>
                <w:sz w:val="24"/>
                <w:szCs w:val="24"/>
              </w:rPr>
              <w:t xml:space="preserve">3. по отношение на лизинговите договори финансовата подкрепа от оперативната програма се плаща на </w:t>
            </w:r>
            <w:proofErr w:type="spellStart"/>
            <w:r w:rsidRPr="005D5C12">
              <w:rPr>
                <w:rFonts w:eastAsia="Times New Roman" w:cstheme="minorHAnsi"/>
                <w:snapToGrid w:val="0"/>
                <w:sz w:val="24"/>
                <w:szCs w:val="24"/>
              </w:rPr>
              <w:t>лизингополучателя</w:t>
            </w:r>
            <w:proofErr w:type="spellEnd"/>
            <w:r w:rsidRPr="005D5C12">
              <w:rPr>
                <w:rFonts w:eastAsia="Times New Roman" w:cstheme="minorHAnsi"/>
                <w:snapToGrid w:val="0"/>
                <w:sz w:val="24"/>
                <w:szCs w:val="24"/>
              </w:rPr>
              <w:t xml:space="preserve"> на един или повече транша съобразно реално платените лизингови вноски с изключение на случаите на авансово плащане; когато срокът на лизинговия договор изтича след крайната дата за получаване на финансова подкрепа от оперативната програма, допустими са само разходи, свързани с лизинговия наем, дължими и платени от </w:t>
            </w:r>
            <w:proofErr w:type="spellStart"/>
            <w:r w:rsidRPr="005D5C12">
              <w:rPr>
                <w:rFonts w:eastAsia="Times New Roman" w:cstheme="minorHAnsi"/>
                <w:snapToGrid w:val="0"/>
                <w:sz w:val="24"/>
                <w:szCs w:val="24"/>
              </w:rPr>
              <w:t>лизингополучателя</w:t>
            </w:r>
            <w:proofErr w:type="spellEnd"/>
            <w:r w:rsidRPr="005D5C12">
              <w:rPr>
                <w:rFonts w:eastAsia="Times New Roman" w:cstheme="minorHAnsi"/>
                <w:snapToGrid w:val="0"/>
                <w:sz w:val="24"/>
                <w:szCs w:val="24"/>
              </w:rPr>
              <w:t xml:space="preserve"> до тази дата;</w:t>
            </w:r>
          </w:p>
          <w:p w:rsidR="005D5C12" w:rsidRPr="005D5C12" w:rsidRDefault="005D5C12" w:rsidP="005D5C12">
            <w:pPr>
              <w:spacing w:after="0" w:line="240" w:lineRule="auto"/>
              <w:jc w:val="both"/>
              <w:rPr>
                <w:rFonts w:eastAsia="Times New Roman" w:cstheme="minorHAnsi"/>
                <w:snapToGrid w:val="0"/>
                <w:sz w:val="24"/>
                <w:szCs w:val="24"/>
              </w:rPr>
            </w:pPr>
            <w:r w:rsidRPr="005D5C12">
              <w:rPr>
                <w:rFonts w:eastAsia="Times New Roman" w:cstheme="minorHAnsi"/>
                <w:snapToGrid w:val="0"/>
                <w:sz w:val="24"/>
                <w:szCs w:val="24"/>
              </w:rPr>
              <w:t xml:space="preserve">4. в случаите на лизингови договори, които не съдържат опция за закупуване и чиято продължителност е по-малка от полезния срок на наетия актив, допустими за </w:t>
            </w:r>
            <w:proofErr w:type="spellStart"/>
            <w:r w:rsidRPr="005D5C12">
              <w:rPr>
                <w:rFonts w:eastAsia="Times New Roman" w:cstheme="minorHAnsi"/>
                <w:snapToGrid w:val="0"/>
                <w:sz w:val="24"/>
                <w:szCs w:val="24"/>
              </w:rPr>
              <w:t>съфинансиране</w:t>
            </w:r>
            <w:proofErr w:type="spellEnd"/>
            <w:r w:rsidRPr="005D5C12">
              <w:rPr>
                <w:rFonts w:eastAsia="Times New Roman" w:cstheme="minorHAnsi"/>
                <w:snapToGrid w:val="0"/>
                <w:sz w:val="24"/>
                <w:szCs w:val="24"/>
              </w:rPr>
              <w:t xml:space="preserve"> са само лизингови вноски в рамките на периода за </w:t>
            </w:r>
            <w:r w:rsidRPr="005D5C12">
              <w:rPr>
                <w:rFonts w:eastAsia="Times New Roman" w:cstheme="minorHAnsi"/>
                <w:snapToGrid w:val="0"/>
                <w:sz w:val="24"/>
                <w:szCs w:val="24"/>
              </w:rPr>
              <w:lastRenderedPageBreak/>
              <w:t xml:space="preserve">изпълнение на проекта, при условие че </w:t>
            </w:r>
            <w:proofErr w:type="spellStart"/>
            <w:r w:rsidRPr="005D5C12">
              <w:rPr>
                <w:rFonts w:eastAsia="Times New Roman" w:cstheme="minorHAnsi"/>
                <w:snapToGrid w:val="0"/>
                <w:sz w:val="24"/>
                <w:szCs w:val="24"/>
              </w:rPr>
              <w:t>лизингополучателят</w:t>
            </w:r>
            <w:proofErr w:type="spellEnd"/>
            <w:r w:rsidRPr="005D5C12">
              <w:rPr>
                <w:rFonts w:eastAsia="Times New Roman" w:cstheme="minorHAnsi"/>
                <w:snapToGrid w:val="0"/>
                <w:sz w:val="24"/>
                <w:szCs w:val="24"/>
              </w:rPr>
              <w:t xml:space="preserve"> докаже, че лизингът е бил най-ефективният метод за придобиване правото на ползване на актива; ако при използване на алтернативен метод (например наемане на оборудването) разходите биха били по-ниски, разликата ще бъде приспадната от допустимите разходи;</w:t>
            </w:r>
          </w:p>
          <w:p w:rsidR="005D5C12" w:rsidRPr="005D5C12" w:rsidRDefault="005D5C12" w:rsidP="005D5C12">
            <w:pPr>
              <w:spacing w:after="0" w:line="240" w:lineRule="auto"/>
              <w:jc w:val="both"/>
              <w:rPr>
                <w:rFonts w:eastAsia="Times New Roman" w:cstheme="minorHAnsi"/>
                <w:snapToGrid w:val="0"/>
                <w:sz w:val="24"/>
                <w:szCs w:val="24"/>
              </w:rPr>
            </w:pPr>
            <w:r w:rsidRPr="005D5C12">
              <w:rPr>
                <w:rFonts w:eastAsia="Times New Roman" w:cstheme="minorHAnsi"/>
                <w:snapToGrid w:val="0"/>
                <w:sz w:val="24"/>
                <w:szCs w:val="24"/>
              </w:rPr>
              <w:t xml:space="preserve">5. в случаите на регионална държавна помощ разходите, свързани с придобиване на активи чрез лизинг, различни от земя и сгради, ще са допустими само ако лизингът е финансов и включва задължение за покупка на активите при изтичане на лизинговия период; при лизинг на земя и сгради лизинговият период трябва да не е по-малък от 5 години след датата на приключване на инвестиционния проект или да не е по-малък от 3 години, в случай че </w:t>
            </w:r>
            <w:proofErr w:type="spellStart"/>
            <w:r w:rsidRPr="005D5C12">
              <w:rPr>
                <w:rFonts w:eastAsia="Times New Roman" w:cstheme="minorHAnsi"/>
                <w:snapToGrid w:val="0"/>
                <w:sz w:val="24"/>
                <w:szCs w:val="24"/>
              </w:rPr>
              <w:t>лизингополучателят</w:t>
            </w:r>
            <w:proofErr w:type="spellEnd"/>
            <w:r w:rsidRPr="005D5C12">
              <w:rPr>
                <w:rFonts w:eastAsia="Times New Roman" w:cstheme="minorHAnsi"/>
                <w:snapToGrid w:val="0"/>
                <w:sz w:val="24"/>
                <w:szCs w:val="24"/>
              </w:rPr>
              <w:t xml:space="preserve"> е малко или средно предприятие;</w:t>
            </w:r>
          </w:p>
          <w:p w:rsidR="006D243B" w:rsidRDefault="005D5C12" w:rsidP="005D5C12">
            <w:pPr>
              <w:spacing w:after="0" w:line="240" w:lineRule="auto"/>
              <w:jc w:val="both"/>
              <w:rPr>
                <w:rFonts w:eastAsia="Times New Roman" w:cstheme="minorHAnsi"/>
                <w:snapToGrid w:val="0"/>
                <w:sz w:val="24"/>
                <w:szCs w:val="24"/>
              </w:rPr>
            </w:pPr>
            <w:r w:rsidRPr="005D5C12">
              <w:rPr>
                <w:rFonts w:eastAsia="Times New Roman" w:cstheme="minorHAnsi"/>
                <w:snapToGrid w:val="0"/>
                <w:sz w:val="24"/>
                <w:szCs w:val="24"/>
              </w:rPr>
              <w:t xml:space="preserve">6. лизингови вноски, платени от </w:t>
            </w:r>
            <w:proofErr w:type="spellStart"/>
            <w:r w:rsidRPr="005D5C12">
              <w:rPr>
                <w:rFonts w:eastAsia="Times New Roman" w:cstheme="minorHAnsi"/>
                <w:snapToGrid w:val="0"/>
                <w:sz w:val="24"/>
                <w:szCs w:val="24"/>
              </w:rPr>
              <w:t>лизингополучателя</w:t>
            </w:r>
            <w:proofErr w:type="spellEnd"/>
            <w:r w:rsidRPr="005D5C12">
              <w:rPr>
                <w:rFonts w:eastAsia="Times New Roman" w:cstheme="minorHAnsi"/>
                <w:snapToGrid w:val="0"/>
                <w:sz w:val="24"/>
                <w:szCs w:val="24"/>
              </w:rPr>
              <w:t xml:space="preserve"> при лизинг с опция за продажба и незабавно наемане обратно на актива, могат да бъдат допустим разход при спазване на условията по ал. 1, 2 и 3; в този случай разходите за придобиване на актива не са допустими за </w:t>
            </w:r>
            <w:proofErr w:type="spellStart"/>
            <w:r w:rsidRPr="005D5C12">
              <w:rPr>
                <w:rFonts w:eastAsia="Times New Roman" w:cstheme="minorHAnsi"/>
                <w:snapToGrid w:val="0"/>
                <w:sz w:val="24"/>
                <w:szCs w:val="24"/>
              </w:rPr>
              <w:t>съфинансиране</w:t>
            </w:r>
            <w:proofErr w:type="spellEnd"/>
            <w:r w:rsidRPr="005D5C12">
              <w:rPr>
                <w:rFonts w:eastAsia="Times New Roman" w:cstheme="minorHAnsi"/>
                <w:snapToGrid w:val="0"/>
                <w:sz w:val="24"/>
                <w:szCs w:val="24"/>
              </w:rPr>
              <w:t xml:space="preserve"> от оперативната програма.</w:t>
            </w:r>
          </w:p>
        </w:tc>
      </w:tr>
    </w:tbl>
    <w:p w:rsidR="000C2624" w:rsidRPr="00DF7E05" w:rsidRDefault="000C2624">
      <w:pPr>
        <w:rPr>
          <w:lang w:val="en-US"/>
        </w:rPr>
      </w:pPr>
    </w:p>
    <w:sectPr w:rsidR="000C2624" w:rsidRPr="00DF7E0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5CE" w:rsidRDefault="006235CE" w:rsidP="00364204">
      <w:pPr>
        <w:spacing w:after="0" w:line="240" w:lineRule="auto"/>
      </w:pPr>
      <w:r>
        <w:separator/>
      </w:r>
    </w:p>
  </w:endnote>
  <w:endnote w:type="continuationSeparator" w:id="0">
    <w:p w:rsidR="006235CE" w:rsidRDefault="006235CE" w:rsidP="0036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5CE" w:rsidRDefault="006235CE" w:rsidP="00364204">
      <w:pPr>
        <w:spacing w:after="0" w:line="240" w:lineRule="auto"/>
      </w:pPr>
      <w:r>
        <w:separator/>
      </w:r>
    </w:p>
  </w:footnote>
  <w:footnote w:type="continuationSeparator" w:id="0">
    <w:p w:rsidR="006235CE" w:rsidRDefault="006235CE" w:rsidP="003642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16" w:type="dxa"/>
      <w:tblInd w:w="304" w:type="dxa"/>
      <w:tblCellMar>
        <w:left w:w="70" w:type="dxa"/>
        <w:right w:w="70" w:type="dxa"/>
      </w:tblCellMar>
      <w:tblLook w:val="0000" w:firstRow="0" w:lastRow="0" w:firstColumn="0" w:lastColumn="0" w:noHBand="0" w:noVBand="0"/>
    </w:tblPr>
    <w:tblGrid>
      <w:gridCol w:w="3265"/>
      <w:gridCol w:w="2871"/>
      <w:gridCol w:w="3380"/>
    </w:tblGrid>
    <w:tr w:rsidR="005D5C12" w:rsidRPr="00AF1339" w:rsidTr="00F14642">
      <w:trPr>
        <w:trHeight w:val="684"/>
      </w:trPr>
      <w:tc>
        <w:tcPr>
          <w:tcW w:w="3276" w:type="dxa"/>
        </w:tcPr>
        <w:p w:rsidR="005D5C12" w:rsidRPr="00AF1339" w:rsidRDefault="005D5C12" w:rsidP="00F14642">
          <w:pPr>
            <w:spacing w:after="160" w:line="259" w:lineRule="auto"/>
            <w:jc w:val="center"/>
            <w:rPr>
              <w:rFonts w:ascii="Calibri" w:eastAsia="Calibri" w:hAnsi="Calibri" w:cs="Times New Roman"/>
              <w:sz w:val="28"/>
              <w:szCs w:val="28"/>
            </w:rPr>
          </w:pPr>
          <w:r w:rsidRPr="00AF1339">
            <w:rPr>
              <w:rFonts w:ascii="Calibri" w:eastAsia="Calibri" w:hAnsi="Calibri" w:cs="Times New Roman"/>
              <w:noProof/>
              <w:lang w:eastAsia="bg-BG"/>
            </w:rPr>
            <w:drawing>
              <wp:anchor distT="0" distB="0" distL="114300" distR="114300" simplePos="0" relativeHeight="251659264" behindDoc="0" locked="0" layoutInCell="1" allowOverlap="1" wp14:anchorId="2457269E" wp14:editId="3E7143A1">
                <wp:simplePos x="0" y="0"/>
                <wp:positionH relativeFrom="column">
                  <wp:posOffset>445770</wp:posOffset>
                </wp:positionH>
                <wp:positionV relativeFrom="paragraph">
                  <wp:posOffset>85725</wp:posOffset>
                </wp:positionV>
                <wp:extent cx="1079500" cy="646430"/>
                <wp:effectExtent l="0" t="0" r="6350" b="1270"/>
                <wp:wrapNone/>
                <wp:docPr id="2" name="Picture 2" descr="eu_fla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_flag_1"/>
                        <pic:cNvPicPr>
                          <a:picLocks noChangeAspect="1" noChangeArrowheads="1"/>
                        </pic:cNvPicPr>
                      </pic:nvPicPr>
                      <pic:blipFill>
                        <a:blip r:embed="rId1">
                          <a:extLst>
                            <a:ext uri="{28A0092B-C50C-407E-A947-70E740481C1C}">
                              <a14:useLocalDpi xmlns:a14="http://schemas.microsoft.com/office/drawing/2010/main" val="0"/>
                            </a:ext>
                          </a:extLst>
                        </a:blip>
                        <a:srcRect t="9286"/>
                        <a:stretch>
                          <a:fillRect/>
                        </a:stretch>
                      </pic:blipFill>
                      <pic:spPr bwMode="auto">
                        <a:xfrm>
                          <a:off x="0" y="0"/>
                          <a:ext cx="1079500" cy="646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5C12" w:rsidRPr="00AF1339" w:rsidRDefault="005D5C12" w:rsidP="00F14642">
          <w:pPr>
            <w:spacing w:after="160" w:line="259" w:lineRule="auto"/>
            <w:jc w:val="center"/>
            <w:rPr>
              <w:rFonts w:ascii="Calibri" w:eastAsia="Calibri" w:hAnsi="Calibri" w:cs="Times New Roman"/>
              <w:b/>
              <w:sz w:val="14"/>
              <w:szCs w:val="14"/>
            </w:rPr>
          </w:pPr>
        </w:p>
        <w:p w:rsidR="005D5C12" w:rsidRPr="00AF1339" w:rsidRDefault="005D5C12" w:rsidP="00F14642">
          <w:pPr>
            <w:spacing w:after="160" w:line="259" w:lineRule="auto"/>
            <w:jc w:val="center"/>
            <w:rPr>
              <w:rFonts w:ascii="Calibri" w:eastAsia="Calibri" w:hAnsi="Calibri" w:cs="Times New Roman"/>
              <w:b/>
              <w:sz w:val="14"/>
              <w:szCs w:val="14"/>
            </w:rPr>
          </w:pPr>
        </w:p>
        <w:p w:rsidR="005D5C12" w:rsidRPr="00AF1339" w:rsidRDefault="005D5C12" w:rsidP="00F14642">
          <w:pPr>
            <w:spacing w:after="160" w:line="259" w:lineRule="auto"/>
            <w:jc w:val="center"/>
            <w:rPr>
              <w:rFonts w:ascii="Calibri" w:eastAsia="Calibri" w:hAnsi="Calibri" w:cs="Times New Roman"/>
              <w:b/>
              <w:sz w:val="18"/>
              <w:szCs w:val="18"/>
            </w:rPr>
          </w:pPr>
          <w:r w:rsidRPr="00AF1339">
            <w:rPr>
              <w:rFonts w:ascii="Calibri" w:eastAsia="Calibri" w:hAnsi="Calibri" w:cs="Times New Roman"/>
              <w:b/>
              <w:sz w:val="18"/>
              <w:szCs w:val="18"/>
            </w:rPr>
            <w:t>ЕВРОПЕЙСКИ СЪЮЗ</w:t>
          </w:r>
        </w:p>
      </w:tc>
      <w:tc>
        <w:tcPr>
          <w:tcW w:w="2886" w:type="dxa"/>
        </w:tcPr>
        <w:p w:rsidR="005D5C12" w:rsidRPr="00AF1339" w:rsidRDefault="005D5C12" w:rsidP="00F14642">
          <w:pPr>
            <w:spacing w:after="160" w:line="259" w:lineRule="auto"/>
            <w:jc w:val="center"/>
            <w:rPr>
              <w:rFonts w:ascii="Calibri" w:eastAsia="Calibri" w:hAnsi="Calibri" w:cs="Times New Roman"/>
            </w:rPr>
          </w:pPr>
        </w:p>
        <w:p w:rsidR="005D5C12" w:rsidRPr="00AF1339" w:rsidRDefault="005D5C12" w:rsidP="00F14642">
          <w:pPr>
            <w:spacing w:after="160" w:line="259" w:lineRule="auto"/>
            <w:jc w:val="center"/>
            <w:rPr>
              <w:rFonts w:ascii="Calibri" w:eastAsia="Calibri" w:hAnsi="Calibri" w:cs="Times New Roman"/>
            </w:rPr>
          </w:pPr>
        </w:p>
        <w:p w:rsidR="005D5C12" w:rsidRPr="00AF1339" w:rsidRDefault="005D5C12" w:rsidP="00F14642">
          <w:pPr>
            <w:spacing w:after="160" w:line="259" w:lineRule="auto"/>
            <w:jc w:val="center"/>
            <w:rPr>
              <w:rFonts w:ascii="Calibri" w:eastAsia="Calibri" w:hAnsi="Calibri" w:cs="Times New Roman"/>
            </w:rPr>
          </w:pPr>
        </w:p>
      </w:tc>
      <w:tc>
        <w:tcPr>
          <w:tcW w:w="3354" w:type="dxa"/>
        </w:tcPr>
        <w:p w:rsidR="005D5C12" w:rsidRPr="00AF1339" w:rsidRDefault="005D5C12" w:rsidP="00F14642">
          <w:pPr>
            <w:spacing w:after="160" w:line="259" w:lineRule="auto"/>
            <w:jc w:val="center"/>
            <w:rPr>
              <w:rFonts w:ascii="Calibri" w:eastAsia="Calibri" w:hAnsi="Calibri" w:cs="Times New Roman"/>
            </w:rPr>
          </w:pPr>
          <w:r w:rsidRPr="00AF1339">
            <w:rPr>
              <w:rFonts w:ascii="Calibri" w:eastAsia="Calibri" w:hAnsi="Calibri" w:cs="Times New Roman"/>
              <w:noProof/>
              <w:lang w:eastAsia="bg-BG"/>
            </w:rPr>
            <w:drawing>
              <wp:inline distT="0" distB="0" distL="0" distR="0" wp14:anchorId="481D737D" wp14:editId="2CE4567B">
                <wp:extent cx="2047875" cy="93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17035" t="15169" r="15656" b="63324"/>
                        <a:stretch>
                          <a:fillRect/>
                        </a:stretch>
                      </pic:blipFill>
                      <pic:spPr bwMode="auto">
                        <a:xfrm>
                          <a:off x="0" y="0"/>
                          <a:ext cx="2047875" cy="933450"/>
                        </a:xfrm>
                        <a:prstGeom prst="rect">
                          <a:avLst/>
                        </a:prstGeom>
                        <a:noFill/>
                        <a:ln>
                          <a:noFill/>
                        </a:ln>
                      </pic:spPr>
                    </pic:pic>
                  </a:graphicData>
                </a:graphic>
              </wp:inline>
            </w:drawing>
          </w:r>
        </w:p>
      </w:tc>
    </w:tr>
  </w:tbl>
  <w:p w:rsidR="005D5C12" w:rsidRDefault="005D5C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E2928"/>
    <w:multiLevelType w:val="multilevel"/>
    <w:tmpl w:val="2DA6A6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bg"/>
      </w:rPr>
    </w:lvl>
    <w:lvl w:ilvl="1">
      <w:start w:val="19"/>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bg"/>
      </w:rPr>
    </w:lvl>
    <w:lvl w:ilvl="2">
      <w:start w:val="1"/>
      <w:numFmt w:val="lowerRoman"/>
      <w:lvlText w:val="%3)"/>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rPr>
    </w:lvl>
    <w:lvl w:ilvl="3">
      <w:start w:val="1"/>
      <w:numFmt w:val="lowerRoman"/>
      <w:lvlText w:val="%4)"/>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rPr>
    </w:lvl>
    <w:lvl w:ilvl="4">
      <w:start w:val="1"/>
      <w:numFmt w:val="lowerRoman"/>
      <w:lvlText w:val="%5)"/>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rPr>
    </w:lvl>
    <w:lvl w:ilvl="5">
      <w:start w:val="2"/>
      <w:numFmt w:val="decimal"/>
      <w:lvlText w:val="(%6)"/>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lang w:val="bg"/>
      </w:rPr>
    </w:lvl>
    <w:lvl w:ilvl="6">
      <w:start w:val="134"/>
      <w:numFmt w:val="decimal"/>
      <w:lvlText w:val="%7."/>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bg"/>
      </w:rPr>
    </w:lvl>
    <w:lvl w:ilvl="7">
      <w:start w:val="1"/>
      <w:numFmt w:val="lowerRoman"/>
      <w:lvlText w:val="%8)"/>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rPr>
    </w:lvl>
    <w:lvl w:ilvl="8">
      <w:start w:val="1"/>
      <w:numFmt w:val="decimal"/>
      <w:lvlText w:val="%9."/>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bg"/>
      </w:rPr>
    </w:lvl>
  </w:abstractNum>
  <w:abstractNum w:abstractNumId="1">
    <w:nsid w:val="2AB8221E"/>
    <w:multiLevelType w:val="hybridMultilevel"/>
    <w:tmpl w:val="F5F67F34"/>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722305E8"/>
    <w:multiLevelType w:val="multilevel"/>
    <w:tmpl w:val="722305E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4B"/>
    <w:rsid w:val="0000173C"/>
    <w:rsid w:val="0000386A"/>
    <w:rsid w:val="00015702"/>
    <w:rsid w:val="00020E0B"/>
    <w:rsid w:val="00021DCF"/>
    <w:rsid w:val="0003699C"/>
    <w:rsid w:val="0004005C"/>
    <w:rsid w:val="00044D0F"/>
    <w:rsid w:val="00045584"/>
    <w:rsid w:val="000568E4"/>
    <w:rsid w:val="00062143"/>
    <w:rsid w:val="000972C6"/>
    <w:rsid w:val="000A0132"/>
    <w:rsid w:val="000B38AD"/>
    <w:rsid w:val="000B6360"/>
    <w:rsid w:val="000C2624"/>
    <w:rsid w:val="000C2A46"/>
    <w:rsid w:val="000C6413"/>
    <w:rsid w:val="000C731A"/>
    <w:rsid w:val="000D040C"/>
    <w:rsid w:val="000D418B"/>
    <w:rsid w:val="000D7F0D"/>
    <w:rsid w:val="000E43C4"/>
    <w:rsid w:val="000E4FFF"/>
    <w:rsid w:val="000F48C5"/>
    <w:rsid w:val="00112DD2"/>
    <w:rsid w:val="001172F3"/>
    <w:rsid w:val="0012614C"/>
    <w:rsid w:val="001375DA"/>
    <w:rsid w:val="00147A80"/>
    <w:rsid w:val="00151B68"/>
    <w:rsid w:val="001566B9"/>
    <w:rsid w:val="001637DA"/>
    <w:rsid w:val="001675DC"/>
    <w:rsid w:val="00176AD2"/>
    <w:rsid w:val="00177AF4"/>
    <w:rsid w:val="001826B1"/>
    <w:rsid w:val="0019069B"/>
    <w:rsid w:val="001B57E3"/>
    <w:rsid w:val="001B61A7"/>
    <w:rsid w:val="001C2977"/>
    <w:rsid w:val="001D505E"/>
    <w:rsid w:val="00207A2E"/>
    <w:rsid w:val="0021679D"/>
    <w:rsid w:val="00226AD4"/>
    <w:rsid w:val="002407B4"/>
    <w:rsid w:val="0028583C"/>
    <w:rsid w:val="002938F6"/>
    <w:rsid w:val="00294A6E"/>
    <w:rsid w:val="002A570D"/>
    <w:rsid w:val="002A6026"/>
    <w:rsid w:val="002B20F2"/>
    <w:rsid w:val="002B31B0"/>
    <w:rsid w:val="00301649"/>
    <w:rsid w:val="00311B06"/>
    <w:rsid w:val="00311D57"/>
    <w:rsid w:val="00322E2E"/>
    <w:rsid w:val="003234D8"/>
    <w:rsid w:val="00323E63"/>
    <w:rsid w:val="0032781F"/>
    <w:rsid w:val="00350A75"/>
    <w:rsid w:val="00364204"/>
    <w:rsid w:val="00380C77"/>
    <w:rsid w:val="00392471"/>
    <w:rsid w:val="003C0505"/>
    <w:rsid w:val="003D5F84"/>
    <w:rsid w:val="003E2225"/>
    <w:rsid w:val="003E7DFA"/>
    <w:rsid w:val="003F63FF"/>
    <w:rsid w:val="003F74C3"/>
    <w:rsid w:val="00403D6C"/>
    <w:rsid w:val="00413F4A"/>
    <w:rsid w:val="00425D7E"/>
    <w:rsid w:val="00434D2A"/>
    <w:rsid w:val="00443FF4"/>
    <w:rsid w:val="00453858"/>
    <w:rsid w:val="0048471A"/>
    <w:rsid w:val="00486046"/>
    <w:rsid w:val="00487B87"/>
    <w:rsid w:val="004E15B4"/>
    <w:rsid w:val="004E6D9F"/>
    <w:rsid w:val="00502F9C"/>
    <w:rsid w:val="005155E4"/>
    <w:rsid w:val="00562CDD"/>
    <w:rsid w:val="00590097"/>
    <w:rsid w:val="005B109C"/>
    <w:rsid w:val="005C3A6A"/>
    <w:rsid w:val="005D31D2"/>
    <w:rsid w:val="005D5C12"/>
    <w:rsid w:val="005D5D2C"/>
    <w:rsid w:val="005E04B9"/>
    <w:rsid w:val="005E3ADC"/>
    <w:rsid w:val="006235CE"/>
    <w:rsid w:val="00624B99"/>
    <w:rsid w:val="0062729B"/>
    <w:rsid w:val="00650331"/>
    <w:rsid w:val="00655AB9"/>
    <w:rsid w:val="00666644"/>
    <w:rsid w:val="006675E7"/>
    <w:rsid w:val="00677E30"/>
    <w:rsid w:val="00686332"/>
    <w:rsid w:val="006932EA"/>
    <w:rsid w:val="006B35B9"/>
    <w:rsid w:val="006C0465"/>
    <w:rsid w:val="006C7B36"/>
    <w:rsid w:val="006D243B"/>
    <w:rsid w:val="006D5204"/>
    <w:rsid w:val="006D56CD"/>
    <w:rsid w:val="006E74DD"/>
    <w:rsid w:val="006F5552"/>
    <w:rsid w:val="007110EB"/>
    <w:rsid w:val="007268F0"/>
    <w:rsid w:val="00734B42"/>
    <w:rsid w:val="00741F45"/>
    <w:rsid w:val="0074385D"/>
    <w:rsid w:val="0074665C"/>
    <w:rsid w:val="00750D4C"/>
    <w:rsid w:val="00761D80"/>
    <w:rsid w:val="00764CC7"/>
    <w:rsid w:val="0076760F"/>
    <w:rsid w:val="0078029D"/>
    <w:rsid w:val="00784610"/>
    <w:rsid w:val="00785637"/>
    <w:rsid w:val="00792531"/>
    <w:rsid w:val="007B2C0A"/>
    <w:rsid w:val="007B5FF0"/>
    <w:rsid w:val="007B60CB"/>
    <w:rsid w:val="007E18D5"/>
    <w:rsid w:val="007E4C7D"/>
    <w:rsid w:val="007F4E6D"/>
    <w:rsid w:val="007F75CF"/>
    <w:rsid w:val="00800A99"/>
    <w:rsid w:val="00805079"/>
    <w:rsid w:val="0080517F"/>
    <w:rsid w:val="0082616B"/>
    <w:rsid w:val="00831362"/>
    <w:rsid w:val="008423D6"/>
    <w:rsid w:val="00844602"/>
    <w:rsid w:val="00844A97"/>
    <w:rsid w:val="00857CD1"/>
    <w:rsid w:val="00862EEE"/>
    <w:rsid w:val="00870D1D"/>
    <w:rsid w:val="00876B7B"/>
    <w:rsid w:val="00880021"/>
    <w:rsid w:val="00884591"/>
    <w:rsid w:val="008A3B65"/>
    <w:rsid w:val="008D22C2"/>
    <w:rsid w:val="008D51DE"/>
    <w:rsid w:val="008E4D35"/>
    <w:rsid w:val="008F2DBC"/>
    <w:rsid w:val="0091098E"/>
    <w:rsid w:val="00911F09"/>
    <w:rsid w:val="009200B0"/>
    <w:rsid w:val="009228BD"/>
    <w:rsid w:val="00922D50"/>
    <w:rsid w:val="00924D9B"/>
    <w:rsid w:val="0093063E"/>
    <w:rsid w:val="00934B28"/>
    <w:rsid w:val="00936946"/>
    <w:rsid w:val="0095447F"/>
    <w:rsid w:val="00960116"/>
    <w:rsid w:val="009944A0"/>
    <w:rsid w:val="00995611"/>
    <w:rsid w:val="009B112E"/>
    <w:rsid w:val="009D0973"/>
    <w:rsid w:val="009D632B"/>
    <w:rsid w:val="009F6C1F"/>
    <w:rsid w:val="009F7BB2"/>
    <w:rsid w:val="00A00FBE"/>
    <w:rsid w:val="00A07D6D"/>
    <w:rsid w:val="00A14845"/>
    <w:rsid w:val="00A1789B"/>
    <w:rsid w:val="00A24C36"/>
    <w:rsid w:val="00A26995"/>
    <w:rsid w:val="00A3057D"/>
    <w:rsid w:val="00A32D97"/>
    <w:rsid w:val="00A33C33"/>
    <w:rsid w:val="00A52C19"/>
    <w:rsid w:val="00A641AE"/>
    <w:rsid w:val="00A64487"/>
    <w:rsid w:val="00A90EA8"/>
    <w:rsid w:val="00AA5F85"/>
    <w:rsid w:val="00AB66B3"/>
    <w:rsid w:val="00AC0C92"/>
    <w:rsid w:val="00AC5A69"/>
    <w:rsid w:val="00AC6F3F"/>
    <w:rsid w:val="00AD2903"/>
    <w:rsid w:val="00AD39DA"/>
    <w:rsid w:val="00AE06FF"/>
    <w:rsid w:val="00AE2167"/>
    <w:rsid w:val="00B219EC"/>
    <w:rsid w:val="00B47A1F"/>
    <w:rsid w:val="00B50A28"/>
    <w:rsid w:val="00B54D6C"/>
    <w:rsid w:val="00B570F3"/>
    <w:rsid w:val="00B71DD6"/>
    <w:rsid w:val="00B72A66"/>
    <w:rsid w:val="00BA0725"/>
    <w:rsid w:val="00BC06E5"/>
    <w:rsid w:val="00BD6E52"/>
    <w:rsid w:val="00BF171D"/>
    <w:rsid w:val="00C1144B"/>
    <w:rsid w:val="00C22321"/>
    <w:rsid w:val="00C227AA"/>
    <w:rsid w:val="00C31ADB"/>
    <w:rsid w:val="00C470C9"/>
    <w:rsid w:val="00C5289A"/>
    <w:rsid w:val="00C60101"/>
    <w:rsid w:val="00C64722"/>
    <w:rsid w:val="00C66498"/>
    <w:rsid w:val="00C67B6D"/>
    <w:rsid w:val="00C77AA5"/>
    <w:rsid w:val="00C83BE5"/>
    <w:rsid w:val="00C86681"/>
    <w:rsid w:val="00C918D5"/>
    <w:rsid w:val="00CA653D"/>
    <w:rsid w:val="00CB0C05"/>
    <w:rsid w:val="00CF0900"/>
    <w:rsid w:val="00CF381D"/>
    <w:rsid w:val="00D012AB"/>
    <w:rsid w:val="00D077BE"/>
    <w:rsid w:val="00D31E18"/>
    <w:rsid w:val="00D36727"/>
    <w:rsid w:val="00D37325"/>
    <w:rsid w:val="00D43E3C"/>
    <w:rsid w:val="00D45B42"/>
    <w:rsid w:val="00D55DC2"/>
    <w:rsid w:val="00D72655"/>
    <w:rsid w:val="00D73B92"/>
    <w:rsid w:val="00D772ED"/>
    <w:rsid w:val="00D97129"/>
    <w:rsid w:val="00DA3619"/>
    <w:rsid w:val="00DD1DE4"/>
    <w:rsid w:val="00DF094A"/>
    <w:rsid w:val="00DF2DF7"/>
    <w:rsid w:val="00DF5409"/>
    <w:rsid w:val="00DF71C8"/>
    <w:rsid w:val="00DF7E05"/>
    <w:rsid w:val="00E03C0C"/>
    <w:rsid w:val="00E0744A"/>
    <w:rsid w:val="00E12165"/>
    <w:rsid w:val="00E17783"/>
    <w:rsid w:val="00E20EE5"/>
    <w:rsid w:val="00E2578D"/>
    <w:rsid w:val="00E32E04"/>
    <w:rsid w:val="00E42994"/>
    <w:rsid w:val="00E43262"/>
    <w:rsid w:val="00E6244E"/>
    <w:rsid w:val="00E80306"/>
    <w:rsid w:val="00E86682"/>
    <w:rsid w:val="00EA1E54"/>
    <w:rsid w:val="00EB0D94"/>
    <w:rsid w:val="00EC6570"/>
    <w:rsid w:val="00EE7F6C"/>
    <w:rsid w:val="00F01208"/>
    <w:rsid w:val="00F06A3C"/>
    <w:rsid w:val="00F14642"/>
    <w:rsid w:val="00F15327"/>
    <w:rsid w:val="00F15645"/>
    <w:rsid w:val="00F25879"/>
    <w:rsid w:val="00F27621"/>
    <w:rsid w:val="00F41D4C"/>
    <w:rsid w:val="00F46AA0"/>
    <w:rsid w:val="00F56BC0"/>
    <w:rsid w:val="00F6168F"/>
    <w:rsid w:val="00F702F0"/>
    <w:rsid w:val="00F74603"/>
    <w:rsid w:val="00F83726"/>
    <w:rsid w:val="00FD2BCA"/>
    <w:rsid w:val="00FE5D6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20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4204"/>
  </w:style>
  <w:style w:type="paragraph" w:styleId="Footer">
    <w:name w:val="footer"/>
    <w:basedOn w:val="Normal"/>
    <w:link w:val="FooterChar"/>
    <w:uiPriority w:val="99"/>
    <w:unhideWhenUsed/>
    <w:rsid w:val="0036420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4204"/>
  </w:style>
  <w:style w:type="paragraph" w:styleId="FootnoteText">
    <w:name w:val="footnote text"/>
    <w:basedOn w:val="Normal"/>
    <w:link w:val="FootnoteTextChar"/>
    <w:uiPriority w:val="99"/>
    <w:unhideWhenUsed/>
    <w:rsid w:val="0082616B"/>
    <w:pPr>
      <w:spacing w:after="0" w:line="240" w:lineRule="auto"/>
    </w:pPr>
    <w:rPr>
      <w:sz w:val="20"/>
      <w:szCs w:val="20"/>
    </w:rPr>
  </w:style>
  <w:style w:type="character" w:customStyle="1" w:styleId="FootnoteTextChar">
    <w:name w:val="Footnote Text Char"/>
    <w:basedOn w:val="DefaultParagraphFont"/>
    <w:link w:val="FootnoteText"/>
    <w:uiPriority w:val="99"/>
    <w:rsid w:val="0082616B"/>
    <w:rPr>
      <w:sz w:val="20"/>
      <w:szCs w:val="20"/>
    </w:rPr>
  </w:style>
  <w:style w:type="paragraph" w:styleId="BalloonText">
    <w:name w:val="Balloon Text"/>
    <w:basedOn w:val="Normal"/>
    <w:link w:val="BalloonTextChar"/>
    <w:uiPriority w:val="99"/>
    <w:semiHidden/>
    <w:unhideWhenUsed/>
    <w:rsid w:val="007F4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E6D"/>
    <w:rPr>
      <w:rFonts w:ascii="Tahoma" w:hAnsi="Tahoma" w:cs="Tahoma"/>
      <w:sz w:val="16"/>
      <w:szCs w:val="16"/>
    </w:rPr>
  </w:style>
  <w:style w:type="paragraph" w:styleId="ListParagraph">
    <w:name w:val="List Paragraph"/>
    <w:basedOn w:val="Normal"/>
    <w:uiPriority w:val="34"/>
    <w:qFormat/>
    <w:rsid w:val="007F4E6D"/>
    <w:pPr>
      <w:ind w:left="720"/>
      <w:contextualSpacing/>
    </w:pPr>
  </w:style>
  <w:style w:type="character" w:styleId="FootnoteReference">
    <w:name w:val="footnote reference"/>
    <w:aliases w:val="Footnote symbol"/>
    <w:basedOn w:val="DefaultParagraphFont"/>
    <w:semiHidden/>
    <w:unhideWhenUsed/>
    <w:rsid w:val="000568E4"/>
    <w:rPr>
      <w:vertAlign w:val="superscript"/>
    </w:rPr>
  </w:style>
  <w:style w:type="character" w:styleId="CommentReference">
    <w:name w:val="annotation reference"/>
    <w:basedOn w:val="DefaultParagraphFont"/>
    <w:uiPriority w:val="99"/>
    <w:semiHidden/>
    <w:unhideWhenUsed/>
    <w:rsid w:val="006D243B"/>
    <w:rPr>
      <w:sz w:val="16"/>
      <w:szCs w:val="16"/>
    </w:rPr>
  </w:style>
  <w:style w:type="paragraph" w:styleId="CommentText">
    <w:name w:val="annotation text"/>
    <w:basedOn w:val="Normal"/>
    <w:link w:val="CommentTextChar"/>
    <w:uiPriority w:val="99"/>
    <w:semiHidden/>
    <w:unhideWhenUsed/>
    <w:rsid w:val="006D243B"/>
    <w:pPr>
      <w:spacing w:line="240" w:lineRule="auto"/>
    </w:pPr>
    <w:rPr>
      <w:sz w:val="20"/>
      <w:szCs w:val="20"/>
    </w:rPr>
  </w:style>
  <w:style w:type="character" w:customStyle="1" w:styleId="CommentTextChar">
    <w:name w:val="Comment Text Char"/>
    <w:basedOn w:val="DefaultParagraphFont"/>
    <w:link w:val="CommentText"/>
    <w:uiPriority w:val="99"/>
    <w:semiHidden/>
    <w:rsid w:val="006D243B"/>
    <w:rPr>
      <w:sz w:val="20"/>
      <w:szCs w:val="20"/>
    </w:rPr>
  </w:style>
  <w:style w:type="paragraph" w:styleId="CommentSubject">
    <w:name w:val="annotation subject"/>
    <w:basedOn w:val="CommentText"/>
    <w:next w:val="CommentText"/>
    <w:link w:val="CommentSubjectChar"/>
    <w:uiPriority w:val="99"/>
    <w:semiHidden/>
    <w:unhideWhenUsed/>
    <w:rsid w:val="006D243B"/>
    <w:rPr>
      <w:b/>
      <w:bCs/>
    </w:rPr>
  </w:style>
  <w:style w:type="character" w:customStyle="1" w:styleId="CommentSubjectChar">
    <w:name w:val="Comment Subject Char"/>
    <w:basedOn w:val="CommentTextChar"/>
    <w:link w:val="CommentSubject"/>
    <w:uiPriority w:val="99"/>
    <w:semiHidden/>
    <w:rsid w:val="006D24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20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4204"/>
  </w:style>
  <w:style w:type="paragraph" w:styleId="Footer">
    <w:name w:val="footer"/>
    <w:basedOn w:val="Normal"/>
    <w:link w:val="FooterChar"/>
    <w:uiPriority w:val="99"/>
    <w:unhideWhenUsed/>
    <w:rsid w:val="0036420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4204"/>
  </w:style>
  <w:style w:type="paragraph" w:styleId="FootnoteText">
    <w:name w:val="footnote text"/>
    <w:basedOn w:val="Normal"/>
    <w:link w:val="FootnoteTextChar"/>
    <w:uiPriority w:val="99"/>
    <w:unhideWhenUsed/>
    <w:rsid w:val="0082616B"/>
    <w:pPr>
      <w:spacing w:after="0" w:line="240" w:lineRule="auto"/>
    </w:pPr>
    <w:rPr>
      <w:sz w:val="20"/>
      <w:szCs w:val="20"/>
    </w:rPr>
  </w:style>
  <w:style w:type="character" w:customStyle="1" w:styleId="FootnoteTextChar">
    <w:name w:val="Footnote Text Char"/>
    <w:basedOn w:val="DefaultParagraphFont"/>
    <w:link w:val="FootnoteText"/>
    <w:uiPriority w:val="99"/>
    <w:rsid w:val="0082616B"/>
    <w:rPr>
      <w:sz w:val="20"/>
      <w:szCs w:val="20"/>
    </w:rPr>
  </w:style>
  <w:style w:type="paragraph" w:styleId="BalloonText">
    <w:name w:val="Balloon Text"/>
    <w:basedOn w:val="Normal"/>
    <w:link w:val="BalloonTextChar"/>
    <w:uiPriority w:val="99"/>
    <w:semiHidden/>
    <w:unhideWhenUsed/>
    <w:rsid w:val="007F4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E6D"/>
    <w:rPr>
      <w:rFonts w:ascii="Tahoma" w:hAnsi="Tahoma" w:cs="Tahoma"/>
      <w:sz w:val="16"/>
      <w:szCs w:val="16"/>
    </w:rPr>
  </w:style>
  <w:style w:type="paragraph" w:styleId="ListParagraph">
    <w:name w:val="List Paragraph"/>
    <w:basedOn w:val="Normal"/>
    <w:uiPriority w:val="34"/>
    <w:qFormat/>
    <w:rsid w:val="007F4E6D"/>
    <w:pPr>
      <w:ind w:left="720"/>
      <w:contextualSpacing/>
    </w:pPr>
  </w:style>
  <w:style w:type="character" w:styleId="FootnoteReference">
    <w:name w:val="footnote reference"/>
    <w:aliases w:val="Footnote symbol"/>
    <w:basedOn w:val="DefaultParagraphFont"/>
    <w:semiHidden/>
    <w:unhideWhenUsed/>
    <w:rsid w:val="000568E4"/>
    <w:rPr>
      <w:vertAlign w:val="superscript"/>
    </w:rPr>
  </w:style>
  <w:style w:type="character" w:styleId="CommentReference">
    <w:name w:val="annotation reference"/>
    <w:basedOn w:val="DefaultParagraphFont"/>
    <w:uiPriority w:val="99"/>
    <w:semiHidden/>
    <w:unhideWhenUsed/>
    <w:rsid w:val="006D243B"/>
    <w:rPr>
      <w:sz w:val="16"/>
      <w:szCs w:val="16"/>
    </w:rPr>
  </w:style>
  <w:style w:type="paragraph" w:styleId="CommentText">
    <w:name w:val="annotation text"/>
    <w:basedOn w:val="Normal"/>
    <w:link w:val="CommentTextChar"/>
    <w:uiPriority w:val="99"/>
    <w:semiHidden/>
    <w:unhideWhenUsed/>
    <w:rsid w:val="006D243B"/>
    <w:pPr>
      <w:spacing w:line="240" w:lineRule="auto"/>
    </w:pPr>
    <w:rPr>
      <w:sz w:val="20"/>
      <w:szCs w:val="20"/>
    </w:rPr>
  </w:style>
  <w:style w:type="character" w:customStyle="1" w:styleId="CommentTextChar">
    <w:name w:val="Comment Text Char"/>
    <w:basedOn w:val="DefaultParagraphFont"/>
    <w:link w:val="CommentText"/>
    <w:uiPriority w:val="99"/>
    <w:semiHidden/>
    <w:rsid w:val="006D243B"/>
    <w:rPr>
      <w:sz w:val="20"/>
      <w:szCs w:val="20"/>
    </w:rPr>
  </w:style>
  <w:style w:type="paragraph" w:styleId="CommentSubject">
    <w:name w:val="annotation subject"/>
    <w:basedOn w:val="CommentText"/>
    <w:next w:val="CommentText"/>
    <w:link w:val="CommentSubjectChar"/>
    <w:uiPriority w:val="99"/>
    <w:semiHidden/>
    <w:unhideWhenUsed/>
    <w:rsid w:val="006D243B"/>
    <w:rPr>
      <w:b/>
      <w:bCs/>
    </w:rPr>
  </w:style>
  <w:style w:type="character" w:customStyle="1" w:styleId="CommentSubjectChar">
    <w:name w:val="Comment Subject Char"/>
    <w:basedOn w:val="CommentTextChar"/>
    <w:link w:val="CommentSubject"/>
    <w:uiPriority w:val="99"/>
    <w:semiHidden/>
    <w:rsid w:val="006D24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9907">
      <w:bodyDiv w:val="1"/>
      <w:marLeft w:val="0"/>
      <w:marRight w:val="0"/>
      <w:marTop w:val="0"/>
      <w:marBottom w:val="0"/>
      <w:divBdr>
        <w:top w:val="none" w:sz="0" w:space="0" w:color="auto"/>
        <w:left w:val="none" w:sz="0" w:space="0" w:color="auto"/>
        <w:bottom w:val="none" w:sz="0" w:space="0" w:color="auto"/>
        <w:right w:val="none" w:sz="0" w:space="0" w:color="auto"/>
      </w:divBdr>
      <w:divsChild>
        <w:div w:id="2031442755">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3502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12</Pages>
  <Words>3497</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Стела</dc:creator>
  <cp:lastModifiedBy>MEET</cp:lastModifiedBy>
  <cp:revision>59</cp:revision>
  <cp:lastPrinted>2015-04-30T10:45:00Z</cp:lastPrinted>
  <dcterms:created xsi:type="dcterms:W3CDTF">2015-05-04T11:49:00Z</dcterms:created>
  <dcterms:modified xsi:type="dcterms:W3CDTF">2016-12-07T16:46:00Z</dcterms:modified>
</cp:coreProperties>
</file>